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74549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7454900"/>
                    </a:xfrm>
                    <a:prstGeom prst="rect">
                      <a:avLst/>
                    </a:prstGeom>
                    <a:noFill/>
                  </pic:spPr>
                </pic:pic>
              </a:graphicData>
            </a:graphic>
          </wp:anchor>
        </w:drawing>
      </w:r>
    </w:p>
    <w:p>
      <w:pPr>
        <w:spacing w:after="0" w:line="1285" w:lineRule="exact"/>
        <w:rPr>
          <w:sz w:val="24"/>
          <w:szCs w:val="24"/>
          <w:color w:val="auto"/>
        </w:rPr>
      </w:pPr>
    </w:p>
    <w:p>
      <w:pPr>
        <w:sectPr>
          <w:pgSz w:w="11900" w:h="16880"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Bergman Artur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FASTLY,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475 BRANNAN STREET,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Fastly,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FSLY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06/03/2026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85"/>
        <w:spacing w:after="0"/>
        <w:rPr>
          <w:sz w:val="20"/>
          <w:szCs w:val="20"/>
          <w:color w:val="auto"/>
        </w:rPr>
      </w:pPr>
      <w:r>
        <w:rPr>
          <w:rFonts w:ascii="Times New Roman" w:cs="Times New Roman" w:eastAsia="Times New Roman" w:hAnsi="Times New Roman"/>
          <w:sz w:val="17"/>
          <w:szCs w:val="17"/>
          <w:color w:val="0000FF"/>
        </w:rPr>
        <w:t>Chief Technology Officer</w:t>
      </w:r>
    </w:p>
    <w:p>
      <w:pPr>
        <w:spacing w:after="0" w:line="465" w:lineRule="exact"/>
        <w:rPr>
          <w:sz w:val="24"/>
          <w:szCs w:val="24"/>
          <w:color w:val="auto"/>
        </w:rPr>
      </w:pPr>
    </w:p>
    <w:p>
      <w:pPr>
        <w:sectPr>
          <w:pgSz w:w="11900" w:h="16880" w:orient="portrait"/>
          <w:cols w:equalWidth="0" w:num="3">
            <w:col w:w="3200" w:space="720"/>
            <w:col w:w="3095" w:space="720"/>
            <w:col w:w="3345"/>
          </w:cols>
          <w:pgMar w:left="460" w:top="219" w:right="359" w:bottom="0" w:gutter="0" w:footer="0" w:header="0"/>
          <w:type w:val="continuous"/>
        </w:sectPr>
      </w:pPr>
    </w:p>
    <w:tbl>
      <w:tblPr>
        <w:tblLayout w:type="fixed"/>
        <w:tblInd w:w="80" w:type="dxa"/>
        <w:tblCellMar>
          <w:top w:w="0" w:type="dxa"/>
          <w:left w:w="0" w:type="dxa"/>
          <w:bottom w:w="0" w:type="dxa"/>
          <w:right w:w="0" w:type="dxa"/>
        </w:tblCellMar>
      </w:tblPr>
      <w:tr>
        <w:trPr>
          <w:trHeight w:val="47"/>
        </w:trPr>
        <w:tc>
          <w:tcPr>
            <w:tcW w:w="40" w:type="dxa"/>
            <w:vAlign w:val="bottom"/>
          </w:tcPr>
          <w:p>
            <w:pPr>
              <w:spacing w:after="0"/>
              <w:rPr>
                <w:sz w:val="4"/>
                <w:szCs w:val="4"/>
                <w:color w:val="auto"/>
              </w:rPr>
            </w:pPr>
          </w:p>
        </w:tc>
        <w:tc>
          <w:tcPr>
            <w:tcW w:w="364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3680" w:type="dxa"/>
            <w:vAlign w:val="bottom"/>
            <w:tcBorders>
              <w:top w:val="single" w:sz="8" w:color="2C2C2C"/>
              <w:bottom w:val="single" w:sz="8" w:color="2C2C2C"/>
            </w:tcBorders>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40" w:type="dxa"/>
            <w:vAlign w:val="bottom"/>
            <w:tcBorders>
              <w:top w:val="single" w:sz="8" w:color="2C2C2C"/>
              <w:bottom w:val="single" w:sz="8" w:color="2C2C2C"/>
            </w:tcBorders>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4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80" w:type="dxa"/>
            <w:vAlign w:val="bottom"/>
            <w:vMerge w:val="continue"/>
          </w:tcPr>
          <w:p>
            <w:pPr>
              <w:spacing w:after="0" w:line="20" w:lineRule="exact"/>
              <w:rPr>
                <w:sz w:val="1"/>
                <w:szCs w:val="1"/>
                <w:color w:val="auto"/>
              </w:rPr>
            </w:pPr>
          </w:p>
        </w:tc>
        <w:tc>
          <w:tcPr>
            <w:tcW w:w="3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36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80" w:type="dxa"/>
            <w:vAlign w:val="bottom"/>
          </w:tcPr>
          <w:p>
            <w:pPr>
              <w:spacing w:after="0"/>
              <w:rPr>
                <w:sz w:val="11"/>
                <w:szCs w:val="11"/>
                <w:color w:val="auto"/>
              </w:rPr>
            </w:pPr>
          </w:p>
        </w:tc>
        <w:tc>
          <w:tcPr>
            <w:tcW w:w="3680" w:type="dxa"/>
            <w:vAlign w:val="bottom"/>
            <w:vMerge w:val="continue"/>
          </w:tcPr>
          <w:p>
            <w:pPr>
              <w:spacing w:after="0"/>
              <w:rPr>
                <w:sz w:val="11"/>
                <w:szCs w:val="11"/>
                <w:color w:val="auto"/>
              </w:rPr>
            </w:pPr>
          </w:p>
        </w:tc>
        <w:tc>
          <w:tcPr>
            <w:tcW w:w="3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3440" w:type="dxa"/>
            <w:vAlign w:val="bottom"/>
            <w:vMerge w:val="restart"/>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120" w:type="dxa"/>
        <w:tblCellMar>
          <w:top w:w="0" w:type="dxa"/>
          <w:left w:w="0" w:type="dxa"/>
          <w:bottom w:w="0" w:type="dxa"/>
          <w:right w:w="0" w:type="dxa"/>
        </w:tblCellMar>
      </w:tblPr>
      <w:tr>
        <w:trPr>
          <w:trHeight w:val="193"/>
        </w:trPr>
        <w:tc>
          <w:tcPr>
            <w:tcW w:w="110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SAN</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94107</w:t>
            </w:r>
          </w:p>
        </w:tc>
        <w:tc>
          <w:tcPr>
            <w:tcW w:w="6820" w:type="dxa"/>
            <w:vAlign w:val="bottom"/>
            <w:vMerge w:val="restart"/>
          </w:tcPr>
          <w:p>
            <w:pPr>
              <w:ind w:left="45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95"/>
        </w:trPr>
        <w:tc>
          <w:tcPr>
            <w:tcW w:w="11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94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6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1100" w:type="dxa"/>
            <w:vAlign w:val="bottom"/>
            <w:vMerge w:val="continue"/>
          </w:tcPr>
          <w:p>
            <w:pPr>
              <w:spacing w:after="0"/>
              <w:rPr>
                <w:sz w:val="12"/>
                <w:szCs w:val="12"/>
                <w:color w:val="auto"/>
              </w:rPr>
            </w:pPr>
          </w:p>
        </w:tc>
        <w:tc>
          <w:tcPr>
            <w:tcW w:w="9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820" w:type="dxa"/>
            <w:vAlign w:val="bottom"/>
          </w:tcPr>
          <w:p>
            <w:pPr>
              <w:ind w:left="4500"/>
              <w:spacing w:after="0" w:line="14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110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6820" w:type="dxa"/>
            <w:vAlign w:val="bottom"/>
          </w:tcPr>
          <w:p>
            <w:pPr>
              <w:ind w:left="4500"/>
              <w:spacing w:after="0" w:line="113"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6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0"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tcPr>
          <w:p>
            <w:pPr>
              <w:ind w:left="30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2"/>
                <w:szCs w:val="12"/>
                <w:color w:val="auto"/>
              </w:rPr>
            </w:pPr>
          </w:p>
        </w:tc>
        <w:tc>
          <w:tcPr>
            <w:tcW w:w="20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2"/>
                <w:szCs w:val="12"/>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6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3"/>
              </w:rPr>
              <w:t>(D) or</w:t>
            </w:r>
          </w:p>
        </w:tc>
        <w:tc>
          <w:tcPr>
            <w:tcW w:w="5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Indirect (I)</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6"/>
                <w:szCs w:val="6"/>
                <w:color w:val="auto"/>
              </w:rPr>
            </w:pPr>
          </w:p>
        </w:tc>
        <w:tc>
          <w:tcPr>
            <w:tcW w:w="880" w:type="dxa"/>
            <w:vAlign w:val="bottom"/>
            <w:gridSpan w:val="2"/>
            <w:vMerge w:val="restart"/>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106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44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94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40" w:type="dxa"/>
            <w:vAlign w:val="bottom"/>
            <w:tcBorders>
              <w:bottom w:val="single" w:sz="8" w:color="2C2C2C"/>
            </w:tcBorders>
            <w:gridSpan w:val="2"/>
          </w:tcPr>
          <w:p>
            <w:pPr>
              <w:ind w:left="400"/>
              <w:spacing w:after="0"/>
              <w:rPr>
                <w:sz w:val="20"/>
                <w:szCs w:val="20"/>
                <w:color w:val="auto"/>
              </w:rPr>
            </w:pPr>
            <w:r>
              <w:rPr>
                <w:rFonts w:ascii="Times New Roman" w:cs="Times New Roman" w:eastAsia="Times New Roman" w:hAnsi="Times New Roman"/>
                <w:sz w:val="17"/>
                <w:szCs w:val="17"/>
                <w:color w:val="0000FF"/>
              </w:rPr>
              <w:t>06/03/2026</w:t>
            </w: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1,100</w:t>
            </w:r>
            <w:r>
              <w:rPr>
                <w:rFonts w:ascii="Times New Roman" w:cs="Times New Roman" w:eastAsia="Times New Roman" w:hAnsi="Times New Roman"/>
                <w:sz w:val="22"/>
                <w:szCs w:val="22"/>
                <w:color w:val="008000"/>
                <w:w w:val="93"/>
                <w:vertAlign w:val="superscript"/>
              </w:rPr>
              <w:t>(2)</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19.84</w:t>
            </w:r>
            <w:r>
              <w:rPr>
                <w:rFonts w:ascii="Times New Roman" w:cs="Times New Roman" w:eastAsia="Times New Roman" w:hAnsi="Times New Roman"/>
                <w:sz w:val="22"/>
                <w:szCs w:val="22"/>
                <w:color w:val="008000"/>
                <w:w w:val="95"/>
                <w:vertAlign w:val="superscript"/>
              </w:rPr>
              <w:t>(3)</w:t>
            </w:r>
          </w:p>
        </w:tc>
        <w:tc>
          <w:tcPr>
            <w:tcW w:w="120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2,045,427</w:t>
            </w:r>
          </w:p>
        </w:tc>
        <w:tc>
          <w:tcPr>
            <w:tcW w:w="3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326"/>
              <w:spacing w:after="0"/>
              <w:rPr>
                <w:sz w:val="20"/>
                <w:szCs w:val="20"/>
                <w:color w:val="auto"/>
              </w:rPr>
            </w:pPr>
            <w:r>
              <w:rPr>
                <w:rFonts w:ascii="Times New Roman" w:cs="Times New Roman" w:eastAsia="Times New Roman" w:hAnsi="Times New Roman"/>
                <w:sz w:val="17"/>
                <w:szCs w:val="17"/>
                <w:color w:val="0000FF"/>
                <w:w w:val="97"/>
              </w:rPr>
              <w:t>D</w:t>
            </w:r>
          </w:p>
        </w:tc>
        <w:tc>
          <w:tcPr>
            <w:tcW w:w="3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40" w:type="dxa"/>
            <w:vAlign w:val="bottom"/>
            <w:tcBorders>
              <w:bottom w:val="single" w:sz="8" w:color="2C2C2C"/>
            </w:tcBorders>
            <w:gridSpan w:val="2"/>
          </w:tcPr>
          <w:p>
            <w:pPr>
              <w:ind w:left="400"/>
              <w:spacing w:after="0"/>
              <w:rPr>
                <w:sz w:val="20"/>
                <w:szCs w:val="20"/>
                <w:color w:val="auto"/>
              </w:rPr>
            </w:pPr>
            <w:r>
              <w:rPr>
                <w:rFonts w:ascii="Times New Roman" w:cs="Times New Roman" w:eastAsia="Times New Roman" w:hAnsi="Times New Roman"/>
                <w:sz w:val="17"/>
                <w:szCs w:val="17"/>
                <w:color w:val="0000FF"/>
              </w:rPr>
              <w:t>06/03/2026</w:t>
            </w: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6,689</w:t>
            </w:r>
            <w:r>
              <w:rPr>
                <w:rFonts w:ascii="Times New Roman" w:cs="Times New Roman" w:eastAsia="Times New Roman" w:hAnsi="Times New Roman"/>
                <w:sz w:val="22"/>
                <w:szCs w:val="22"/>
                <w:color w:val="008000"/>
                <w:w w:val="93"/>
                <w:vertAlign w:val="superscript"/>
              </w:rPr>
              <w:t>(2)</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21.13</w:t>
            </w:r>
            <w:r>
              <w:rPr>
                <w:rFonts w:ascii="Times New Roman" w:cs="Times New Roman" w:eastAsia="Times New Roman" w:hAnsi="Times New Roman"/>
                <w:sz w:val="22"/>
                <w:szCs w:val="22"/>
                <w:color w:val="008000"/>
                <w:w w:val="95"/>
                <w:vertAlign w:val="superscript"/>
              </w:rPr>
              <w:t>(4)</w:t>
            </w:r>
          </w:p>
        </w:tc>
        <w:tc>
          <w:tcPr>
            <w:tcW w:w="120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2,038,738</w:t>
            </w:r>
          </w:p>
        </w:tc>
        <w:tc>
          <w:tcPr>
            <w:tcW w:w="3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326"/>
              <w:spacing w:after="0"/>
              <w:rPr>
                <w:sz w:val="20"/>
                <w:szCs w:val="20"/>
                <w:color w:val="auto"/>
              </w:rPr>
            </w:pPr>
            <w:r>
              <w:rPr>
                <w:rFonts w:ascii="Times New Roman" w:cs="Times New Roman" w:eastAsia="Times New Roman" w:hAnsi="Times New Roman"/>
                <w:sz w:val="17"/>
                <w:szCs w:val="17"/>
                <w:color w:val="0000FF"/>
                <w:w w:val="97"/>
              </w:rPr>
              <w:t>D</w:t>
            </w:r>
          </w:p>
        </w:tc>
        <w:tc>
          <w:tcPr>
            <w:tcW w:w="3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40" w:type="dxa"/>
            <w:vAlign w:val="bottom"/>
            <w:tcBorders>
              <w:bottom w:val="single" w:sz="8" w:color="2C2C2C"/>
            </w:tcBorders>
            <w:gridSpan w:val="2"/>
          </w:tcPr>
          <w:p>
            <w:pPr>
              <w:ind w:left="400"/>
              <w:spacing w:after="0"/>
              <w:rPr>
                <w:sz w:val="20"/>
                <w:szCs w:val="20"/>
                <w:color w:val="auto"/>
              </w:rPr>
            </w:pPr>
            <w:r>
              <w:rPr>
                <w:rFonts w:ascii="Times New Roman" w:cs="Times New Roman" w:eastAsia="Times New Roman" w:hAnsi="Times New Roman"/>
                <w:sz w:val="17"/>
                <w:szCs w:val="17"/>
                <w:color w:val="0000FF"/>
              </w:rPr>
              <w:t>06/03/2026</w:t>
            </w: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100</w:t>
            </w:r>
            <w:r>
              <w:rPr>
                <w:rFonts w:ascii="Times New Roman" w:cs="Times New Roman" w:eastAsia="Times New Roman" w:hAnsi="Times New Roman"/>
                <w:sz w:val="22"/>
                <w:szCs w:val="22"/>
                <w:color w:val="008000"/>
                <w:w w:val="93"/>
                <w:vertAlign w:val="superscript"/>
              </w:rPr>
              <w:t>(2)</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Borders>
              <w:bottom w:val="single" w:sz="8" w:color="2C2C2C"/>
            </w:tcBorders>
          </w:tcPr>
          <w:p>
            <w:pPr>
              <w:jc w:val="center"/>
              <w:ind w:left="3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21.83</w:t>
            </w:r>
          </w:p>
        </w:tc>
        <w:tc>
          <w:tcPr>
            <w:tcW w:w="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2,038,638</w:t>
            </w:r>
          </w:p>
        </w:tc>
        <w:tc>
          <w:tcPr>
            <w:tcW w:w="3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326"/>
              <w:spacing w:after="0"/>
              <w:rPr>
                <w:sz w:val="20"/>
                <w:szCs w:val="20"/>
                <w:color w:val="auto"/>
              </w:rPr>
            </w:pPr>
            <w:r>
              <w:rPr>
                <w:rFonts w:ascii="Times New Roman" w:cs="Times New Roman" w:eastAsia="Times New Roman" w:hAnsi="Times New Roman"/>
                <w:sz w:val="17"/>
                <w:szCs w:val="17"/>
                <w:color w:val="0000FF"/>
                <w:w w:val="97"/>
              </w:rPr>
              <w:t>D</w:t>
            </w:r>
          </w:p>
        </w:tc>
        <w:tc>
          <w:tcPr>
            <w:tcW w:w="3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1,604,901</w:t>
            </w:r>
          </w:p>
        </w:tc>
        <w:tc>
          <w:tcPr>
            <w:tcW w:w="360" w:type="dxa"/>
            <w:vAlign w:val="bottom"/>
          </w:tcPr>
          <w:p>
            <w:pPr>
              <w:spacing w:after="0"/>
              <w:rPr>
                <w:sz w:val="21"/>
                <w:szCs w:val="21"/>
                <w:color w:val="auto"/>
              </w:rPr>
            </w:pPr>
          </w:p>
        </w:tc>
        <w:tc>
          <w:tcPr>
            <w:tcW w:w="520" w:type="dxa"/>
            <w:vAlign w:val="bottom"/>
            <w:vMerge w:val="restart"/>
          </w:tcPr>
          <w:p>
            <w:pPr>
              <w:jc w:val="center"/>
              <w:ind w:right="326"/>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36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0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Foonote</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1200" w:type="dxa"/>
            <w:vAlign w:val="bottom"/>
            <w:tcBorders>
              <w:top w:val="single" w:sz="8" w:color="2C2C2C"/>
            </w:tcBorders>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840,005</w:t>
            </w:r>
          </w:p>
        </w:tc>
        <w:tc>
          <w:tcPr>
            <w:tcW w:w="36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vMerge w:val="restart"/>
          </w:tcPr>
          <w:p>
            <w:pPr>
              <w:jc w:val="center"/>
              <w:ind w:right="326"/>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0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36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0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1200" w:type="dxa"/>
            <w:vAlign w:val="bottom"/>
            <w:tcBorders>
              <w:top w:val="single" w:sz="8" w:color="2C2C2C"/>
            </w:tcBorders>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109,686</w:t>
            </w:r>
          </w:p>
        </w:tc>
        <w:tc>
          <w:tcPr>
            <w:tcW w:w="36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vMerge w:val="restart"/>
          </w:tcPr>
          <w:p>
            <w:pPr>
              <w:jc w:val="center"/>
              <w:ind w:right="326"/>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0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36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0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(7)</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1200" w:type="dxa"/>
            <w:vAlign w:val="bottom"/>
            <w:tcBorders>
              <w:top w:val="single" w:sz="8" w:color="2C2C2C"/>
            </w:tcBorders>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156,521</w:t>
            </w:r>
          </w:p>
        </w:tc>
        <w:tc>
          <w:tcPr>
            <w:tcW w:w="36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vMerge w:val="restart"/>
          </w:tcPr>
          <w:p>
            <w:pPr>
              <w:jc w:val="center"/>
              <w:ind w:right="326"/>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0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36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0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1200" w:type="dxa"/>
            <w:vAlign w:val="bottom"/>
            <w:tcBorders>
              <w:top w:val="single" w:sz="8" w:color="2C2C2C"/>
            </w:tcBorders>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588,671</w:t>
            </w:r>
          </w:p>
        </w:tc>
        <w:tc>
          <w:tcPr>
            <w:tcW w:w="36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vMerge w:val="restart"/>
          </w:tcPr>
          <w:p>
            <w:pPr>
              <w:jc w:val="center"/>
              <w:ind w:right="326"/>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0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36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0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1200" w:type="dxa"/>
            <w:vAlign w:val="bottom"/>
            <w:tcBorders>
              <w:top w:val="single" w:sz="8" w:color="2C2C2C"/>
            </w:tcBorders>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254,808</w:t>
            </w:r>
          </w:p>
        </w:tc>
        <w:tc>
          <w:tcPr>
            <w:tcW w:w="36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vMerge w:val="restart"/>
          </w:tcPr>
          <w:p>
            <w:pPr>
              <w:jc w:val="center"/>
              <w:ind w:right="326"/>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0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36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0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(10)</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106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5"/>
                <w:szCs w:val="15"/>
                <w:color w:val="auto"/>
              </w:rPr>
            </w:pPr>
          </w:p>
        </w:tc>
        <w:tc>
          <w:tcPr>
            <w:tcW w:w="720" w:type="dxa"/>
            <w:vAlign w:val="bottom"/>
            <w:tcBorders>
              <w:right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340" w:type="dxa"/>
            <w:vAlign w:val="bottom"/>
          </w:tcPr>
          <w:p>
            <w:pPr>
              <w:spacing w:after="0"/>
              <w:rPr>
                <w:sz w:val="11"/>
                <w:szCs w:val="11"/>
                <w:color w:val="auto"/>
              </w:rPr>
            </w:pP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Direct (D)</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8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(Instr. 4)</w:t>
            </w: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86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44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was effected pursuant to a Rule 10b5-1 trading plan adopted by the reporting person on June 3, 2025.</w:t>
      </w:r>
    </w:p>
    <w:p>
      <w:pPr>
        <w:spacing w:after="0" w:line="50" w:lineRule="exact"/>
        <w:rPr>
          <w:rFonts w:ascii="Times New Roman" w:cs="Times New Roman" w:eastAsia="Times New Roman" w:hAnsi="Times New Roman"/>
          <w:sz w:val="13"/>
          <w:szCs w:val="13"/>
          <w:color w:val="008000"/>
        </w:rPr>
      </w:pPr>
    </w:p>
    <w:p>
      <w:pPr>
        <w:ind w:left="40" w:right="3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were sold by the Per Artur Bergman Revocable Trust, to which the reporting person contributed 7,889 shares of common stock of the Issuer in a transaction that resulted in a change in the form of beneficial ownership from direct to indirect.</w:t>
      </w:r>
    </w:p>
    <w:p>
      <w:pPr>
        <w:spacing w:after="0" w:line="7" w:lineRule="exact"/>
        <w:rPr>
          <w:rFonts w:ascii="Times New Roman" w:cs="Times New Roman" w:eastAsia="Times New Roman" w:hAnsi="Times New Roman"/>
          <w:sz w:val="13"/>
          <w:szCs w:val="13"/>
          <w:color w:val="008000"/>
        </w:rPr>
      </w:pPr>
    </w:p>
    <w:p>
      <w:pPr>
        <w:jc w:val="both"/>
        <w:ind w:left="40" w:right="5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$19.49 to $20.16, inclusive. The reporting person undertakes to provide to the Issuer, any security holder of the Issuer, or the staff of the SEC, upon request, full information regarding the number of shares sold at each separate price within the ranges set forth in footnotes (3) and (4) to this Form 4.</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$20.83 to $21.56,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by The Per Artur Bergman Revocable Trust, of which the reporting person is settlor, sole trustee, and sole beneficiary.</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by The Artur Bergman Remainder Trust One DTD 5/2/2019, of which the reporting person is the investment advisor.</w:t>
      </w:r>
    </w:p>
    <w:p>
      <w:pPr>
        <w:sectPr>
          <w:pgSz w:w="11900" w:h="16880" w:orient="portrait"/>
          <w:cols w:equalWidth="0" w:num="1">
            <w:col w:w="11080"/>
          </w:cols>
          <w:pgMar w:left="460" w:top="219" w:right="359" w:bottom="0" w:gutter="0" w:footer="0" w:header="0"/>
          <w:type w:val="continuous"/>
        </w:sectPr>
      </w:pPr>
    </w:p>
    <w:bookmarkStart w:id="1" w:name="page2"/>
    <w:bookmarkEnd w:id="1"/>
    <w:p>
      <w:pPr>
        <w:ind w:left="140" w:hanging="133"/>
        <w:spacing w:after="0"/>
        <w:tabs>
          <w:tab w:leader="none" w:pos="14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by The Artur Bergman Remainder Trust Three DTD 5/2/2019, of which the reporting person is the investment advisor.</w:t>
      </w:r>
    </w:p>
    <w:p>
      <w:pPr>
        <w:spacing w:after="0" w:line="5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by The PAB 2021 Remainder Trust, of which the reporting person is the investment advisor.</w:t>
      </w:r>
    </w:p>
    <w:p>
      <w:pPr>
        <w:spacing w:after="0" w:line="5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by The Per Artur Bergman Grantor Retained Annuity Trust No. 4, of which the reporting person is trustee.</w:t>
      </w:r>
    </w:p>
    <w:p>
      <w:pPr>
        <w:spacing w:after="0" w:line="5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by The Per Artur Bergman Grantor Retained Annuity Trust No. 5, of which the reporting person is trustee.</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Tara Seracka,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055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0556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r>
    </w:p>
    <w:p>
      <w:pPr>
        <w:spacing w:after="0" w:line="40"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06/05/2026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00" w:space="140"/>
            <w:col w:w="1440"/>
          </w:cols>
          <w:pgMar w:left="500" w:top="153" w:right="1219" w:bottom="1440" w:gutter="0" w:footer="0" w:header="0"/>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53" w:right="1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7"/>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69490" TargetMode="External"/><Relationship Id="rId14" Type="http://schemas.openxmlformats.org/officeDocument/2006/relationships/hyperlink" Target="http://www.sec.gov/cgi-bin/browse-edgar?action=getcompany&amp;CIK=000151741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2026-06-05T16:13:43Z</dcterms:created>
  <dcterms:modified xsi:type="dcterms:W3CDTF">2026-06-05T16:13:43Z</dcterms:modified>
</cp:coreProperties>
</file>