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03430.xml.htm"/>
      <w:bookmarkStart w:id="1" w:name="kswkform4_17908034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3"/>
        <w:gridCol w:w="905"/>
        <w:gridCol w:w="776"/>
        <w:gridCol w:w="601"/>
        <w:gridCol w:w="338"/>
        <w:gridCol w:w="903"/>
        <w:gridCol w:w="423"/>
        <w:gridCol w:w="881"/>
        <w:gridCol w:w="1242"/>
        <w:gridCol w:w="961"/>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32,878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24.75</w:t>
            </w: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1,105,480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25.225</w:t>
            </w: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1,105,280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25.26</w:t>
            </w:r>
            <w:r>
              <w:rPr>
                <w:rFonts w:ascii="Times;serif" w:hAnsi="Times;serif"/>
                <w:color w:val="008000"/>
                <w:position w:val="7"/>
                <w:sz w:val="16"/>
                <w:sz w:val="20"/>
                <w:shd w:fill="FFFFFF" w:val="clear"/>
              </w:rPr>
              <w:t>(5)</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1,101,319</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$24.22 to $25.20, inclusive. The reporting person undertakes to provide to the Issuer, any security holder of the Issuer, or the staff of the SEC, upon request, full information regarding the number of shares sold at each separate price within the ranges set forth in footnotes (2),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$25.22 to $25.23,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$25.00 to $25.52,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4870</Characters>
  <CharactersWithSpaces>5681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