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For the quarterly period ended</w:t>
      </w:r>
      <w:r>
        <w:rPr>
          <w:color w:val="000000"/>
        </w:rPr>
        <w:t xml:space="preserve"> </w:t>
      </w:r>
      <w:r>
        <w:rPr>
          <w:rFonts w:ascii="Times New Roman;serif" w:hAnsi="Times New Roman;serif"/>
          <w:b/>
          <w:color w:val="000000"/>
          <w:sz w:val="20"/>
        </w:rPr>
        <w:t xml:space="preserve">March 31,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001-38897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FASTLY,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tbl>
      <w:tblPr>
        <w:tblW w:w="4181"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27-5411834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475 Brannan Street, Suite 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San Francisco, CA 94107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(844) 432-7859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or former fiscal year,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631" w:type="dxa"/>
        <w:jc w:val="center"/>
        <w:tblInd w:w="0" w:type="dxa"/>
        <w:tblLayout w:type="fixed"/>
        <w:tblCellMar>
          <w:top w:w="28" w:type="dxa"/>
          <w:left w:w="28" w:type="dxa"/>
          <w:bottom w:w="28" w:type="dxa"/>
          <w:right w:w="28" w:type="dxa"/>
        </w:tblCellMar>
      </w:tblPr>
      <w:tblGrid>
        <w:gridCol w:w="1160"/>
        <w:gridCol w:w="1018"/>
        <w:gridCol w:w="1031"/>
        <w:gridCol w:w="109"/>
        <w:gridCol w:w="109"/>
        <w:gridCol w:w="109"/>
        <w:gridCol w:w="484"/>
        <w:gridCol w:w="484"/>
        <w:gridCol w:w="486"/>
        <w:gridCol w:w="109"/>
        <w:gridCol w:w="109"/>
        <w:gridCol w:w="109"/>
        <w:gridCol w:w="970"/>
        <w:gridCol w:w="970"/>
        <w:gridCol w:w="1374"/>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$0.00002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FSLY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73"/>
        <w:gridCol w:w="673"/>
        <w:gridCol w:w="68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40" w:after="283"/>
        <w:ind w:left="0" w:right="0" w:firstLine="855"/>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 xml:space="preserve">As of April 24, 2026, 156.5 million shares of the registrant’s Class A common stock were outstanding. </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3"/>
        <w:gridCol w:w="249"/>
        <w:gridCol w:w="250"/>
        <w:gridCol w:w="2965"/>
        <w:gridCol w:w="2939"/>
        <w:gridCol w:w="2945"/>
        <w:gridCol w:w="167"/>
        <w:gridCol w:w="167"/>
        <w:gridCol w:w="240"/>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3">
              <w:r>
                <w:rPr>
                  <w:rStyle w:val="InternetLink"/>
                  <w:rFonts w:ascii="Times New Roman;serif" w:hAnsi="Times New Roman;serif"/>
                  <w:b w:val="false"/>
                  <w:color w:val="0000FF"/>
                  <w:sz w:val="20"/>
                  <w:u w:val="single"/>
                </w:rPr>
                <w:t>Part I - Financial Information</w:t>
              </w:r>
            </w:hyperlink>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6">
              <w:r>
                <w:rPr>
                  <w:rStyle w:val="InternetLink"/>
                  <w:rFonts w:ascii="Times New Roman;serif" w:hAnsi="Times New Roman;serif"/>
                  <w:b w:val="false"/>
                  <w:color w:val="0000FF"/>
                  <w:sz w:val="20"/>
                  <w:u w:val="single"/>
                </w:rPr>
                <w:t>Item 1.</w:t>
              </w:r>
            </w:hyperlink>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6">
              <w:r>
                <w:rPr>
                  <w:rStyle w:val="InternetLink"/>
                  <w:rFonts w:ascii="Times New Roman;serif" w:hAnsi="Times New Roman;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16">
              <w:r>
                <w:rPr>
                  <w:rStyle w:val="InternetLink"/>
                  <w:rFonts w:ascii="Times New Roman;serif" w:hAnsi="Times New Roman;serif"/>
                  <w:b w:val="false"/>
                  <w:strike w:val="false"/>
                  <w:dstrike w:val="false"/>
                  <w:color w:val="0000FF"/>
                  <w:sz w:val="20"/>
                  <w:u w:val="none"/>
                  <w:effect w:val="none"/>
                </w:rPr>
                <w:t>5</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9">
              <w:r>
                <w:rPr>
                  <w:rStyle w:val="InternetLink"/>
                  <w:rFonts w:ascii="Times New Roman;serif" w:hAnsi="Times New Roman;serif"/>
                  <w:b w:val="false"/>
                  <w:color w:val="0000FF"/>
                  <w:sz w:val="20"/>
                  <w:u w:val="single"/>
                </w:rPr>
                <w:t>Condensed Consolidated Balance Sheets as of March 31, 2026 and December 31,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19">
              <w:r>
                <w:rPr>
                  <w:rStyle w:val="InternetLink"/>
                  <w:rFonts w:ascii="Times New Roman;serif" w:hAnsi="Times New Roman;serif"/>
                  <w:b w:val="false"/>
                  <w:strike w:val="false"/>
                  <w:dstrike w:val="false"/>
                  <w:color w:val="0000FF"/>
                  <w:sz w:val="20"/>
                  <w:u w:val="none"/>
                  <w:effect w:val="none"/>
                </w:rPr>
                <w:t>5</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22">
              <w:r>
                <w:rPr>
                  <w:rStyle w:val="InternetLink"/>
                  <w:rFonts w:ascii="Times New Roman;serif" w:hAnsi="Times New Roman;serif"/>
                  <w:b w:val="false"/>
                  <w:color w:val="0000FF"/>
                  <w:sz w:val="20"/>
                  <w:u w:val="single"/>
                </w:rPr>
                <w:t>Condensed Consolidated Statements of Operations for the Three Months Ended March 31,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22">
              <w:r>
                <w:rPr>
                  <w:rStyle w:val="InternetLink"/>
                  <w:rFonts w:ascii="Times New Roman;serif" w:hAnsi="Times New Roman;serif"/>
                  <w:b w:val="false"/>
                  <w:strike w:val="false"/>
                  <w:dstrike w:val="false"/>
                  <w:color w:val="0000FF"/>
                  <w:sz w:val="20"/>
                  <w:u w:val="none"/>
                  <w:effect w:val="none"/>
                </w:rPr>
                <w:t>6</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25">
              <w:r>
                <w:rPr>
                  <w:rStyle w:val="InternetLink"/>
                  <w:rFonts w:ascii="Times New Roman;serif" w:hAnsi="Times New Roman;serif"/>
                  <w:b w:val="false"/>
                  <w:color w:val="0000FF"/>
                  <w:sz w:val="20"/>
                  <w:u w:val="single"/>
                </w:rPr>
                <w:t>Condensed Consolidated Statements of Comprehensive Loss for the Three Months Ended March 31,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25">
              <w:r>
                <w:rPr>
                  <w:rStyle w:val="InternetLink"/>
                  <w:rFonts w:ascii="Times New Roman;serif" w:hAnsi="Times New Roman;serif"/>
                  <w:b w:val="false"/>
                  <w:strike w:val="false"/>
                  <w:dstrike w:val="false"/>
                  <w:color w:val="0000FF"/>
                  <w:sz w:val="20"/>
                  <w:u w:val="none"/>
                  <w:effect w:val="none"/>
                </w:rPr>
                <w:t>7</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28">
              <w:r>
                <w:rPr>
                  <w:rStyle w:val="InternetLink"/>
                  <w:rFonts w:ascii="Times New Roman;serif" w:hAnsi="Times New Roman;serif"/>
                  <w:b w:val="false"/>
                  <w:color w:val="0000FF"/>
                  <w:sz w:val="20"/>
                  <w:u w:val="single"/>
                </w:rPr>
                <w:t>Condensed Consolidated Statements of Stockholders' Equity for the Three Months Ended March 31,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28">
              <w:r>
                <w:rPr>
                  <w:rStyle w:val="InternetLink"/>
                  <w:rFonts w:ascii="Times New Roman;serif" w:hAnsi="Times New Roman;serif"/>
                  <w:b w:val="false"/>
                  <w:strike w:val="false"/>
                  <w:dstrike w:val="false"/>
                  <w:color w:val="0000FF"/>
                  <w:sz w:val="20"/>
                  <w:u w:val="none"/>
                  <w:effect w:val="none"/>
                </w:rPr>
                <w:t>8</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31">
              <w:r>
                <w:rPr>
                  <w:rStyle w:val="InternetLink"/>
                  <w:rFonts w:ascii="Times New Roman;serif" w:hAnsi="Times New Roman;serif"/>
                  <w:b w:val="false"/>
                  <w:color w:val="0000FF"/>
                  <w:sz w:val="20"/>
                  <w:u w:val="single"/>
                </w:rPr>
                <w:t>Condensed Consolidated Statements of Cash Flows for the Three Months Ended March 31,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31">
              <w:r>
                <w:rPr>
                  <w:rStyle w:val="InternetLink"/>
                  <w:rFonts w:ascii="Times New Roman;serif" w:hAnsi="Times New Roman;serif"/>
                  <w:b w:val="false"/>
                  <w:strike w:val="false"/>
                  <w:dstrike w:val="false"/>
                  <w:color w:val="0000FF"/>
                  <w:sz w:val="20"/>
                  <w:u w:val="none"/>
                  <w:effect w:val="none"/>
                </w:rPr>
                <w:t>9</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34">
              <w:r>
                <w:rPr>
                  <w:rStyle w:val="InternetLink"/>
                  <w:rFonts w:ascii="Times New Roman;serif" w:hAnsi="Times New Roman;serif"/>
                  <w:b w:val="false"/>
                  <w:color w:val="0000FF"/>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34">
              <w:r>
                <w:rPr>
                  <w:rStyle w:val="InternetLink"/>
                  <w:rFonts w:ascii="Times New Roman;serif" w:hAnsi="Times New Roman;serif"/>
                  <w:b w:val="false"/>
                  <w:strike w:val="false"/>
                  <w:dstrike w:val="false"/>
                  <w:color w:val="0000FF"/>
                  <w:sz w:val="20"/>
                  <w:u w:val="none"/>
                  <w:effect w:val="none"/>
                </w:rPr>
                <w:t>11</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79">
              <w:r>
                <w:rPr>
                  <w:rStyle w:val="InternetLink"/>
                  <w:rFonts w:ascii="Times New Roman;serif" w:hAnsi="Times New Roman;serif"/>
                  <w:b w:val="false"/>
                  <w:color w:val="0000FF"/>
                  <w:sz w:val="20"/>
                  <w:u w:val="single"/>
                </w:rPr>
                <w:t>Item 2.</w:t>
              </w:r>
            </w:hyperlink>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79">
              <w:r>
                <w:rPr>
                  <w:rStyle w:val="InternetLink"/>
                  <w:rFonts w:ascii="Times New Roman;serif" w:hAnsi="Times New Roman;serif"/>
                  <w:b w:val="false"/>
                  <w:strike w:val="false"/>
                  <w:dstrike w:val="false"/>
                  <w:color w:val="0000FF"/>
                  <w:sz w:val="20"/>
                  <w:u w:val="none"/>
                  <w:effect w:val="none"/>
                </w:rPr>
                <w:t>28</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06">
              <w:r>
                <w:rPr>
                  <w:rStyle w:val="InternetLink"/>
                  <w:rFonts w:ascii="Times New Roman;serif" w:hAnsi="Times New Roman;serif"/>
                  <w:b w:val="false"/>
                  <w:color w:val="0000FF"/>
                  <w:sz w:val="20"/>
                  <w:u w:val="single"/>
                </w:rPr>
                <w:t>Item 3.</w:t>
              </w:r>
            </w:hyperlink>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06">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106">
              <w:r>
                <w:rPr>
                  <w:rStyle w:val="InternetLink"/>
                  <w:rFonts w:ascii="Times New Roman;serif" w:hAnsi="Times New Roman;serif"/>
                  <w:b w:val="false"/>
                  <w:strike w:val="false"/>
                  <w:dstrike w:val="false"/>
                  <w:color w:val="0000FF"/>
                  <w:sz w:val="20"/>
                  <w:u w:val="none"/>
                  <w:effect w:val="none"/>
                </w:rPr>
                <w:t>40</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09">
              <w:r>
                <w:rPr>
                  <w:rStyle w:val="InternetLink"/>
                  <w:rFonts w:ascii="Times New Roman;serif" w:hAnsi="Times New Roman;serif"/>
                  <w:b w:val="false"/>
                  <w:color w:val="0000FF"/>
                  <w:sz w:val="20"/>
                  <w:u w:val="single"/>
                </w:rPr>
                <w:t>Item 4.</w:t>
              </w:r>
            </w:hyperlink>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09">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109">
              <w:r>
                <w:rPr>
                  <w:rStyle w:val="InternetLink"/>
                  <w:rFonts w:ascii="Times New Roman;serif" w:hAnsi="Times New Roman;serif"/>
                  <w:b w:val="false"/>
                  <w:strike w:val="false"/>
                  <w:dstrike w:val="false"/>
                  <w:color w:val="0000FF"/>
                  <w:sz w:val="20"/>
                  <w:u w:val="none"/>
                  <w:effect w:val="none"/>
                </w:rPr>
                <w:t>40</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12">
              <w:r>
                <w:rPr>
                  <w:rStyle w:val="InternetLink"/>
                  <w:rFonts w:ascii="Times New Roman;serif" w:hAnsi="Times New Roman;serif"/>
                  <w:b w:val="false"/>
                  <w:color w:val="0000FF"/>
                  <w:sz w:val="20"/>
                  <w:u w:val="singl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112">
              <w:r>
                <w:rPr>
                  <w:rStyle w:val="InternetLink"/>
                  <w:rFonts w:ascii="Times New Roman;serif" w:hAnsi="Times New Roman;serif"/>
                  <w:b w:val="false"/>
                  <w:strike w:val="false"/>
                  <w:dstrike w:val="false"/>
                  <w:color w:val="0000FF"/>
                  <w:sz w:val="20"/>
                  <w:u w:val="none"/>
                  <w:effect w:val="none"/>
                </w:rPr>
                <w:t>41</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15">
              <w:r>
                <w:rPr>
                  <w:rStyle w:val="InternetLink"/>
                  <w:rFonts w:ascii="Times New Roman;serif" w:hAnsi="Times New Roman;serif"/>
                  <w:b w:val="false"/>
                  <w:color w:val="0000FF"/>
                  <w:sz w:val="20"/>
                  <w:u w:val="single"/>
                </w:rPr>
                <w:t>Item 1.</w:t>
              </w:r>
            </w:hyperlink>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15">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115">
              <w:r>
                <w:rPr>
                  <w:rStyle w:val="InternetLink"/>
                  <w:rFonts w:ascii="Times New Roman;serif" w:hAnsi="Times New Roman;serif"/>
                  <w:b w:val="false"/>
                  <w:strike w:val="false"/>
                  <w:dstrike w:val="false"/>
                  <w:color w:val="0000FF"/>
                  <w:sz w:val="20"/>
                  <w:u w:val="none"/>
                  <w:effect w:val="none"/>
                </w:rPr>
                <w:t>41</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18">
              <w:r>
                <w:rPr>
                  <w:rStyle w:val="InternetLink"/>
                  <w:rFonts w:ascii="Times New Roman;serif" w:hAnsi="Times New Roman;serif"/>
                  <w:b w:val="false"/>
                  <w:color w:val="0000FF"/>
                  <w:sz w:val="20"/>
                  <w:u w:val="single"/>
                </w:rPr>
                <w:t>Item 1A.</w:t>
              </w:r>
            </w:hyperlink>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18">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118">
              <w:r>
                <w:rPr>
                  <w:rStyle w:val="InternetLink"/>
                  <w:rFonts w:ascii="Times New Roman;serif" w:hAnsi="Times New Roman;serif"/>
                  <w:b w:val="false"/>
                  <w:strike w:val="false"/>
                  <w:dstrike w:val="false"/>
                  <w:color w:val="0000FF"/>
                  <w:sz w:val="20"/>
                  <w:u w:val="none"/>
                  <w:effect w:val="none"/>
                </w:rPr>
                <w:t>41</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21">
              <w:r>
                <w:rPr>
                  <w:rStyle w:val="InternetLink"/>
                  <w:rFonts w:ascii="Times New Roman;serif" w:hAnsi="Times New Roman;serif"/>
                  <w:b w:val="false"/>
                  <w:color w:val="0000FF"/>
                  <w:sz w:val="20"/>
                  <w:u w:val="single"/>
                </w:rPr>
                <w:t>Item 2.</w:t>
              </w:r>
            </w:hyperlink>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21">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121">
              <w:r>
                <w:rPr>
                  <w:rStyle w:val="InternetLink"/>
                  <w:rFonts w:ascii="Times New Roman;serif" w:hAnsi="Times New Roman;serif"/>
                  <w:b w:val="false"/>
                  <w:strike w:val="false"/>
                  <w:dstrike w:val="false"/>
                  <w:color w:val="0000FF"/>
                  <w:sz w:val="20"/>
                  <w:u w:val="none"/>
                  <w:effect w:val="none"/>
                </w:rPr>
                <w:t>81</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24">
              <w:r>
                <w:rPr>
                  <w:rStyle w:val="InternetLink"/>
                  <w:rFonts w:ascii="Times New Roman;serif" w:hAnsi="Times New Roman;serif"/>
                  <w:b w:val="false"/>
                  <w:color w:val="0000FF"/>
                  <w:sz w:val="20"/>
                  <w:u w:val="single"/>
                </w:rPr>
                <w:t>Item 3.</w:t>
              </w:r>
            </w:hyperlink>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24">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124">
              <w:r>
                <w:rPr>
                  <w:rStyle w:val="InternetLink"/>
                  <w:rFonts w:ascii="Times New Roman;serif" w:hAnsi="Times New Roman;serif"/>
                  <w:b w:val="false"/>
                  <w:strike w:val="false"/>
                  <w:dstrike w:val="false"/>
                  <w:color w:val="0000FF"/>
                  <w:sz w:val="20"/>
                  <w:u w:val="none"/>
                  <w:effect w:val="none"/>
                </w:rPr>
                <w:t>81</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27">
              <w:r>
                <w:rPr>
                  <w:rStyle w:val="InternetLink"/>
                  <w:rFonts w:ascii="Times New Roman;serif" w:hAnsi="Times New Roman;serif"/>
                  <w:b w:val="false"/>
                  <w:color w:val="0000FF"/>
                  <w:sz w:val="20"/>
                  <w:u w:val="single"/>
                </w:rPr>
                <w:t>Item 4.</w:t>
              </w:r>
            </w:hyperlink>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27">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127">
              <w:r>
                <w:rPr>
                  <w:rStyle w:val="InternetLink"/>
                  <w:rFonts w:ascii="Times New Roman;serif" w:hAnsi="Times New Roman;serif"/>
                  <w:b w:val="false"/>
                  <w:strike w:val="false"/>
                  <w:dstrike w:val="false"/>
                  <w:color w:val="0000FF"/>
                  <w:sz w:val="20"/>
                  <w:u w:val="none"/>
                  <w:effect w:val="none"/>
                </w:rPr>
                <w:t>81</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30">
              <w:r>
                <w:rPr>
                  <w:rStyle w:val="InternetLink"/>
                  <w:rFonts w:ascii="Times New Roman;serif" w:hAnsi="Times New Roman;serif"/>
                  <w:b w:val="false"/>
                  <w:color w:val="0000FF"/>
                  <w:sz w:val="20"/>
                  <w:u w:val="single"/>
                </w:rPr>
                <w:t>Item 5.</w:t>
              </w:r>
            </w:hyperlink>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30">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130">
              <w:r>
                <w:rPr>
                  <w:rStyle w:val="InternetLink"/>
                  <w:rFonts w:ascii="Times New Roman;serif" w:hAnsi="Times New Roman;serif"/>
                  <w:b w:val="false"/>
                  <w:strike w:val="false"/>
                  <w:dstrike w:val="false"/>
                  <w:color w:val="0000FF"/>
                  <w:sz w:val="20"/>
                  <w:u w:val="none"/>
                  <w:effect w:val="none"/>
                </w:rPr>
                <w:t>81</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36">
              <w:r>
                <w:rPr>
                  <w:rStyle w:val="InternetLink"/>
                  <w:rFonts w:ascii="Times New Roman;serif" w:hAnsi="Times New Roman;serif"/>
                  <w:b w:val="false"/>
                  <w:color w:val="0000FF"/>
                  <w:sz w:val="20"/>
                  <w:u w:val="single"/>
                </w:rPr>
                <w:t>Item 6.</w:t>
              </w:r>
            </w:hyperlink>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36">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136">
              <w:r>
                <w:rPr>
                  <w:rStyle w:val="InternetLink"/>
                  <w:rFonts w:ascii="Times New Roman;serif" w:hAnsi="Times New Roman;serif"/>
                  <w:b w:val="false"/>
                  <w:strike w:val="false"/>
                  <w:dstrike w:val="false"/>
                  <w:color w:val="0000FF"/>
                  <w:sz w:val="20"/>
                  <w:u w:val="none"/>
                  <w:effect w:val="none"/>
                </w:rPr>
                <w:t>83</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3156cd58e4395bbe0897c1f342520_139">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3156cd58e4395bbe0897c1f342520_139">
              <w:r>
                <w:rPr>
                  <w:rStyle w:val="InternetLink"/>
                  <w:rFonts w:ascii="Times New Roman;serif" w:hAnsi="Times New Roman;serif"/>
                  <w:b w:val="false"/>
                  <w:strike w:val="false"/>
                  <w:dstrike w:val="false"/>
                  <w:color w:val="0000FF"/>
                  <w:sz w:val="20"/>
                  <w:u w:val="none"/>
                  <w:effect w:val="none"/>
                </w:rPr>
                <w:t>84</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“target,” or the negative of these terms or other similar expressions.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regarding, amongst other things: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defects, interruptions, outages, delays in performance, or similar problems with our platform;</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attract new large customers and to have existing large customers continue and increase their use of our platform;</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the potential loss or significant reduction in usage by one or more of our major customers;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component delays, shortages, and price increases;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history of operating losses;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 xml:space="preserve">the potential that security measures, or those of third parties upon which we rely, are compromised, or the security, confidentiality, integrity, or availability of our information technology, software, services, networks, communications, or data is compromised, limited or fails; </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efficiently develop and sell new products and respond effectively to rapidly changing technology, evolving industry standards, changing regulations, and changing customer needs, requirements, or preferences;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forecast our revenue accurately and manage our expenditures;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effectively develop and expand our marketing and sales capabilities;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compete effectively with existing competitors and new market entrants;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maintain and enhance our brand;</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comply with evolving laws, regulations, industry standards, and other obligations;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identify and integrate acquisitions, strategic investments, partnerships, or alliances;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attract and retain qualified employees and key personnel;</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reliance on the performance of highly skilled personnel, including our senior management and other key employees, and the loss or transition of one or more of such personnel, or of a significant number of our team members;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 xml:space="preserve">our involvement in class-action lawsuits and other litigation matters; </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 xml:space="preserve">our estimates or judgments relating to our critical accounting estimates may prove to be incorrect or impaired; </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maintain effective internal control over financial reporting; and</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stock price volatility, and the potential decline in the value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 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may announce material business and financial information to our investors using our investor relations website (www.fastly.com/investors), our filings with the Securities and Exchange Commission, our corporate X (formerly known as Twitter) account (@Fastly), our blog (www.fastly.com/blog), our corporate LinkedIn account (www.linkedin.com/company/fastly), webcasts, press releases, and conference calls. We use these mediums, including our website, to communicate with investors and the general public about us, our products, and other issues. It is possible that the information that we make available on these mediums may be deemed to be material information. We therefore encourage investors and others interested in us to review the information that we make available through these channels.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However, some information we disclose (whether in this Quarterly Report on Form 10-Q or other mediums) is informed by third-party frameworks and the expectations of various stakeholders and, therefore, is not necessarily material for purposes of our securities filings, even if we use words such as “material” or “materiality.” Particularly in the environmental, social, and governance matters context, information often uses definitions of materiality that differ from (and are more expansive than) the definition under U.S. federal securities laws.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28"/>
        <w:gridCol w:w="1945"/>
        <w:gridCol w:w="1952"/>
        <w:gridCol w:w="109"/>
        <w:gridCol w:w="109"/>
        <w:gridCol w:w="109"/>
        <w:gridCol w:w="225"/>
        <w:gridCol w:w="1000"/>
        <w:gridCol w:w="125"/>
        <w:gridCol w:w="109"/>
        <w:gridCol w:w="109"/>
        <w:gridCol w:w="109"/>
        <w:gridCol w:w="236"/>
        <w:gridCol w:w="1051"/>
        <w:gridCol w:w="189"/>
      </w:tblGrid>
      <w:tr>
        <w:trPr/>
        <w:tc>
          <w:tcPr>
            <w:tcW w:w="282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6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180,563 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181,196 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$6,156 and $6,262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118,029 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490,086 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506,709 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186,785 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670,356 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670,356 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57,789 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1,513,528 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1,499,477 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163,440 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193,998 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323,282 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536,382 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569,899 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$0.00002 par value; 1,000,000,000 shares authorized as of both March 31, 2026 and December 31, 2025; 156,367,942 and 151,537,271 shares issued and outstanding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$0.00002 par value; 4,191,275 shares authorized as of March 31, 2026 and December 31, 2025; no shares issued and outstanding as of both March 31,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2,112,577 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2,044,103 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(1,135,011)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(1,114,487)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977,146 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929,578 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1,513,528 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1,499,477 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11"/>
        <w:gridCol w:w="2179"/>
        <w:gridCol w:w="2196"/>
        <w:gridCol w:w="109"/>
        <w:gridCol w:w="109"/>
        <w:gridCol w:w="109"/>
        <w:gridCol w:w="196"/>
        <w:gridCol w:w="736"/>
        <w:gridCol w:w="109"/>
        <w:gridCol w:w="109"/>
        <w:gridCol w:w="109"/>
        <w:gridCol w:w="109"/>
        <w:gridCol w:w="196"/>
        <w:gridCol w:w="736"/>
        <w:gridCol w:w="109"/>
        <w:gridCol w:w="109"/>
        <w:gridCol w:w="109"/>
        <w:gridCol w:w="109"/>
        <w:gridCol w:w="156"/>
      </w:tblGrid>
      <w:tr>
        <w:trPr/>
        <w:tc>
          <w:tcPr>
            <w:tcW w:w="2611"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153,579 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143,284 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240"/>
        <w:jc w:val="center"/>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672" w:type="dxa"/>
        <w:jc w:val="center"/>
        <w:tblInd w:w="0" w:type="dxa"/>
        <w:tblLayout w:type="fixed"/>
        <w:tblCellMar>
          <w:top w:w="28" w:type="dxa"/>
          <w:left w:w="28" w:type="dxa"/>
          <w:bottom w:w="28" w:type="dxa"/>
          <w:right w:w="28" w:type="dxa"/>
        </w:tblCellMar>
      </w:tblPr>
      <w:tblGrid>
        <w:gridCol w:w="1621"/>
        <w:gridCol w:w="1420"/>
        <w:gridCol w:w="1444"/>
        <w:gridCol w:w="109"/>
        <w:gridCol w:w="109"/>
        <w:gridCol w:w="109"/>
        <w:gridCol w:w="196"/>
        <w:gridCol w:w="721"/>
        <w:gridCol w:w="109"/>
        <w:gridCol w:w="109"/>
        <w:gridCol w:w="109"/>
        <w:gridCol w:w="109"/>
        <w:gridCol w:w="196"/>
        <w:gridCol w:w="721"/>
        <w:gridCol w:w="109"/>
        <w:gridCol w:w="109"/>
        <w:gridCol w:w="109"/>
        <w:gridCol w:w="109"/>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loss on investments in available-for-sale-securities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There were no material reclassifications out of accumulated other comprehensive loss during the three months ended March 31, 2026 and 2025. Additionally, there was no material tax impact on the amounts presented.</w:t>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690"/>
        <w:gridCol w:w="352"/>
        <w:gridCol w:w="353"/>
        <w:gridCol w:w="109"/>
        <w:gridCol w:w="109"/>
        <w:gridCol w:w="109"/>
        <w:gridCol w:w="368"/>
        <w:gridCol w:w="368"/>
        <w:gridCol w:w="196"/>
        <w:gridCol w:w="109"/>
        <w:gridCol w:w="109"/>
        <w:gridCol w:w="109"/>
        <w:gridCol w:w="248"/>
        <w:gridCol w:w="305"/>
        <w:gridCol w:w="138"/>
        <w:gridCol w:w="109"/>
        <w:gridCol w:w="109"/>
        <w:gridCol w:w="109"/>
        <w:gridCol w:w="204"/>
        <w:gridCol w:w="907"/>
        <w:gridCol w:w="113"/>
        <w:gridCol w:w="109"/>
        <w:gridCol w:w="109"/>
        <w:gridCol w:w="109"/>
        <w:gridCol w:w="397"/>
        <w:gridCol w:w="885"/>
        <w:gridCol w:w="222"/>
        <w:gridCol w:w="109"/>
        <w:gridCol w:w="109"/>
        <w:gridCol w:w="109"/>
        <w:gridCol w:w="196"/>
        <w:gridCol w:w="895"/>
        <w:gridCol w:w="109"/>
        <w:gridCol w:w="109"/>
        <w:gridCol w:w="109"/>
        <w:gridCol w:w="109"/>
        <w:gridCol w:w="232"/>
        <w:gridCol w:w="875"/>
        <w:gridCol w:w="190"/>
      </w:tblGrid>
      <w:tr>
        <w:trPr/>
        <w:tc>
          <w:tcPr>
            <w:tcW w:w="6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Paid-in </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5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2,044,103 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929,578 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bonus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39,455 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156,368 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2,112,577 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(1,135,011)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977,146 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90"/>
        <w:gridCol w:w="352"/>
        <w:gridCol w:w="353"/>
        <w:gridCol w:w="109"/>
        <w:gridCol w:w="109"/>
        <w:gridCol w:w="109"/>
        <w:gridCol w:w="368"/>
        <w:gridCol w:w="368"/>
        <w:gridCol w:w="196"/>
        <w:gridCol w:w="109"/>
        <w:gridCol w:w="109"/>
        <w:gridCol w:w="109"/>
        <w:gridCol w:w="248"/>
        <w:gridCol w:w="305"/>
        <w:gridCol w:w="138"/>
        <w:gridCol w:w="109"/>
        <w:gridCol w:w="109"/>
        <w:gridCol w:w="109"/>
        <w:gridCol w:w="204"/>
        <w:gridCol w:w="907"/>
        <w:gridCol w:w="113"/>
        <w:gridCol w:w="109"/>
        <w:gridCol w:w="109"/>
        <w:gridCol w:w="109"/>
        <w:gridCol w:w="397"/>
        <w:gridCol w:w="885"/>
        <w:gridCol w:w="222"/>
        <w:gridCol w:w="109"/>
        <w:gridCol w:w="109"/>
        <w:gridCol w:w="109"/>
        <w:gridCol w:w="196"/>
        <w:gridCol w:w="895"/>
        <w:gridCol w:w="109"/>
        <w:gridCol w:w="109"/>
        <w:gridCol w:w="109"/>
        <w:gridCol w:w="109"/>
        <w:gridCol w:w="232"/>
        <w:gridCol w:w="875"/>
        <w:gridCol w:w="190"/>
      </w:tblGrid>
      <w:tr>
        <w:trPr/>
        <w:tc>
          <w:tcPr>
            <w:tcW w:w="6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Paid-in </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5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1,958,157 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965,250 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bonus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(39,148)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144,686 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1,989,108 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(1,031,958)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957,023 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31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4" w:type="dxa"/>
            <w:gridSpan w:val="2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431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4" w:type="dxa"/>
            <w:gridSpan w:val="2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8452" w:type="dxa"/>
        <w:jc w:val="center"/>
        <w:tblInd w:w="0" w:type="dxa"/>
        <w:tblLayout w:type="fixed"/>
        <w:tblCellMar>
          <w:top w:w="28" w:type="dxa"/>
          <w:left w:w="28" w:type="dxa"/>
          <w:bottom w:w="28" w:type="dxa"/>
          <w:right w:w="28" w:type="dxa"/>
        </w:tblCellMar>
      </w:tblPr>
      <w:tblGrid>
        <w:gridCol w:w="2016"/>
        <w:gridCol w:w="1767"/>
        <w:gridCol w:w="1781"/>
        <w:gridCol w:w="109"/>
        <w:gridCol w:w="109"/>
        <w:gridCol w:w="109"/>
        <w:gridCol w:w="202"/>
        <w:gridCol w:w="775"/>
        <w:gridCol w:w="112"/>
        <w:gridCol w:w="112"/>
        <w:gridCol w:w="112"/>
        <w:gridCol w:w="112"/>
        <w:gridCol w:w="202"/>
        <w:gridCol w:w="775"/>
        <w:gridCol w:w="159"/>
      </w:tblGrid>
      <w:tr>
        <w:trPr/>
        <w:tc>
          <w:tcPr>
            <w:tcW w:w="201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disposals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discounts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(179,486)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(178,885)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other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(160,691)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146,670</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125,484</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54"/>
        <w:gridCol w:w="2333"/>
        <w:gridCol w:w="2345"/>
        <w:gridCol w:w="109"/>
        <w:gridCol w:w="109"/>
        <w:gridCol w:w="109"/>
        <w:gridCol w:w="228"/>
        <w:gridCol w:w="752"/>
        <w:gridCol w:w="127"/>
        <w:gridCol w:w="127"/>
        <w:gridCol w:w="127"/>
        <w:gridCol w:w="127"/>
        <w:gridCol w:w="228"/>
        <w:gridCol w:w="648"/>
        <w:gridCol w:w="182"/>
      </w:tblGrid>
      <w:tr>
        <w:trPr/>
        <w:tc>
          <w:tcPr>
            <w:tcW w:w="265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7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finance lease 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additions not yet paid in cash or financed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obtained in exchange for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non-cash change in operating lease assets and liabilities associated with modifications and terminations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Deployments of prepaid capital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Fastly, Inc. is an edge cloud platform that can process, serve, and secure its customers' applications as close to their end users as possible. The Company was incorporated in Delaware in 2011 and is headquartered in San Francisco, California.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used herein, “Fastly,” “the Company,” “its,” and similar terms include Fastly, Inc. and its subsidiaries,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footnotes have been prepared in conformity with U.S. generally accepted accounting principles (“GAAP”), consistent in all material respects with those applied in the Company’s Annual Report on Form 10-K for the fiscal year ended December 31, 2025, filed with the Securities and Exchange Commission (“SEC”) on February 25, 2026. The Company’s condensed consolidated financial statements include its accounts and its wholly owned subsidiaries. All significant intercompany transactions and balances have been eliminated in consolidation.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are unaudited but include all adjustments of a normal recurring nature necessary for a fair presentation of its quarterly results. The Company’s condensed consolidated financial statements should be read in conjunction with the audited condensed consolidated financial statements and related notes in the Company’s Annual Report on Form 10-K for the fiscal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preparation of condensed consolidated financial statements in conformity with GAAP requires management to make estimates, judgments, and assumptions that affect the reported amounts of assets, liabilities, revenue, costs and expenses, and related disclosures. Actual results and outcomes could differ significantly from the Company’s estimates, judgments, and assumptions. Significant estimates, judgments, and assumptions used in these financial statements include, but are not limited to, those related to revenue, accounts receivable and related reserves, internal-use software development costs, the incremental borrowing rate related to the Company’s lease liabilities,</w:t>
      </w:r>
      <w:r>
        <w:rPr>
          <w:color w:val="000000"/>
        </w:rPr>
        <w:t xml:space="preserve"> </w:t>
      </w:r>
      <w:r>
        <w:rPr>
          <w:rFonts w:ascii="Times New Roman;serif" w:hAnsi="Times New Roman;serif"/>
          <w:b w:val="false"/>
          <w:color w:val="000000"/>
          <w:sz w:val="20"/>
        </w:rPr>
        <w:t>fair value of assets acquired and liabilities assumed during business combinations, useful lives of property and equipment and acquired intangible assets, financial instruments, income tax reserves, and accounting for stock-based compensation. Estimates are periodically reviewed in light of changes in circumstances, facts, and experience. The effects of material revisions in estimates are reflected in the condensed consolidated financial statements in the period of change and prospectively from the date of the change in estimate.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implemented software and hardware initiatives to manage its global network more efficiently and has determined, effective January 1, 2026, that the effective useful life of its servers has increased from five years to six years, As a result depreciation expense as well as net loss decreased by $3.3 million for the three months ended March 31,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Company’s significant accounting policies as compared to those described in “Note 2 – Summary of Significant Accounting Policies” of the Company’s Annual Report on Form 10-K for the fiscal year ended December 31, 2025.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Financial Accounting Standards Board ("FASB") issued ASU 2024-03 “Disaggregation of Income Statement Expenses,” which aims to improve the disclosures about a public business entity’s expenses and address requests from investors for more detailed information about the types of expenses in commonly presented expense captions. The guidance is effective for the Company's annual periods beginning in 2027 and interim periods beginning in the first quarter of fiscal year 2028. The Company is currently evaluating the impact of the new guidance.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2024-04 “Induced Conversions of Convertible Debt Instruments,” which amends ASC 470-202 to clarify the requirements related to accounting for the settlement of a debt instrument as an induced conversion. The guidance is effective for the Company's annual periods beginning in 2026 and interim periods within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annual reporting periods. The Company adopted the standard effective January 1, 2026 on a prospective basis. Adoption of the guidance did not have a material impact on the Company’s condensed consolidated financial statements.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Internal-Use Software,” which aims to clarify and modernize the accounting for costs related to internal-use software. The guidance is effective for the Company's interim and annual periods beginning in 2028. The Company is currently evaluating the impact of the new guidance.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significant concentrations of credit risk consist primarily of cash, cash equivalents, marketable securities and accounts receivable.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cash, cash equivalents, and marketable securities primarily consisted of money market funds, investment-grade commercial paper, corporate notes and bonds, U.S. treasury securities, municipal bonds, agency bonds, and certificates of deposit. The primary focus of its investment strategy is to preserve capital and meet liquidity requirements. The Company’s investment policy limits the amount of credit exposure with any one financial institution or commercial issuer. The Company maintains deposits in federally insured financial institutions in excess of federally insured limits. The Company is exposed to credit risk in the event of default by the financial institutions holding its cash and cash equivalents to the extent recorded in the balance sheets.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accounts receivable are primarily limited to certain customers to which the Company makes substantial sales. The Company’s customer base consists of a large number of geographically dispersed customers diversified across several industries.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single customer accounted for more than 10% of the Company's revenue for the three months ended March 31, 2026 and 2025. No affiliated customers that are business units of a single company generated more than 10% of revenue for the three months ended March 31, 2026 and 2025.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single customer accounted for more than 10% of the total accounts receivable balance as of March 31, 2026 and December 31, 2025. No affiliated customers that are business units of a single company generated an aggregate of more than 10% of the Company's accounts receivable balance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geography is based on the billing address of the customer. Aside from the United States, no other single country accounted for more than 10% of revenue for the three months ended March 31, 2026 and 2025. The following table presents the Company’s net revenue by geographic region:</w:t>
      </w:r>
    </w:p>
    <w:tbl>
      <w:tblPr>
        <w:tblW w:w="5061" w:type="dxa"/>
        <w:jc w:val="left"/>
        <w:tblInd w:w="0" w:type="dxa"/>
        <w:tblLayout w:type="fixed"/>
        <w:tblCellMar>
          <w:top w:w="28" w:type="dxa"/>
          <w:left w:w="28" w:type="dxa"/>
          <w:bottom w:w="28" w:type="dxa"/>
          <w:right w:w="28" w:type="dxa"/>
        </w:tblCellMar>
      </w:tblPr>
      <w:tblGrid>
        <w:gridCol w:w="593"/>
        <w:gridCol w:w="519"/>
        <w:gridCol w:w="522"/>
        <w:gridCol w:w="109"/>
        <w:gridCol w:w="109"/>
        <w:gridCol w:w="109"/>
        <w:gridCol w:w="211"/>
        <w:gridCol w:w="826"/>
        <w:gridCol w:w="109"/>
        <w:gridCol w:w="109"/>
        <w:gridCol w:w="109"/>
        <w:gridCol w:w="109"/>
        <w:gridCol w:w="211"/>
        <w:gridCol w:w="826"/>
        <w:gridCol w:w="109"/>
        <w:gridCol w:w="109"/>
        <w:gridCol w:w="109"/>
        <w:gridCol w:w="109"/>
        <w:gridCol w:w="154"/>
      </w:tblGrid>
      <w:tr>
        <w:trPr/>
        <w:tc>
          <w:tcPr>
            <w:tcW w:w="5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reports its revenue by three product lines: Network Services, Security, and Other. Network Services include solutions designed to improve performance of websites, apps, application programming interfaces (“APIs”), and digital media. Security includes products designed to protect websites, apps, APIs, and users. Other includes Compute solutions that allow developers to build and deploy modern web applications on Fastly's edge cloud platform and Observability solutions that provide real-time logs, data, and metrics streamed from Fastly's edge platform for actionable insights. The following table presents the Company’s revenue by product 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tbl>
      <w:tblPr>
        <w:tblW w:w="4957" w:type="dxa"/>
        <w:jc w:val="left"/>
        <w:tblInd w:w="0" w:type="dxa"/>
        <w:tblLayout w:type="fixed"/>
        <w:tblCellMar>
          <w:top w:w="28" w:type="dxa"/>
          <w:left w:w="28" w:type="dxa"/>
          <w:bottom w:w="28" w:type="dxa"/>
          <w:right w:w="28" w:type="dxa"/>
        </w:tblCellMar>
      </w:tblPr>
      <w:tblGrid>
        <w:gridCol w:w="555"/>
        <w:gridCol w:w="487"/>
        <w:gridCol w:w="488"/>
        <w:gridCol w:w="109"/>
        <w:gridCol w:w="109"/>
        <w:gridCol w:w="109"/>
        <w:gridCol w:w="211"/>
        <w:gridCol w:w="826"/>
        <w:gridCol w:w="109"/>
        <w:gridCol w:w="109"/>
        <w:gridCol w:w="109"/>
        <w:gridCol w:w="109"/>
        <w:gridCol w:w="211"/>
        <w:gridCol w:w="826"/>
        <w:gridCol w:w="109"/>
        <w:gridCol w:w="109"/>
        <w:gridCol w:w="109"/>
        <w:gridCol w:w="109"/>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Network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may differ from the timing of invoicing to customers. The Company’s payment terms and conditions vary by contract type and generally range from 30 to 90 days.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a contract asset, or unbilled receivable, when a contractual right to consideration exists for both completed and partially completed performance obligations that may not have been invoiced. Contract assets are typically related to the Company's subscription services and platform usage. Contract assets are included in accounts receivable, net on the Company's condensed consolidated balance sheets.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a contract liability, or deferred revenue, when a contract is billed to customers in advance of revenue being recognized. Deferred revenue primarily consists of the unearned portions of billings for the Company’s security subscription services and the unearned portion of committed edge cloud platform usage. Contract liabilities are included in deferred revenue for the current portion and other long term liabilities for the long-term portion on the condensed consolidated balance sheets.</w:t>
      </w:r>
    </w:p>
    <w:p>
      <w:pPr>
        <w:pStyle w:val="TextBody"/>
        <w:bidi w:val="0"/>
        <w:spacing w:lineRule="auto" w:line="25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contract assets and contract liabilities as of March 31, 2026 and as of December 31, 2025:</w:t>
      </w:r>
    </w:p>
    <w:tbl>
      <w:tblPr>
        <w:tblW w:w="5948" w:type="dxa"/>
        <w:jc w:val="left"/>
        <w:tblInd w:w="0" w:type="dxa"/>
        <w:tblLayout w:type="fixed"/>
        <w:tblCellMar>
          <w:top w:w="28" w:type="dxa"/>
          <w:left w:w="28" w:type="dxa"/>
          <w:bottom w:w="28" w:type="dxa"/>
          <w:right w:w="28" w:type="dxa"/>
        </w:tblCellMar>
      </w:tblPr>
      <w:tblGrid>
        <w:gridCol w:w="597"/>
        <w:gridCol w:w="525"/>
        <w:gridCol w:w="528"/>
        <w:gridCol w:w="109"/>
        <w:gridCol w:w="109"/>
        <w:gridCol w:w="109"/>
        <w:gridCol w:w="340"/>
        <w:gridCol w:w="1164"/>
        <w:gridCol w:w="176"/>
        <w:gridCol w:w="109"/>
        <w:gridCol w:w="109"/>
        <w:gridCol w:w="109"/>
        <w:gridCol w:w="381"/>
        <w:gridCol w:w="1305"/>
        <w:gridCol w:w="278"/>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recognized during the three months ended March 31, 2026 and 2025 from amounts included in contract liability at the beginning of the period:</w:t>
      </w:r>
    </w:p>
    <w:tbl>
      <w:tblPr>
        <w:tblW w:w="10205" w:type="dxa"/>
        <w:jc w:val="left"/>
        <w:tblInd w:w="0" w:type="dxa"/>
        <w:tblLayout w:type="fixed"/>
        <w:tblCellMar>
          <w:top w:w="28" w:type="dxa"/>
          <w:left w:w="28" w:type="dxa"/>
          <w:bottom w:w="28" w:type="dxa"/>
          <w:right w:w="28" w:type="dxa"/>
        </w:tblCellMar>
      </w:tblPr>
      <w:tblGrid>
        <w:gridCol w:w="2453"/>
        <w:gridCol w:w="2155"/>
        <w:gridCol w:w="2161"/>
        <w:gridCol w:w="109"/>
        <w:gridCol w:w="109"/>
        <w:gridCol w:w="109"/>
        <w:gridCol w:w="211"/>
        <w:gridCol w:w="721"/>
        <w:gridCol w:w="109"/>
        <w:gridCol w:w="109"/>
        <w:gridCol w:w="109"/>
        <w:gridCol w:w="109"/>
        <w:gridCol w:w="211"/>
        <w:gridCol w:w="721"/>
        <w:gridCol w:w="109"/>
        <w:gridCol w:w="109"/>
        <w:gridCol w:w="109"/>
        <w:gridCol w:w="109"/>
        <w:gridCol w:w="109"/>
        <w:gridCol w:w="109"/>
        <w:gridCol w:w="155"/>
      </w:tblGrid>
      <w:tr>
        <w:trPr/>
        <w:tc>
          <w:tcPr>
            <w:tcW w:w="2453"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73" w:type="dxa"/>
            <w:gridSpan w:val="3"/>
            <w:tcBorders/>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 from amounts included in contract liability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Remaining Performance Obligations (“RPO”)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represents deferred revenue and amounts that were and will be invoiced and recognized as revenue in future periods for non-cancelable subscription arrangements and usage commitments. The Company’s RPO excludes performance obligations from on-demand arrangements when there are no minimum purchase commitments associated with these arrangements.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aggregate amount of the transaction price in our contracts allocated to remaining performance obligations that are unsatisfied or partially unsatisfied was $368.7 million. This amount includes future committed revenue for periods within current contracts with customers, as well as deferred revenue arising from consideration invoiced for which the related performance obligations have not been satisfied. As of March 31, 2026, the Company expects to recognize approximately 75% of its remaining performance obligations over the next 12 months. The Company’s typical contractual term with its customers is one year, although terms may vary by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4.     Investments and Fair Value Measurements</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certain of the Company’s financial instruments, including cash held in banks, accounts receivable, and accounts payable, the carrying amounts approximate fair value due to their short maturities, and are therefore excluded from the fair value tables below.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There is a three-tier fair value hierarchy, which prioritizes the inputs used in measuring fair value as follows: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1—Observable inputs such as quoted prices in active markets for identical assets or liabilities;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3—Unobservable inputs that are supported by little or no market activity, which require management judgment or estimation.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measures its cash equivalents and marketable securities at fair value. The Company classifies its cash equivalents and marketable securities within Level 1 or Level 2 because the Company values these investments using quoted market prices or alternative pricing sources and models utilizing market observable inputs.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investments, which are comprised of corporate notes and bonds, commercial paper, U.S. treasury securities, certificates of deposit, and municipal securities within Level 2 of the fair value hierarchy because the fair value of these securities is priced by using inputs based on non-binding market consensus prices that are primarily corroborated by observable market data or quoted market prices for similar instruments. Financial assets and liabilities are measured and recorded at fair value on a recurring basis.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adjusted cost, gross unrealized gains and losses, and fair value related to cash equivalents and available-for-sale securities on the accompanying condensed consolidated balance sheets as of March 31, 2026 and December 31, 2025:</w:t>
      </w:r>
    </w:p>
    <w:tbl>
      <w:tblPr>
        <w:tblW w:w="10205" w:type="dxa"/>
        <w:jc w:val="left"/>
        <w:tblInd w:w="0" w:type="dxa"/>
        <w:tblLayout w:type="fixed"/>
        <w:tblCellMar>
          <w:top w:w="28" w:type="dxa"/>
          <w:left w:w="28" w:type="dxa"/>
          <w:bottom w:w="28" w:type="dxa"/>
          <w:right w:w="28" w:type="dxa"/>
        </w:tblCellMar>
      </w:tblPr>
      <w:tblGrid>
        <w:gridCol w:w="729"/>
        <w:gridCol w:w="370"/>
        <w:gridCol w:w="343"/>
        <w:gridCol w:w="109"/>
        <w:gridCol w:w="109"/>
        <w:gridCol w:w="109"/>
        <w:gridCol w:w="211"/>
        <w:gridCol w:w="826"/>
        <w:gridCol w:w="109"/>
        <w:gridCol w:w="109"/>
        <w:gridCol w:w="109"/>
        <w:gridCol w:w="109"/>
        <w:gridCol w:w="257"/>
        <w:gridCol w:w="495"/>
        <w:gridCol w:w="134"/>
        <w:gridCol w:w="109"/>
        <w:gridCol w:w="109"/>
        <w:gridCol w:w="109"/>
        <w:gridCol w:w="233"/>
        <w:gridCol w:w="534"/>
        <w:gridCol w:w="121"/>
        <w:gridCol w:w="109"/>
        <w:gridCol w:w="109"/>
        <w:gridCol w:w="109"/>
        <w:gridCol w:w="211"/>
        <w:gridCol w:w="826"/>
        <w:gridCol w:w="109"/>
        <w:gridCol w:w="109"/>
        <w:gridCol w:w="109"/>
        <w:gridCol w:w="109"/>
        <w:gridCol w:w="254"/>
        <w:gridCol w:w="997"/>
        <w:gridCol w:w="131"/>
        <w:gridCol w:w="109"/>
        <w:gridCol w:w="109"/>
        <w:gridCol w:w="109"/>
        <w:gridCol w:w="239"/>
        <w:gridCol w:w="935"/>
        <w:gridCol w:w="179"/>
      </w:tblGrid>
      <w:tr>
        <w:trPr/>
        <w:tc>
          <w:tcPr>
            <w:tcW w:w="72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Marketable securities:</w:t>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183,819 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9"/>
        <w:gridCol w:w="370"/>
        <w:gridCol w:w="344"/>
        <w:gridCol w:w="109"/>
        <w:gridCol w:w="109"/>
        <w:gridCol w:w="109"/>
        <w:gridCol w:w="211"/>
        <w:gridCol w:w="826"/>
        <w:gridCol w:w="109"/>
        <w:gridCol w:w="109"/>
        <w:gridCol w:w="109"/>
        <w:gridCol w:w="109"/>
        <w:gridCol w:w="257"/>
        <w:gridCol w:w="495"/>
        <w:gridCol w:w="134"/>
        <w:gridCol w:w="109"/>
        <w:gridCol w:w="109"/>
        <w:gridCol w:w="109"/>
        <w:gridCol w:w="257"/>
        <w:gridCol w:w="495"/>
        <w:gridCol w:w="134"/>
        <w:gridCol w:w="109"/>
        <w:gridCol w:w="109"/>
        <w:gridCol w:w="109"/>
        <w:gridCol w:w="211"/>
        <w:gridCol w:w="826"/>
        <w:gridCol w:w="109"/>
        <w:gridCol w:w="109"/>
        <w:gridCol w:w="109"/>
        <w:gridCol w:w="109"/>
        <w:gridCol w:w="254"/>
        <w:gridCol w:w="998"/>
        <w:gridCol w:w="131"/>
        <w:gridCol w:w="109"/>
        <w:gridCol w:w="109"/>
        <w:gridCol w:w="109"/>
        <w:gridCol w:w="239"/>
        <w:gridCol w:w="936"/>
        <w:gridCol w:w="178"/>
      </w:tblGrid>
      <w:tr>
        <w:trPr/>
        <w:tc>
          <w:tcPr>
            <w:tcW w:w="72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Marketable securities:</w:t>
            </w:r>
          </w:p>
        </w:tc>
      </w:tr>
      <w:tr>
        <w:trPr/>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contractual maturities of the Company's marketable securities are all due in one year or less as of March 31, 2026. There were no transfers of assets and liabilities measured at fair value between Level 1 and Level 2, or between Level 2 and Level 3, during the three months ended March 31, 2026 and 2025. For the three months ended March 31, 2026 and 2025, the Company did not record any impairment charges for its marketable debt securities in its condensed consolidated statements of operations. No impairment loss has been recorded on the securities as the Company does not intend to sell any impaired securities, nor is it more likely than not that the Company would be required to sell impaired securities before recovery of amortized cost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5.     Balance Sheet Information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7988" w:type="dxa"/>
        <w:jc w:val="left"/>
        <w:tblInd w:w="0" w:type="dxa"/>
        <w:tblLayout w:type="fixed"/>
        <w:tblCellMar>
          <w:top w:w="28" w:type="dxa"/>
          <w:left w:w="28" w:type="dxa"/>
          <w:bottom w:w="28" w:type="dxa"/>
          <w:right w:w="28" w:type="dxa"/>
        </w:tblCellMar>
      </w:tblPr>
      <w:tblGrid>
        <w:gridCol w:w="1337"/>
        <w:gridCol w:w="1173"/>
        <w:gridCol w:w="1180"/>
        <w:gridCol w:w="109"/>
        <w:gridCol w:w="109"/>
        <w:gridCol w:w="109"/>
        <w:gridCol w:w="309"/>
        <w:gridCol w:w="1211"/>
        <w:gridCol w:w="159"/>
        <w:gridCol w:w="109"/>
        <w:gridCol w:w="109"/>
        <w:gridCol w:w="109"/>
        <w:gridCol w:w="348"/>
        <w:gridCol w:w="1363"/>
        <w:gridCol w:w="25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278,181 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148,419 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479,377 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438,443 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(263,466)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(251,658)</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215,911 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186,785 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on property and equipment for the three months ended March 31, 2026 and 2025 was approximately $11.9 million and $15.2 million, respectively. Included in these amounts was amortization expense for capitalized internal-use software costs of approximately $5.9 million and $5.6 million for the three months ended March 31, 2026 and 2025, respectively. </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w:t>
      </w:r>
    </w:p>
    <w:tbl>
      <w:tblPr>
        <w:tblW w:w="6608"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340"/>
        <w:gridCol w:w="1164"/>
        <w:gridCol w:w="176"/>
        <w:gridCol w:w="109"/>
        <w:gridCol w:w="109"/>
        <w:gridCol w:w="109"/>
        <w:gridCol w:w="381"/>
        <w:gridCol w:w="1305"/>
        <w:gridCol w:w="278"/>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57,789 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the Company recognized $4.8 million and $4.9 million of amortization related to deferred contract costs, respectively. These costs are recorded within sales and marketing expenses on the accompanying condensed consolidated statements of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5992" w:type="dxa"/>
        <w:jc w:val="left"/>
        <w:tblInd w:w="0" w:type="dxa"/>
        <w:tblLayout w:type="fixed"/>
        <w:tblCellMar>
          <w:top w:w="28" w:type="dxa"/>
          <w:left w:w="28" w:type="dxa"/>
          <w:bottom w:w="28" w:type="dxa"/>
          <w:right w:w="28" w:type="dxa"/>
        </w:tblCellMar>
      </w:tblPr>
      <w:tblGrid>
        <w:gridCol w:w="614"/>
        <w:gridCol w:w="538"/>
        <w:gridCol w:w="542"/>
        <w:gridCol w:w="109"/>
        <w:gridCol w:w="109"/>
        <w:gridCol w:w="109"/>
        <w:gridCol w:w="340"/>
        <w:gridCol w:w="1164"/>
        <w:gridCol w:w="176"/>
        <w:gridCol w:w="109"/>
        <w:gridCol w:w="109"/>
        <w:gridCol w:w="109"/>
        <w:gridCol w:w="381"/>
        <w:gridCol w:w="1305"/>
        <w:gridCol w:w="278"/>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26,921 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7912" w:type="dxa"/>
        <w:jc w:val="left"/>
        <w:tblInd w:w="0" w:type="dxa"/>
        <w:tblLayout w:type="fixed"/>
        <w:tblCellMar>
          <w:top w:w="28" w:type="dxa"/>
          <w:left w:w="28" w:type="dxa"/>
          <w:bottom w:w="28" w:type="dxa"/>
          <w:right w:w="28" w:type="dxa"/>
        </w:tblCellMar>
      </w:tblPr>
      <w:tblGrid>
        <w:gridCol w:w="1310"/>
        <w:gridCol w:w="1149"/>
        <w:gridCol w:w="1155"/>
        <w:gridCol w:w="109"/>
        <w:gridCol w:w="109"/>
        <w:gridCol w:w="109"/>
        <w:gridCol w:w="340"/>
        <w:gridCol w:w="1164"/>
        <w:gridCol w:w="176"/>
        <w:gridCol w:w="109"/>
        <w:gridCol w:w="109"/>
        <w:gridCol w:w="109"/>
        <w:gridCol w:w="381"/>
        <w:gridCol w:w="1305"/>
        <w:gridCol w:w="278"/>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colocation and bandwidth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70,669 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Current Liabilities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current liabilities consisted of the following:</w:t>
      </w:r>
    </w:p>
    <w:tbl>
      <w:tblPr>
        <w:tblW w:w="8137" w:type="dxa"/>
        <w:jc w:val="center"/>
        <w:tblInd w:w="0" w:type="dxa"/>
        <w:tblLayout w:type="fixed"/>
        <w:tblCellMar>
          <w:top w:w="28" w:type="dxa"/>
          <w:left w:w="28" w:type="dxa"/>
          <w:bottom w:w="28" w:type="dxa"/>
          <w:right w:w="28" w:type="dxa"/>
        </w:tblCellMar>
      </w:tblPr>
      <w:tblGrid>
        <w:gridCol w:w="1392"/>
        <w:gridCol w:w="1220"/>
        <w:gridCol w:w="1227"/>
        <w:gridCol w:w="109"/>
        <w:gridCol w:w="109"/>
        <w:gridCol w:w="109"/>
        <w:gridCol w:w="340"/>
        <w:gridCol w:w="1164"/>
        <w:gridCol w:w="176"/>
        <w:gridCol w:w="109"/>
        <w:gridCol w:w="109"/>
        <w:gridCol w:w="109"/>
        <w:gridCol w:w="422"/>
        <w:gridCol w:w="1234"/>
        <w:gridCol w:w="308"/>
      </w:tblGrid>
      <w:tr>
        <w:trPr/>
        <w:tc>
          <w:tcPr>
            <w:tcW w:w="13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computer and networking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corporate offices and data centers (“colocation” leases) The Company’s operating leases have remaining lease terms ranging from less than 1 year to 8 years, some of which include options to extend the leases. The Company also subleases a portion of its corporate office space. The Company’s sublease has a remaining lease term of 4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 were as follows:</w:t>
      </w:r>
    </w:p>
    <w:tbl>
      <w:tblPr>
        <w:tblW w:w="5715" w:type="dxa"/>
        <w:jc w:val="left"/>
        <w:tblInd w:w="0" w:type="dxa"/>
        <w:tblLayout w:type="fixed"/>
        <w:tblCellMar>
          <w:top w:w="28" w:type="dxa"/>
          <w:left w:w="28" w:type="dxa"/>
          <w:bottom w:w="28" w:type="dxa"/>
          <w:right w:w="28" w:type="dxa"/>
        </w:tblCellMar>
      </w:tblPr>
      <w:tblGrid>
        <w:gridCol w:w="825"/>
        <w:gridCol w:w="725"/>
        <w:gridCol w:w="730"/>
        <w:gridCol w:w="109"/>
        <w:gridCol w:w="109"/>
        <w:gridCol w:w="109"/>
        <w:gridCol w:w="211"/>
        <w:gridCol w:w="721"/>
        <w:gridCol w:w="109"/>
        <w:gridCol w:w="109"/>
        <w:gridCol w:w="109"/>
        <w:gridCol w:w="109"/>
        <w:gridCol w:w="211"/>
        <w:gridCol w:w="721"/>
        <w:gridCol w:w="109"/>
        <w:gridCol w:w="109"/>
        <w:gridCol w:w="109"/>
        <w:gridCol w:w="109"/>
        <w:gridCol w:w="109"/>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72" w:type="dxa"/>
            <w:gridSpan w:val="3"/>
            <w:tcBorders/>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short-term lease costs were not material for either of the three months ended March 31, 2026 and 2025. The Company did not recognize any material impairment charges on its operating lease right-of-use assets for either of the three months ended March 31, 2026 or 2025. </w:t>
      </w:r>
    </w:p>
    <w:tbl>
      <w:tblPr>
        <w:tblW w:w="8707" w:type="dxa"/>
        <w:jc w:val="left"/>
        <w:tblInd w:w="0" w:type="dxa"/>
        <w:tblLayout w:type="fixed"/>
        <w:tblCellMar>
          <w:top w:w="28" w:type="dxa"/>
          <w:left w:w="28" w:type="dxa"/>
          <w:bottom w:w="28" w:type="dxa"/>
          <w:right w:w="28" w:type="dxa"/>
        </w:tblCellMar>
      </w:tblPr>
      <w:tblGrid>
        <w:gridCol w:w="1598"/>
        <w:gridCol w:w="1404"/>
        <w:gridCol w:w="1408"/>
        <w:gridCol w:w="109"/>
        <w:gridCol w:w="109"/>
        <w:gridCol w:w="109"/>
        <w:gridCol w:w="372"/>
        <w:gridCol w:w="372"/>
        <w:gridCol w:w="935"/>
        <w:gridCol w:w="109"/>
        <w:gridCol w:w="109"/>
        <w:gridCol w:w="109"/>
        <w:gridCol w:w="399"/>
        <w:gridCol w:w="399"/>
        <w:gridCol w:w="1166"/>
      </w:tblGrid>
      <w:tr>
        <w:trPr/>
        <w:tc>
          <w:tcPr>
            <w:tcW w:w="15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leases as of March 31, 2026 were as follows:</w:t>
      </w:r>
    </w:p>
    <w:tbl>
      <w:tblPr>
        <w:tblW w:w="4917" w:type="dxa"/>
        <w:jc w:val="left"/>
        <w:tblInd w:w="0" w:type="dxa"/>
        <w:tblLayout w:type="fixed"/>
        <w:tblCellMar>
          <w:top w:w="28" w:type="dxa"/>
          <w:left w:w="28" w:type="dxa"/>
          <w:bottom w:w="28" w:type="dxa"/>
          <w:right w:w="28" w:type="dxa"/>
        </w:tblCellMar>
      </w:tblPr>
      <w:tblGrid>
        <w:gridCol w:w="1152"/>
        <w:gridCol w:w="1013"/>
        <w:gridCol w:w="1015"/>
        <w:gridCol w:w="109"/>
        <w:gridCol w:w="109"/>
        <w:gridCol w:w="109"/>
        <w:gridCol w:w="274"/>
        <w:gridCol w:w="936"/>
        <w:gridCol w:w="200"/>
      </w:tblGrid>
      <w:tr>
        <w:trPr/>
        <w:tc>
          <w:tcPr>
            <w:tcW w:w="115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77,646 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has undiscounted commitments of $3.5 million for operating leases that have not yet commenced, and therefore are not included in the right-of-use asset or operating lease liability. These operating leases will commence in subsequent quarters of 2026 with lease terms of up to 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7.     Goodwill and Intangible Assets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Company’s goodwill was $670.4 million. The Company did not record an impairment charge on goodwill during either of the three months ended March 31, 2026 and 2025. </w:t>
      </w:r>
    </w:p>
    <w:p>
      <w:pPr>
        <w:pStyle w:val="TextBody"/>
        <w:bidi w:val="0"/>
        <w:spacing w:lineRule="auto" w:line="288" w:before="0" w:after="240"/>
        <w:jc w:val="left"/>
        <w:rPr/>
      </w:pPr>
      <w:r>
        <w:rPr>
          <w:rFonts w:ascii="Times New Roman;serif" w:hAnsi="Times New Roman;serif"/>
          <w:b/>
          <w:i/>
          <w:color w:val="000000"/>
          <w:sz w:val="20"/>
        </w:rPr>
        <w:t>Intangible Assets, net</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Company’s intangible assets consisted of the following:</w:t>
      </w:r>
    </w:p>
    <w:tbl>
      <w:tblPr>
        <w:tblW w:w="10205" w:type="dxa"/>
        <w:jc w:val="left"/>
        <w:tblInd w:w="0" w:type="dxa"/>
        <w:tblLayout w:type="fixed"/>
        <w:tblCellMar>
          <w:top w:w="28" w:type="dxa"/>
          <w:left w:w="28" w:type="dxa"/>
          <w:bottom w:w="28" w:type="dxa"/>
          <w:right w:w="28" w:type="dxa"/>
        </w:tblCellMar>
      </w:tblPr>
      <w:tblGrid>
        <w:gridCol w:w="573"/>
        <w:gridCol w:w="339"/>
        <w:gridCol w:w="336"/>
        <w:gridCol w:w="109"/>
        <w:gridCol w:w="109"/>
        <w:gridCol w:w="109"/>
        <w:gridCol w:w="217"/>
        <w:gridCol w:w="850"/>
        <w:gridCol w:w="112"/>
        <w:gridCol w:w="109"/>
        <w:gridCol w:w="109"/>
        <w:gridCol w:w="109"/>
        <w:gridCol w:w="220"/>
        <w:gridCol w:w="887"/>
        <w:gridCol w:w="114"/>
        <w:gridCol w:w="109"/>
        <w:gridCol w:w="109"/>
        <w:gridCol w:w="109"/>
        <w:gridCol w:w="217"/>
        <w:gridCol w:w="741"/>
        <w:gridCol w:w="112"/>
        <w:gridCol w:w="109"/>
        <w:gridCol w:w="109"/>
        <w:gridCol w:w="109"/>
        <w:gridCol w:w="217"/>
        <w:gridCol w:w="850"/>
        <w:gridCol w:w="112"/>
        <w:gridCol w:w="109"/>
        <w:gridCol w:w="109"/>
        <w:gridCol w:w="109"/>
        <w:gridCol w:w="220"/>
        <w:gridCol w:w="887"/>
        <w:gridCol w:w="114"/>
        <w:gridCol w:w="109"/>
        <w:gridCol w:w="109"/>
        <w:gridCol w:w="109"/>
        <w:gridCol w:w="216"/>
        <w:gridCol w:w="740"/>
        <w:gridCol w:w="169"/>
      </w:tblGrid>
      <w:tr>
        <w:trPr/>
        <w:tc>
          <w:tcPr>
            <w:tcW w:w="57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protocol addresses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(103,390)</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(101,113)</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customer relationships, developed technology, trade names, and internet protocol addresses represent intangible assets subject to amortization. Amortization expense was $2.3 million and $4.9 million for the three months ended March 31, 2026 and 2025, respectively. </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purchase any intangible assets during either of the three months ended March 31, 2026 and 2025. </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did not record an impairment charge on its intangible assets for the three months ended March 31, 2026 or the three months ended March 31, 2025.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expected amortization expense of intangible assets subject to amortization as of March 31, 2026 is as follows:</w:t>
      </w:r>
    </w:p>
    <w:tbl>
      <w:tblPr>
        <w:tblW w:w="3404" w:type="dxa"/>
        <w:jc w:val="left"/>
        <w:tblInd w:w="0" w:type="dxa"/>
        <w:tblLayout w:type="fixed"/>
        <w:tblCellMar>
          <w:top w:w="28" w:type="dxa"/>
          <w:left w:w="28" w:type="dxa"/>
          <w:bottom w:w="28" w:type="dxa"/>
          <w:right w:w="28" w:type="dxa"/>
        </w:tblCellMar>
      </w:tblPr>
      <w:tblGrid>
        <w:gridCol w:w="608"/>
        <w:gridCol w:w="534"/>
        <w:gridCol w:w="538"/>
        <w:gridCol w:w="335"/>
        <w:gridCol w:w="1145"/>
        <w:gridCol w:w="24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23,494 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8.     Debt Instruments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Senior Secured Credit Facilities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16, 2021, the Company entered into a Senior Secured Credit Facilities Credit Agreement (as amended, restated, amended and restated, supplemented, restructured, or otherwise modified from time to time, the “Credit Agreement”) with the lenders from time to time party thereto (the “Lenders”) and Silicon Valley Bank, a division of First-Citizens Bank &amp; Trust Company, as a lender and as administrative agent and collateral agent for the Lenders. The Credit Agreement provides for a $60.0 million senior secured revolving facility, with a maturity date of the earlier of (i) April 30, 2027 and (ii) so long as any of our permitted convertible debt is outstanding after January 30, 2027 and if Net Liquidity is less than $200.0 million (or, if the amount of outstanding permitted convertible debt is less than $35.0 million, $120.0 million), such date. The Company recorded $0.6 million of debt issuance costs associated with the Credit Agreement in other assets on the Company’s condensed consolidated balance sheets.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revolving loans bear interest, at the Company’s election, at an annual rate based on the ABR (as defined in the Credit Agreement) plus 1.00% (such loans, the “ABR Loans”) or the Adjusted Term SOFR (as defined in the Credit Agreement) plus 2.00% (such loans, the “SOFR Loans”).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payments on outstanding borrowings are due, with respect to SOFR Loans, on the last day of each interest period and with respect to ABR Loans, on the last calendar day of each month. The Credit Agreement has a commitment fee on the unused portion of the borrowing commitment, which is payable on the last day of each calendar quarter at a rate per annum of 0.20% to 0.25% depending on the average daily outstanding balance of all loans and letters of credit under the Credit Agreement. In addition, the Credit Agreement contains a financial covenant that requires the Company to maintain a consolidated adjusted quick ratio of at least 1.25 to 1:00 tested on a quarterly basis as well as a springing revenue growth covenant not to be less than 5% on a quarterly basis for certain periods if the Company’s consolidated adjusted quick ratio falls below 1.75 to 1:00 on the last day of any fiscal quarter. The Credit Agreement requires the Company to comply with various affirmative and negative covenants, and contains customary events of default.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was in compliance with all of the Credit Agreement’s covenants. During the three months ended March 31, 2026 and 2025, no amounts were drawn down on the Credit Agreement. As of March 31, 2026 and December 31, 2025, no amounts were outstanding under the Credit Agreement.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5, 2021, the Company issued approximately $948.8 million aggregate principal amount of 0% convertible unsecured senior notes due 2026 (the “2026 Notes”), including the exercise in full by the initial purchasers of their option to purchase up to an additional approximately $123.8 million principal amount of the 2026 Notes. The 2026 Notes were issued in a private placement to qualified institutional buyers pursuant to Rule 144A under the Securities Act. The net proceeds from the issuance of the 2026 Notes were approximately $930.0 million after deducting the initial purchasers’ discounts and transaction costs.</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25, 2022, the Company entered into separate, privately negotiated transactions with certain holders of the 2026 Notes to repurchase (the “Repurchases”) $235.0 million aggregate principal amount of the 2026 Notes for an aggregate cash repurchase price of $176.4 million and aggregate transaction costs of $0.7 million.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entered into several separate privately negotiated transactions with certain holders of the 2026 Notes to repurchase $367.3 million aggregate principal amount of the 2026 Notes for an aggregate cash repurchase price of $309.1 million and aggregate transaction costs of $2.0 million.</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entered into separate, privately negotiated transactions with certain holders of the 2026 Notes to exchange $157.9 million aggregate principal amount of the 2026 Notes for $150.0 million aggregate principal amount of 7.75% convertible unsecured senior notes due 2028 (the “2028 Notes”), which were issued in a private placement to qualified institutional buyers pursuant to Rule 144A under the Securities Act.</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issued $180.0 million aggregate principal amount of 0% convertible senior unsecured notes due in 2030 (the “2030 Notes”) in a private offering to persons reasonably believed to be qualified institutional buyers pursuant to Rule 144A under the Securities Act. Concurrently with issuance of the 2030 Notes, the Company also entered into separate, privately negotiated transactions with certain holders of the 2026 Notes to repurchase $150.0 million aggregate principal amount of the 2026 Notes for an aggregate cash repurchase price of $148.9 million.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repurchase was accounted for as a debt extinguishment and resulted in a net gain of $0.9 million, which was recorded as non-operating income on the Company’s condensed consolidated statement of operations for the year ended December 31, 2025.</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 2026 Notes matured and were repaid in full.</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Company's outstanding convertible senior notes (collectively, the "Notes") had a par value totaling $330.0 million. The following table summarizes further details of the Notes:</w:t>
      </w:r>
    </w:p>
    <w:tbl>
      <w:tblPr>
        <w:tblW w:w="10205" w:type="dxa"/>
        <w:jc w:val="left"/>
        <w:tblInd w:w="0" w:type="dxa"/>
        <w:tblLayout w:type="fixed"/>
        <w:tblCellMar>
          <w:top w:w="28" w:type="dxa"/>
          <w:left w:w="28" w:type="dxa"/>
          <w:bottom w:w="28" w:type="dxa"/>
          <w:right w:w="28" w:type="dxa"/>
        </w:tblCellMar>
      </w:tblPr>
      <w:tblGrid>
        <w:gridCol w:w="312"/>
        <w:gridCol w:w="275"/>
        <w:gridCol w:w="279"/>
        <w:gridCol w:w="109"/>
        <w:gridCol w:w="109"/>
        <w:gridCol w:w="109"/>
        <w:gridCol w:w="473"/>
        <w:gridCol w:w="421"/>
        <w:gridCol w:w="423"/>
        <w:gridCol w:w="109"/>
        <w:gridCol w:w="109"/>
        <w:gridCol w:w="109"/>
        <w:gridCol w:w="490"/>
        <w:gridCol w:w="444"/>
        <w:gridCol w:w="446"/>
        <w:gridCol w:w="109"/>
        <w:gridCol w:w="109"/>
        <w:gridCol w:w="109"/>
        <w:gridCol w:w="374"/>
        <w:gridCol w:w="1468"/>
        <w:gridCol w:w="193"/>
        <w:gridCol w:w="109"/>
        <w:gridCol w:w="109"/>
        <w:gridCol w:w="109"/>
        <w:gridCol w:w="377"/>
        <w:gridCol w:w="305"/>
        <w:gridCol w:w="762"/>
        <w:gridCol w:w="109"/>
        <w:gridCol w:w="109"/>
        <w:gridCol w:w="109"/>
        <w:gridCol w:w="365"/>
        <w:gridCol w:w="294"/>
        <w:gridCol w:w="869"/>
      </w:tblGrid>
      <w:tr>
        <w:trPr/>
        <w:tc>
          <w:tcPr>
            <w:tcW w:w="3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Coupon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Interest Rate</w:t>
            </w:r>
          </w:p>
        </w:tc>
      </w:tr>
      <w:tr>
        <w:trPr/>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December 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December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Redemption Rights of the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may not redeem the 2028 Notes prior to the maturity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2030 Notes may not be redeemed by the Company prior to December 20, 2028. On or after December 20, 2028, if the common stock price is at least 130% of the conversion price for the 2030 Notes in effect for at least 20 of any 30 consecutive trading day period, the Company may redeem all or part of the 2030 Notes at a redemption price equal to the principal amount and accrued and unpaid interest with at least 35 days’ notice to holders.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Company undergoes a fundamental change at any time prior to the maturity date of the 2030 Notes, holders of the 2030 Notes will have the right, at their option, to require the Company to repurchase for cash all or any portion of their 2030 Notes at a repurchase price equal to 100% of the principal amount of the 2030 Notes to be repurchased, plus accrued and unpaid interest up to, but excluding, the fundamental change repurchase date.</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Conversion Rights of the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the conversion date, as noted in the table below, under the following circumstances a holder may exercise their conversion right: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During any calendar quarter commencing after the calendar quarter ended March 31, 2025 for the 2028 Notes and March 31, 2026 for the 2030 Notes (and only during such calendar quarter), if the last reported sale price of the Company's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During the five business day period after any five consecutive trading day period in which the trading price per $1,000 principal amount of the respective Notes for each trading day of the measurement period was less than 98% of the product of the last reported sale price of the Company's common stock and the conversion rate on each such trading day; or</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Upon the occurrence of specified corporate events.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after the respective conversion date, as noted in the table below, holders may convert all or any portion of their respective Notes at any time prior to the close of business on the second scheduled trading day immediately preceding the maturity date.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conversion, the Company may satisfy its conversion obligation by paying or delivering, as the case may be, cash, shares of its common stock or a combination of cash and shares of its common stock, at the Company’s 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conversion rights of the Notes are as follows:</w:t>
      </w:r>
    </w:p>
    <w:tbl>
      <w:tblPr>
        <w:tblW w:w="8372" w:type="dxa"/>
        <w:jc w:val="left"/>
        <w:tblInd w:w="0" w:type="dxa"/>
        <w:tblLayout w:type="fixed"/>
        <w:tblCellMar>
          <w:top w:w="28" w:type="dxa"/>
          <w:left w:w="28" w:type="dxa"/>
          <w:bottom w:w="28" w:type="dxa"/>
          <w:right w:w="28" w:type="dxa"/>
        </w:tblCellMar>
      </w:tblPr>
      <w:tblGrid>
        <w:gridCol w:w="380"/>
        <w:gridCol w:w="333"/>
        <w:gridCol w:w="337"/>
        <w:gridCol w:w="109"/>
        <w:gridCol w:w="109"/>
        <w:gridCol w:w="109"/>
        <w:gridCol w:w="574"/>
        <w:gridCol w:w="574"/>
        <w:gridCol w:w="576"/>
        <w:gridCol w:w="268"/>
        <w:gridCol w:w="268"/>
        <w:gridCol w:w="270"/>
        <w:gridCol w:w="559"/>
        <w:gridCol w:w="559"/>
        <w:gridCol w:w="561"/>
        <w:gridCol w:w="109"/>
        <w:gridCol w:w="109"/>
        <w:gridCol w:w="109"/>
        <w:gridCol w:w="528"/>
        <w:gridCol w:w="1545"/>
        <w:gridCol w:w="38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Conversion Date</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Conversion Rate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Conversion Price per share</w:t>
            </w:r>
          </w:p>
        </w:tc>
      </w:tr>
      <w:tr>
        <w:trPr/>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March 1, 2028</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50.6586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16, 2030</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 xml:space="preserve">(1) The conversion rate for the Notes is established as a number of shares of the Company's common stock per $1,000 principal amount of the Notes, that is equivalent to the conversion price per share, subject to adjustments in certain events. Upon the occurrence of certain corporate events the Company will increase the conversion rate for a holder that elects to convert its Notes.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circumstances described in paragraph (1) above were met for the 2030 Notes during the first quarter of 2026 and as a result, the 2030 Notes are convertible at the option of the holder from April 1, 2026 until June 30, 2026.</w:t>
      </w:r>
    </w:p>
    <w:p>
      <w:pPr>
        <w:pStyle w:val="TextBody"/>
        <w:bidi w:val="0"/>
        <w:spacing w:lineRule="auto" w:line="288" w:before="0" w:after="240"/>
        <w:ind w:left="0" w:right="0" w:firstLine="720"/>
        <w:jc w:val="left"/>
        <w:rPr/>
      </w:pPr>
      <w:r>
        <w:rPr>
          <w:rFonts w:ascii="Times New Roman;serif" w:hAnsi="Times New Roman;serif"/>
          <w:b/>
          <w:i/>
          <w:color w:val="000000"/>
          <w:sz w:val="20"/>
        </w:rPr>
        <w:t>Carrying Value of the Notes</w:t>
      </w:r>
      <w:r>
        <w:rPr>
          <w:color w:val="000000"/>
          <w:shd w:fill="FFFFFF" w:val="clear"/>
        </w:rPr>
        <w:t xml:space="preserve"> </w:t>
      </w:r>
      <w:r>
        <w:rPr>
          <w:rFonts w:ascii="Times New Roman;serif" w:hAnsi="Times New Roman;serif"/>
          <w:b/>
          <w:i/>
          <w:color w:val="000000"/>
          <w:sz w:val="20"/>
          <w:shd w:fill="FFFFFF" w:val="clear"/>
        </w:rPr>
        <w:t>as follows</w:t>
      </w:r>
      <w:r>
        <w:rPr>
          <w:rFonts w:ascii="Times New Roman;serif" w:hAnsi="Times New Roman;serif"/>
          <w:b/>
          <w:i/>
          <w:color w:val="000000"/>
          <w:sz w:val="20"/>
        </w:rPr>
        <w:t>:</w:t>
      </w:r>
    </w:p>
    <w:tbl>
      <w:tblPr>
        <w:tblW w:w="7130" w:type="dxa"/>
        <w:jc w:val="left"/>
        <w:tblInd w:w="0" w:type="dxa"/>
        <w:tblLayout w:type="fixed"/>
        <w:tblCellMar>
          <w:top w:w="28" w:type="dxa"/>
          <w:left w:w="28" w:type="dxa"/>
          <w:bottom w:w="28" w:type="dxa"/>
          <w:right w:w="28" w:type="dxa"/>
        </w:tblCellMar>
      </w:tblPr>
      <w:tblGrid>
        <w:gridCol w:w="1157"/>
        <w:gridCol w:w="1014"/>
        <w:gridCol w:w="1024"/>
        <w:gridCol w:w="211"/>
        <w:gridCol w:w="826"/>
        <w:gridCol w:w="109"/>
        <w:gridCol w:w="109"/>
        <w:gridCol w:w="109"/>
        <w:gridCol w:w="109"/>
        <w:gridCol w:w="211"/>
        <w:gridCol w:w="826"/>
        <w:gridCol w:w="109"/>
        <w:gridCol w:w="109"/>
        <w:gridCol w:w="109"/>
        <w:gridCol w:w="109"/>
        <w:gridCol w:w="271"/>
        <w:gridCol w:w="521"/>
        <w:gridCol w:w="197"/>
      </w:tblGrid>
      <w:tr>
        <w:trPr/>
        <w:tc>
          <w:tcPr>
            <w:tcW w:w="115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Notes</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interest expense related to the Company’s debt obligations was $3.3 million and $3.1 million, respectively. As of March 31, 2026 and December 31, 2025, the total estimated fair value of the Notes was $653.3 million and $379.5 million, respectively.</w:t>
      </w:r>
    </w:p>
    <w:p>
      <w:pPr>
        <w:pStyle w:val="TextBody"/>
        <w:bidi w:val="0"/>
        <w:spacing w:lineRule="auto" w:line="26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Capped Calls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issuance of the 2030 Notes, the Company entered into privately negotiated capped call transactions with certain counterparties (the "Capped Calls") in the year ended December 31, 2025. The Capped Calls associated with the 2030 Notes each had an initial strike price of approximately $15.26 per share. These Capped Calls had initial cap prices of $23.04 per share, subject to certain adjustments. The Capped Calls are expected to partially offset the potential dilution to the Company’s common stock upon any conversion of the 2030 Notes, with such offset subject to a cap based on the cap price. The Capped Calls are subject to adjustment upon the occurrence of specified extraordinary events affecting the Company, including merger events, tender offers and the announcement of such events. In addition, the Capped Calls are subject to certain specified additional disruption events that may give rise to a termination of the Capped Calls, including nationalization, insolvency or delisting, changes in law, failures to deliver, increased cost of hedging and hedging disruptions. For accounting purposes, the Capped Calls are separate transactions and not part of the terms of the 2030 Notes. As these transactions meet certain accounting criteria, the Capped Calls are recorded in stockholders' equity resulting in an $18.2 million decrease in additional paid in capital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long-term commitments for cost of revenue related agreements (i.e., bandwidth usage, peering and other managed services with various networks, fixed asset vendors, Internet service providers and other third-party vendors). The Company also has non-cost of revenue long-term commitments for various non-cancelable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Aside from the Company’s finance and operating lease commitments, including its colocation operating commitments, which have been disclosed in Note 6 — Leases, the minimum future commitments related to the Company's purchase commitments as of March 31, 2026 were as follows: </w:t>
      </w:r>
    </w:p>
    <w:tbl>
      <w:tblPr>
        <w:tblW w:w="9830" w:type="dxa"/>
        <w:jc w:val="center"/>
        <w:tblInd w:w="0" w:type="dxa"/>
        <w:tblLayout w:type="fixed"/>
        <w:tblCellMar>
          <w:top w:w="28" w:type="dxa"/>
          <w:left w:w="28" w:type="dxa"/>
          <w:bottom w:w="28" w:type="dxa"/>
          <w:right w:w="28" w:type="dxa"/>
        </w:tblCellMar>
      </w:tblPr>
      <w:tblGrid>
        <w:gridCol w:w="608"/>
        <w:gridCol w:w="534"/>
        <w:gridCol w:w="538"/>
        <w:gridCol w:w="109"/>
        <w:gridCol w:w="109"/>
        <w:gridCol w:w="109"/>
        <w:gridCol w:w="474"/>
        <w:gridCol w:w="1620"/>
        <w:gridCol w:w="246"/>
        <w:gridCol w:w="109"/>
        <w:gridCol w:w="109"/>
        <w:gridCol w:w="109"/>
        <w:gridCol w:w="513"/>
        <w:gridCol w:w="1755"/>
        <w:gridCol w:w="267"/>
        <w:gridCol w:w="109"/>
        <w:gridCol w:w="109"/>
        <w:gridCol w:w="109"/>
        <w:gridCol w:w="444"/>
        <w:gridCol w:w="1523"/>
        <w:gridCol w:w="327"/>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Revenue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Expense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Purchase Commitments</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47,571 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41,167 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88,738 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and Use Tax</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conducts its operations in many tax jurisdictions throughout the United States. In some of these jurisdictions the Company is subject to indirect taxes, such as sales and use taxes, and may be subject to certain other taxes. The Company has recorded a provision for its tax exposure in these jurisdictions when it is both probable that a liability has been incurred and the amount of the exposure can be reasonably estimated. The Company has accrued $5.2 million and $4.8 million as of March 31, 2026 and December 31, 2025, respectively, for sales and use tax. These estimates are based on several key assumptions, including the taxability of the Company’s operations and the jurisdictions in which the Company believes it has nexus. In the event these jurisdictions challenge the Company’s assumptions and analysis, its actual exposure could differ materially from its current estimates.</w:t>
      </w:r>
    </w:p>
    <w:p>
      <w:pPr>
        <w:pStyle w:val="TextBody"/>
        <w:bidi w:val="0"/>
        <w:spacing w:lineRule="auto" w:line="288" w:before="0" w:after="240"/>
        <w:jc w:val="left"/>
        <w:rPr/>
      </w:pPr>
      <w:r>
        <w:rPr>
          <w:rFonts w:ascii="Times New Roman;serif" w:hAnsi="Times New Roman;serif"/>
          <w:b/>
          <w:i/>
          <w:color w:val="000000"/>
          <w:sz w:val="20"/>
        </w:rPr>
        <w:t>Legal Matters</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has been and may be subject to legal proceedings and claims. Such matters are subject to many uncertainties and outcomes are not predictable. The Company accrues for contingencies when it believes that a loss is probable and that the Company can reasonably estimate the amount of any such loss.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On May 24, 2024, a purported securities class action lawsuit was filed in the United States District Court for the Northern District of California, captioned </w:t>
      </w:r>
      <w:r>
        <w:rPr>
          <w:rFonts w:ascii="Times New Roman;serif" w:hAnsi="Times New Roman;serif"/>
          <w:b w:val="false"/>
          <w:i/>
          <w:color w:val="000000"/>
          <w:sz w:val="20"/>
        </w:rPr>
        <w:t xml:space="preserve">Ken Kula v. Fastly, Inc., et al. </w:t>
      </w:r>
      <w:r>
        <w:rPr>
          <w:rFonts w:ascii="Times New Roman;serif" w:hAnsi="Times New Roman;serif"/>
          <w:b w:val="false"/>
          <w:color w:val="000000"/>
          <w:sz w:val="20"/>
        </w:rPr>
        <w:t>(Case No. 4:24-cv-03170), naming the Company and certain of its officers as defendants. Motions for lead plaintiff were filed on July 23, 2024. On August 22, 2024, the court appointed lead plaintiff (“Lead Plaintiff</w:t>
      </w:r>
      <w:r>
        <w:rPr>
          <w:color w:val="000000"/>
        </w:rPr>
        <w:t>”</w:t>
      </w:r>
      <w:r>
        <w:rPr>
          <w:rFonts w:ascii="Times New Roman;serif" w:hAnsi="Times New Roman;serif"/>
          <w:b w:val="false"/>
          <w:color w:val="000000"/>
          <w:sz w:val="20"/>
        </w:rPr>
        <w:t>) and lead counsel. On November 1, 2024, Lead Plaintiff filed an amended complaint. The amended complaint alleges violations of Section 10(b) and 20(a) of the Exchange Act purportedly on behalf of all those who purchased or acquired Fastly securities between November 15, 2023 and August 7, 2024. The complaint seeks unspecified compensatory damages, and other relief. Defendants filed a motion to dismiss on January 15, 2025. Lead Plaintiff filed an opposition to the defendants’ motion to dismiss on March 17, 2025. Defendants filed a reply in support of the motion to dismiss on April 30, 2025. On September 24, 2025, the court issued an order granting in part and denying in part the motion to dismiss. On October 24, 2025, Lead Plaintiff filed a second amended complaint. On December 9, 2025, Defendants filed a motion to dismiss the second amended complaint. On January 26, 2026, Lead Plaintiff filed an opposition. Defendants filed a reply in support of the motion to dismiss the second amended complaint on February 19, 2026. A hearing scheduled for April 30, 2026 on Defendants’ motion to dismiss the second amended complaint was vacated, and the Company is awaiting a ruling on the motion. It is possible that additional lawsuits will be filed, or allegations made by stockholders, regarding these same or other matters and also naming as defendants the Company and its officers and directors.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June 12, 2024, certain of the Company’s officers and directors were named as defendants in a stockholder derivative action filed in the United States District Court for the Northern District of California, captioned </w:t>
      </w:r>
      <w:r>
        <w:rPr>
          <w:rFonts w:ascii="Times New Roman;serif" w:hAnsi="Times New Roman;serif"/>
          <w:b w:val="false"/>
          <w:i/>
          <w:color w:val="000000"/>
          <w:sz w:val="20"/>
        </w:rPr>
        <w:t>Roy v. Nightingale, et al.</w:t>
      </w:r>
      <w:r>
        <w:rPr>
          <w:color w:val="000000"/>
        </w:rPr>
        <w:t xml:space="preserve"> </w:t>
      </w:r>
      <w:r>
        <w:rPr>
          <w:rFonts w:ascii="Times New Roman;serif" w:hAnsi="Times New Roman;serif"/>
          <w:b w:val="false"/>
          <w:color w:val="000000"/>
          <w:sz w:val="20"/>
        </w:rPr>
        <w:t xml:space="preserve">(Case No. 3:24-cv-03549-JCS). On July 1, 2024, a stockholder derivative complaint was also filed against certain of the Company's officers and directors in the same court, captioned </w:t>
      </w:r>
      <w:r>
        <w:rPr>
          <w:rFonts w:ascii="Times New Roman;serif" w:hAnsi="Times New Roman;serif"/>
          <w:b w:val="false"/>
          <w:i/>
          <w:color w:val="000000"/>
          <w:sz w:val="20"/>
        </w:rPr>
        <w:t>Steffens v. Nightingale et al.</w:t>
      </w:r>
      <w:r>
        <w:rPr>
          <w:color w:val="000000"/>
        </w:rPr>
        <w:t xml:space="preserve"> </w:t>
      </w:r>
      <w:r>
        <w:rPr>
          <w:rFonts w:ascii="Times New Roman;serif" w:hAnsi="Times New Roman;serif"/>
          <w:b w:val="false"/>
          <w:color w:val="000000"/>
          <w:sz w:val="20"/>
        </w:rPr>
        <w:t xml:space="preserve">(Case No. 4:24-cv-03984-DMR). The derivative complaints are based on substantially similar allegations as those in the securities class action. The derivative complaints assert that defendants breached their fiduciary duties as directors and/or officers of the Company, as well as claims of unjust enrichment, abuse of control, gross mismanagement, waste of corporate assets, aiding and abetting, violations of Section 14(a) of the Exchange Act, and contribution under Sections 10(b) and 21D of the Exchange Act. The court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and stayed the derivative actions until after resolution of the Company’s motion(s) to dismiss in the above-referenced securities class action. On August 23, 2024, a substantially similar stockholder derivative complaint was filed against certain of the Company’s officers and directors in the United States District Court for the District of Delaware, captioned </w:t>
      </w:r>
      <w:r>
        <w:rPr>
          <w:rFonts w:ascii="Times New Roman;serif" w:hAnsi="Times New Roman;serif"/>
          <w:b w:val="false"/>
          <w:i/>
          <w:color w:val="000000"/>
          <w:sz w:val="20"/>
        </w:rPr>
        <w:t>Sweitzer v. Nightingale, et al.</w:t>
      </w:r>
      <w:r>
        <w:rPr>
          <w:color w:val="000000"/>
        </w:rPr>
        <w:t xml:space="preserve"> </w:t>
      </w:r>
      <w:r>
        <w:rPr>
          <w:rFonts w:ascii="Times New Roman;serif" w:hAnsi="Times New Roman;serif"/>
          <w:b w:val="false"/>
          <w:color w:val="000000"/>
          <w:sz w:val="20"/>
        </w:rPr>
        <w:t xml:space="preserve">(Case No. 1:24-cv-00969-GBW) (the “Sweitzer Action”). On September 26, 2024, the court stayed the Sweitzer Action until after resolution of the Company's motion(s) to dismiss in the above-referenced securities class action. On December 20, 2024, a substantially similar stockholder derivative complaint was filed against certain of the Company’s officers and directors in the Court of Chancery for the State of Delaware, captioned </w:t>
      </w:r>
      <w:r>
        <w:rPr>
          <w:rFonts w:ascii="Times New Roman;serif" w:hAnsi="Times New Roman;serif"/>
          <w:b w:val="false"/>
          <w:i/>
          <w:color w:val="000000"/>
          <w:sz w:val="20"/>
        </w:rPr>
        <w:t>Bushansky v. Nightingale, et al.</w:t>
      </w:r>
      <w:r>
        <w:rPr>
          <w:color w:val="000000"/>
        </w:rPr>
        <w:t xml:space="preserve"> </w:t>
      </w:r>
      <w:r>
        <w:rPr>
          <w:rFonts w:ascii="Times New Roman;serif" w:hAnsi="Times New Roman;serif"/>
          <w:b w:val="false"/>
          <w:color w:val="000000"/>
          <w:sz w:val="20"/>
        </w:rPr>
        <w:t xml:space="preserve">(Case No. 2024-1322) (the “Bushansky Action”). On January 8, 2025, the court stayed the Bushansky Action until after resolution of the Company’s motion(s) to dismiss in the above-referenced securities class action. It is possible that additional lawsuits will be filed, or allegations made by stockholders, regarding these same or other matters and also naming as defendants the Company and its officers and directors.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also party to various disputes that management considers routine and incidental to its business. Management does not expect the results of any of these routine actions to have a material effect on the Company's business, results of operations, financial conditions, or cash flows.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pending lawsuits and any other related lawsuits are subject to inherent uncertainties, and the actual defense and disposition costs will depend upon many unknown factors. The outcome of the pending lawsuits and any other related lawsuits is necessarily uncertain. The Company could be forced to expend significant resources in the defense of the pending lawsuits and any additional lawsuits, and it may not prevail. In addition, the Company may incur substantial legal fees and costs in connection with such lawsuits. The Company is not currently able to estimate the possible cost to it from these matters, as the pending lawsuits are currently at an early stage, and it cannot be certain how long it may take to resolve the pending lawsuits or the possible amount of any damages that it may be required to pay. Such amounts could be material to the Company's financial statements if the Company does not prevail in the defense against the pending lawsuits and any other related lawsuits, or even if it does prevail.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has not recorded any significant accruals for loss contingencies associated with the above mentioned lawsuits as it does not believe an outcome resulting in a loss is probable. It will accrue for loss contingencies if it becomes both probable that it will incur a loss and if the Company can reasonably estimate the amount or range of the loss.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enters into standard indemnification agreements in the ordinary course of business. Pursuant to these agreements, the Company agrees to indemnify, hold harmless, and reimburse the indemnified party for losses suffered or incurred by the indemnified party, generally the Company’s business partners or customers, in connection with its provision of its services. Generally, these obligations are limited to claims relating to infringement of a patent, copyright, or other intellectual property right, breach of the Company’s security or data protection obligations, or its negligence, willful misconduct, or violation of law. Subject to applicable statutes of limitation, the term of these indemnification agreements is generally for the duration of the agreement. The maximum potential amount of future payments the Company could be required to make under these indemnification agreements is unlimited; however, the Company carries insurance that covers certain third-party claims relating to the Company’s services and could limit its exposure in that respect.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agreed to indemnify each of its officers and directors during his or her lifetime for certain events or occurrences that happen by reason of the fact that the officer or director is, was, or has agreed to serve as an officer or director of the Company. The Company has director and officer insurance policies that may limit its exposure and may enable it to recover a portion of certain future amounts paid.</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the Company has not encountered material costs as a result of such indemnification obligations and has not accrued any related liabilities in its financial statements. In assessing whether to establish an accrual, the Company considers such factors as the degree of probability of an unfavorable outcome and the ability to make a reasonable estimate of the amount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five equity incentive plans: the 2019 Equity Incentive Plan (the “2019 Plan”), 2011 Equity Incentive Plan (“2011 Plan”), 2019 Employee Stock Purchase Plan (“ESPP”), the Signal Sciences Corp. 2014 Stock Option and Grant Plan, as amended (the “Signal Plan”), and the 2025 Employment Inducement Incentive Plan (the "2025 Inducement Plan"). The 2019 Plan became effective in May 2019 and replaced the 2011 Plan. The Company’s 2019 Plan provides for the issuance of incentive stock options, non-statutory stock options, restricted stock units, performance-based stock awards, and other forms of equity compensation, which are collectively referred to as stock awards to its employees, directors, and consultants. The Signal Plan includes 251,754 registered shares which can be exercised to purchase shares of Fastly’s common stock. The 2025 Inducement Plan provides for the grant of non-statutory stock options, restricted stock units, performance based stock awards, and other forms of equity compensation.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there were 8.9 million and 5.8 million shares of common stock available for issuance under the 2019 Plan, respectively. As of March 31, 2026 and December 31, 2025, a total of 0.3 million shares and 0.5 million shares were available for grant under the 2025 Inducement Plan, respectively. As of March 31, 2026 and December 31, 2025, 156.4 million and 151.5 million shares of common stock were issued and outstanding,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Units (“RSUs”)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began granting RSUs under the 2019 Plan during the fiscal year ended December 31, 2019 as well as under the 2025 Inducement Plan during the three months ended September 30, 2025. The fair value of RSUs is based on the grant date fair value and is expensed on a straight-line basis over the applicable vesting period. RSUs granted to new hires typically vest over three or four years, at the rate of 33% or 25%, respectively, on the first anniversary of the vesting start date and ratably on a quarterly basis over the remaining 24-month or 36-month period thereafter, respectively. RSUs granted to existing employees typically vest in equal quarterly installments over a three or four-year service period. All vesting is contingent on continued service. Forfeitures are recognized as they occur.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during the three months ended March 31, 2026:</w:t>
      </w:r>
    </w:p>
    <w:tbl>
      <w:tblPr>
        <w:tblW w:w="8063" w:type="dxa"/>
        <w:jc w:val="left"/>
        <w:tblInd w:w="0" w:type="dxa"/>
        <w:tblLayout w:type="fixed"/>
        <w:tblCellMar>
          <w:top w:w="28" w:type="dxa"/>
          <w:left w:w="28" w:type="dxa"/>
          <w:bottom w:w="28" w:type="dxa"/>
          <w:right w:w="28" w:type="dxa"/>
        </w:tblCellMar>
      </w:tblPr>
      <w:tblGrid>
        <w:gridCol w:w="1239"/>
        <w:gridCol w:w="1089"/>
        <w:gridCol w:w="1092"/>
        <w:gridCol w:w="109"/>
        <w:gridCol w:w="109"/>
        <w:gridCol w:w="109"/>
        <w:gridCol w:w="469"/>
        <w:gridCol w:w="469"/>
        <w:gridCol w:w="471"/>
        <w:gridCol w:w="109"/>
        <w:gridCol w:w="109"/>
        <w:gridCol w:w="109"/>
        <w:gridCol w:w="620"/>
        <w:gridCol w:w="1504"/>
        <w:gridCol w:w="456"/>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w:t>
              <w:br/>
              <w:t>Grant Date Fair Value Per Share</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the Company recognized stock-based compensation expense related to RSUs of $22.6 million and $21.9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 xml:space="preserve">Performance-Based Restricted Stock Units (“PSUs”) </w:t>
      </w:r>
    </w:p>
    <w:p>
      <w:pPr>
        <w:pStyle w:val="TextBody"/>
        <w:bidi w:val="0"/>
        <w:spacing w:lineRule="auto" w:line="276"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Performance Stock Awards for Executive Officers (“Executive PSUs”)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Company’s 2019 Plan, the Company grants certain employees shares of Executive PSUs, which are to vest based on the level of achievement of certain Company-wide targets related to the Company’s operating plan for the relevant fiscal year. The Company has accounted for these awards as equity-based awards and will recognize stock-based compensation expense over the employees’ requisite service period based on the expected attainment of the Company-wide targets as of the end of each reporting period.</w:t>
      </w:r>
    </w:p>
    <w:tbl>
      <w:tblPr>
        <w:tblW w:w="9548" w:type="dxa"/>
        <w:jc w:val="left"/>
        <w:tblInd w:w="0" w:type="dxa"/>
        <w:tblLayout w:type="fixed"/>
        <w:tblCellMar>
          <w:top w:w="28" w:type="dxa"/>
          <w:left w:w="28" w:type="dxa"/>
          <w:bottom w:w="28" w:type="dxa"/>
          <w:right w:w="28" w:type="dxa"/>
        </w:tblCellMar>
      </w:tblPr>
      <w:tblGrid>
        <w:gridCol w:w="1266"/>
        <w:gridCol w:w="1113"/>
        <w:gridCol w:w="1116"/>
        <w:gridCol w:w="109"/>
        <w:gridCol w:w="109"/>
        <w:gridCol w:w="109"/>
        <w:gridCol w:w="469"/>
        <w:gridCol w:w="469"/>
        <w:gridCol w:w="471"/>
        <w:gridCol w:w="109"/>
        <w:gridCol w:w="109"/>
        <w:gridCol w:w="109"/>
        <w:gridCol w:w="857"/>
        <w:gridCol w:w="2504"/>
        <w:gridCol w:w="629"/>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PSUs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PSUs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the Company recognized $2.0 million and $0.8 million of stock-based compensation expense associated with these awards, respectively. </w:t>
      </w:r>
    </w:p>
    <w:p>
      <w:pPr>
        <w:pStyle w:val="TextBody"/>
        <w:bidi w:val="0"/>
        <w:spacing w:lineRule="auto" w:line="276"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Company-wide Bonus Program (“Bonus Program”)</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Compensation Committee approved a Bonus Program, including performance targets, to most of the Company’s employees on active payroll in fiscal year 2025 (“2025 Bonus Program”). Shares awarded under the program were paid out in February 2026 in fully vested RSUs and based on the final attainment of Company-wide performance targets which were tied to its operating plan for fiscal year 2025. The Company recognized stock-based compensation expense over the employees' requisite service period, based on the final attainment of the Company-wide targets. In February 2026, the Company paid out 2.2 million restricted stock units associated with the 2025 Bonus Program, and correspondingly recorded a charge to additional paid-in-capital of $39.5 million.</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Compensation Committee approved a Bonus Program, including performance targets, for the current fiscal year to most of the Company’s employees on active payroll in fiscal year 2026 (“2026 Bonus Program”). Shares awarded under the program will be in fully vested RSUs and will be based on the final attainment of Company-wide performance targets which are tied to its operating plan for fiscal year 2026. The payout of the 2026 Bonus Program will vary linearly between 50%, 100%, and 150% based on the achievement of these targets. Employees are required to be employed through the payout date to earn the awards. The Company has accounted for these awards as liability-based awards, since the monetary value of the obligation associated with the award is based predominantly on a fixed monetary amount known at inception, and it has an unconditional obligation that it must or may settle by issuing a variable number of its equity shares. The Company is recognizing the stock-based compensation expense over the employees requisite service period, based on the expected attainment of the Company-wide targets as of the end of each reporting period.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recognized $8.5 million and $3.7 million of stock-based compensation expense associated with the Bonus Programs, respectively.</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ESPP allows eligible employees to purchase shares of the Company’s common stock through payroll deductions of up to 15% of their eligible compensation. The ESPP provides for six-month offering periods, commencing in May and November of each year. At the end of each offering period employees are able to purchase shares at 85% of the lower of the fair market value of the Company’s common stock on the first trading day of the offering period or on the date of purchase.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recognized $0.9 million and $0.1 million in stock-based compensation expense related to the ESPP, respectively. No common stock was issued under the ESPP in either of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total stock-based compensation expense included in the accompanying condensed consolidated statements of operations:</w:t>
      </w:r>
    </w:p>
    <w:tbl>
      <w:tblPr>
        <w:tblW w:w="6666" w:type="dxa"/>
        <w:jc w:val="left"/>
        <w:tblInd w:w="0" w:type="dxa"/>
        <w:tblLayout w:type="fixed"/>
        <w:tblCellMar>
          <w:top w:w="28" w:type="dxa"/>
          <w:left w:w="28" w:type="dxa"/>
          <w:bottom w:w="28" w:type="dxa"/>
          <w:right w:w="28" w:type="dxa"/>
        </w:tblCellMar>
      </w:tblPr>
      <w:tblGrid>
        <w:gridCol w:w="1537"/>
        <w:gridCol w:w="1102"/>
        <w:gridCol w:w="810"/>
        <w:gridCol w:w="109"/>
        <w:gridCol w:w="109"/>
        <w:gridCol w:w="109"/>
        <w:gridCol w:w="211"/>
        <w:gridCol w:w="721"/>
        <w:gridCol w:w="109"/>
        <w:gridCol w:w="109"/>
        <w:gridCol w:w="109"/>
        <w:gridCol w:w="109"/>
        <w:gridCol w:w="211"/>
        <w:gridCol w:w="721"/>
        <w:gridCol w:w="109"/>
        <w:gridCol w:w="109"/>
        <w:gridCol w:w="109"/>
        <w:gridCol w:w="10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the Company capitalized $1.5 million and $1.7 million of stock-based compensation expense,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11.     Net Loss Per Share Attributable to Common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net loss by basic weighted-average shares outstanding during the period. Diluted net loss per share is computed by dividing net loss by diluted weighted-average shares outstanding, including potentially dilutive securities.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loss per share of common stock:</w:t>
      </w:r>
    </w:p>
    <w:tbl>
      <w:tblPr>
        <w:tblW w:w="10205" w:type="dxa"/>
        <w:jc w:val="left"/>
        <w:tblInd w:w="0" w:type="dxa"/>
        <w:tblLayout w:type="fixed"/>
        <w:tblCellMar>
          <w:top w:w="28" w:type="dxa"/>
          <w:left w:w="28" w:type="dxa"/>
          <w:bottom w:w="28" w:type="dxa"/>
          <w:right w:w="28" w:type="dxa"/>
        </w:tblCellMar>
      </w:tblPr>
      <w:tblGrid>
        <w:gridCol w:w="2492"/>
        <w:gridCol w:w="2039"/>
        <w:gridCol w:w="2043"/>
        <w:gridCol w:w="109"/>
        <w:gridCol w:w="109"/>
        <w:gridCol w:w="109"/>
        <w:gridCol w:w="236"/>
        <w:gridCol w:w="869"/>
        <w:gridCol w:w="121"/>
        <w:gridCol w:w="121"/>
        <w:gridCol w:w="121"/>
        <w:gridCol w:w="121"/>
        <w:gridCol w:w="236"/>
        <w:gridCol w:w="869"/>
        <w:gridCol w:w="121"/>
        <w:gridCol w:w="109"/>
        <w:gridCol w:w="109"/>
        <w:gridCol w:w="109"/>
        <w:gridCol w:w="162"/>
      </w:tblGrid>
      <w:tr>
        <w:trPr/>
        <w:tc>
          <w:tcPr>
            <w:tcW w:w="2492"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489" w:type="dxa"/>
            <w:gridSpan w:val="4"/>
            <w:tcBorders/>
          </w:tcPr>
          <w:p>
            <w:pPr>
              <w:pStyle w:val="TableContents"/>
              <w:bidi w:val="0"/>
              <w:spacing w:before="0" w:after="283"/>
              <w:jc w:val="left"/>
              <w:rPr>
                <w:sz w:val="4"/>
                <w:szCs w:val="4"/>
              </w:rPr>
            </w:pPr>
            <w:r>
              <w:rPr>
                <w:sz w:val="4"/>
                <w:szCs w:val="4"/>
              </w:rPr>
            </w:r>
          </w:p>
        </w:tc>
      </w:tr>
      <w:tr>
        <w:trPr/>
        <w:tc>
          <w:tcPr>
            <w:tcW w:w="6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securities were excluded from the computation of diluted net loss per share of common stock for the periods presented as their effect would have been antidilutive:</w:t>
      </w:r>
    </w:p>
    <w:tbl>
      <w:tblPr>
        <w:tblW w:w="5875" w:type="dxa"/>
        <w:jc w:val="left"/>
        <w:tblInd w:w="0" w:type="dxa"/>
        <w:tblLayout w:type="fixed"/>
        <w:tblCellMar>
          <w:top w:w="28" w:type="dxa"/>
          <w:left w:w="28" w:type="dxa"/>
          <w:bottom w:w="28" w:type="dxa"/>
          <w:right w:w="28" w:type="dxa"/>
        </w:tblCellMar>
      </w:tblPr>
      <w:tblGrid>
        <w:gridCol w:w="1183"/>
        <w:gridCol w:w="1040"/>
        <w:gridCol w:w="1047"/>
        <w:gridCol w:w="109"/>
        <w:gridCol w:w="109"/>
        <w:gridCol w:w="109"/>
        <w:gridCol w:w="360"/>
        <w:gridCol w:w="361"/>
        <w:gridCol w:w="156"/>
        <w:gridCol w:w="154"/>
        <w:gridCol w:w="154"/>
        <w:gridCol w:w="154"/>
        <w:gridCol w:w="360"/>
        <w:gridCol w:w="361"/>
        <w:gridCol w:w="218"/>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total shareholder return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(if-converted)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26,605 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dilution table above excludes RSUs to be awarded under the Company’s 2026 Bonus Program, which is expected to have an impact on its outstanding awards in the first quarter of 2026. Refer to Note 10 — Stockholders' Equity for further details on the Company’s 2026 Bonus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12.     Income Taxes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provision for income taxes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maintain a full valuation allowance on the Company’s U.S. Federal and state net deferred tax assets.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March 31, 2026 and 2025, the Company recorded income tax benefit of $4.1 million and income tax expense of $0.7 million, respectively. The tax benefit for the three months ended March 31, 2026 was primarily due to the recognition of a previously unrecognized tax benefit of $4.3 million which resulted from the lapse of the applicable statute of limitations in the UK. The tax expense for the three months ended March 31, 2025 was primarily due to foreign tax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13.     Segment and Geographic Information </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Segment </w:t>
      </w:r>
    </w:p>
    <w:p>
      <w:pPr>
        <w:pStyle w:val="TextBody"/>
        <w:bidi w:val="0"/>
        <w:spacing w:lineRule="auto" w:line="276"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as one single operating and reportable segment. The Chief Operating Decision Maker is the Company's Chief Executive Officer, who reviews financial information presented on a consolidated basis, accompanied by disaggregated information about its revenue, for purposes of making operating decisions, assessing financial performance and allocating resources.</w:t>
      </w:r>
    </w:p>
    <w:p>
      <w:pPr>
        <w:pStyle w:val="TextBody"/>
        <w:bidi w:val="0"/>
        <w:spacing w:lineRule="auto" w:line="276"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loss is the Company's primary measure of profit or loss, and all costs and expense categories on the Company's condensed consolidated statements of operations, as well as stock-based compensation, depreciation and amortization expenses, are significant. Refer to Note 10 — Stockholders' Equity for additional information about the Company's stock-based compensation expense. Refer to Note 5 — Balance Sheet Information for additional information about the Company's depreciation and amortization expenses. The Company's other segment items include interest income, interest expense, other expense, and net and income tax expense on the Company's condensed consolidated statements of operations. </w:t>
      </w:r>
    </w:p>
    <w:p>
      <w:pPr>
        <w:pStyle w:val="TextBody"/>
        <w:bidi w:val="0"/>
        <w:spacing w:lineRule="auto" w:line="276"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geography is based on the billing address of the customer. Refer to Note 3 — Revenue for more information on net revenue by geographic area.</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property and equipment and operating lease right-of-use assets, each net, by geographic area were as follows:</w:t>
      </w:r>
    </w:p>
    <w:tbl>
      <w:tblPr>
        <w:tblW w:w="6263" w:type="dxa"/>
        <w:jc w:val="left"/>
        <w:tblInd w:w="0" w:type="dxa"/>
        <w:tblLayout w:type="fixed"/>
        <w:tblCellMar>
          <w:top w:w="28" w:type="dxa"/>
          <w:left w:w="28" w:type="dxa"/>
          <w:bottom w:w="28" w:type="dxa"/>
          <w:right w:w="28" w:type="dxa"/>
        </w:tblCellMar>
      </w:tblPr>
      <w:tblGrid>
        <w:gridCol w:w="713"/>
        <w:gridCol w:w="624"/>
        <w:gridCol w:w="628"/>
        <w:gridCol w:w="109"/>
        <w:gridCol w:w="109"/>
        <w:gridCol w:w="109"/>
        <w:gridCol w:w="309"/>
        <w:gridCol w:w="1211"/>
        <w:gridCol w:w="159"/>
        <w:gridCol w:w="109"/>
        <w:gridCol w:w="109"/>
        <w:gridCol w:w="109"/>
        <w:gridCol w:w="348"/>
        <w:gridCol w:w="1363"/>
        <w:gridCol w:w="254"/>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168,887 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273,608 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238,852 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the condensed consolidated financial statements and related notes that are included elsewhere in this Quarterly Report on Form 10-Q. This discussion contains forward-looking statements based upon current plans, expectations, and beliefs that involve risks and uncertainties. Actual results may differ materially from those anticipated in these forward-looking statements as a result of various factors, including those set forth under “Risk Factors” and in other parts of this Quarterly Report on Form 10-Q. Our fiscal year ends on December 31.</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As used herein, “Fastly,” “we,” “our,” “the Company,” and similar terms include Fastly, Inc. and its subsidiaries,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Organizations around the world are more dependent on the quality of digital experiences they provide than ever before. As the internet approaches an inflection point where automated, artificial intelligence (“AI”)-driven traffic increases demands on infrastructure, Fastly is the essential platform to deliver resilient, highly performant, always-on software and services at global scale.</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edge cloud is a category of Infrastructure as a Service (“IaaS”) that enables software engineers to build, secure, and deliver digital experiences at the edge of the Internet. Our platform represents the convergence of the Content Delivery Network (“CDN”) with functionality that has traditionally been delivered by hardware-centric appliances such as Application Delivery Controllers (“ADC”), Web Application Firewalls (“WAF”), API Management, Bot Detection, Distributed Denial of Service (“DDoS”), Web Application and API Protection (“WAAP”), and infrastructure protection.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Processing at the edge is an ideal way to handle highly dynamic and time-sensitive data, especially when performance matters. Organizations of all sizes, including Fortune 500 companies that run 24/7 operations, leverage our edge cloud platform for a diverse range of critical functions that benefit from processing at the edge, including enhancing user experience, scaling agentic AI workloads, and powering core commerce capabilities to drive conversion and customer success. The edge cloud complements data center, central cloud, and hybrid solutions, and is critical for responsive, safe, and secure AI-centric experiences.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Fastly focuses holistically on the edge cloud from developer creation to end-user experience, with our global footprint and integrated security core to our platform. Our platform is poised to capitalize on the rise of agentic AI, where autonomous agent consumption is driving the bulk of internet traffic. Fastly is uniquely positioned – and has laid the groundwork – to lead the intelligence fabric that helps enterprises adapt to this shift. We are capturing this opportunity by supporting edge workloads and AI traffic management, allowing organizations to optimize AI-driven services alongside human interactions. We play a unique role in helping enterprises optimize and accelerate interactions with authorized AI agents and blocking abuse, powering their differentiation and AI-fueled innovation.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Organizations must keep up with a complex and ever-evolving landscape. We’ve built a powerful unified edge platform designed from the ground up to be programmable and support agile software development, and we continuously drive innovation to meet the ever changing needs of our customers. We believe that our platform gives our customers a significant competitive advantage – whether they were born into the AI-centric digital age or are just embarking on their transformation journey.</w:t>
      </w:r>
    </w:p>
    <w:p>
      <w:pPr>
        <w:pStyle w:val="TextBody"/>
        <w:bidi w:val="0"/>
        <w:spacing w:before="0" w:after="0"/>
        <w:jc w:val="left"/>
        <w:rPr/>
      </w:pPr>
      <w:r>
        <w:rPr/>
      </w:r>
    </w:p>
    <w:p>
      <w:pPr>
        <w:pStyle w:val="TextBody"/>
        <w:bidi w:val="0"/>
        <w:spacing w:lineRule="auto" w:line="276" w:before="0" w:after="240"/>
        <w:ind w:left="0" w:right="0" w:firstLine="720"/>
        <w:jc w:val="left"/>
        <w:rPr/>
      </w:pPr>
      <w:r>
        <w:rPr>
          <w:rFonts w:ascii="Times New Roman;serif" w:hAnsi="Times New Roman;serif"/>
          <w:b w:val="false"/>
          <w:color w:val="000000"/>
          <w:sz w:val="20"/>
          <w:shd w:fill="FFFFFF" w:val="clear"/>
        </w:rPr>
        <w:t>We focus our direct selling efforts on expanding our customers</w:t>
      </w:r>
      <w:r>
        <w:rPr>
          <w:color w:val="000000"/>
        </w:rPr>
        <w:t>’</w:t>
      </w:r>
      <w:r>
        <w:rPr>
          <w:color w:val="000000"/>
          <w:shd w:fill="FFFFFF" w:val="clear"/>
        </w:rPr>
        <w:t xml:space="preserve"> </w:t>
      </w:r>
      <w:r>
        <w:rPr>
          <w:rFonts w:ascii="Times New Roman;serif" w:hAnsi="Times New Roman;serif"/>
          <w:b w:val="false"/>
          <w:color w:val="000000"/>
          <w:sz w:val="20"/>
          <w:shd w:fill="FFFFFF" w:val="clear"/>
        </w:rPr>
        <w:t>use of our platform, which includes companies that are exhibiting significant growth. We engage with and support these customers with our field sales representatives, account managers, and technical account managers who focus on customer satisfaction and drive expansion of their usage of our platform and products. These teams work with technical and business leaders to help our customers’ end users receive the best possible digital experience, while also lowering our customers’ total cost of ownership. These direct selling efforts are reflected by the revenue generated by our large customers. Our Last-Twelve Months Net Retention Rate (“LTM NRR”) metric also measures the revenue growth from existing customers attributable to increased usage of our platform and features, and purchase of additional products and services. For additional details on our key metrics, refer to the “Key Business Metrics” section.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substantially all of our revenue from charging our customers based on their usage of our platform, and we generate a substantial majority of our revenue from customers that have negotiated contracts with us. Customers typically choose to utilize our platform for Network Services, for which we charge fees based on their committed or actual use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platform, as measured in gigabytes and requests. Many of our customers generate billings in excess of their minimum commitment. We also generate revenue from Security and Other product lines, including Compute and Observability, as well as professional and other services, such as implementation, account management and enhanced customer support. We charge a flat one-time or recurring monthly fee depending on the additional products and services selected. Typically, the term of our contracts with customers is 12 months and includes a minimum monthly billing commitment in exchange for more favorable pricing terms. In addition, customers can sign up online by providing their credit card information and agreeing to a minimum monthly fee.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majority of our revenue is usage based and changes in usage by our largest customers can create volatility in our revenue. We receive a substantial portion of our revenue from a limited number of customers and within a limited number of industries, such as media and entertainment. The length of our sales cycles, from initial evaluation to payment, can range from several months to well over a year and can vary substantially from customer to customer. Similarly, the onboarding and ramping process with new as well as existing large customers with new business can take several months and can be subject to delays for unanticipated reasons. The timing of new revenue from our sales efforts and changes in usage by our largest customers can make revenue difficult to predict.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our revenue was $173.0 million and $144.5 million, respectively, an increase of 20%. For the three months ended March 31, 2026 and 2025, we incurred a net loss of $20.5 million and $39.1 million, respectively.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single customer accounted for more than 10% of revenue for the three months ended March 31, 2026 and 2025. No affiliated customers that are business units of a single company generated more than 10% of revenue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focused on continuing to attract new customers and expanding our relationship with existing customers by enhancing our product experience, investing in technology, and leveraging our partner ecosystem. Our customer base ranges from emerging companies to large enterprises undergoing digital transformation across diverse industries and verticals. Utilizing our direct sales force, we have multiple selling points within organizations to acquire new customers and increase usage from our existing customers. We will continue to increase our discretionary marketing spend, including account-based, targeted demand generation and brand spend, to drive the effectiveness of our sales teams. As a result, we expect our total operating expenses to increase as we continue to expand. A key component of our cost-efficient customer acquisition strategy is developer outreach, as developers often advocate for the adoption and promotion of our platform within their organizations and across the broader developer community. We will also continue to build out a single, unified platform, simplify customer onboarding and service usage, and simplify our pricing and packaging. This will require us to dedicate significant resources to further develop the market for our platform and differentiate our platform from competitive products and services. We will also need to expand, retain, and motivate our sales and marketing personnel in order to target our sales efforts at larger enterprises and senior management of these potential customers.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emphasize retaining our customers and expanding their usage of our platform and adoption of our other products. Customers often begin with smaller deployments of one of our products and then expand their usage over time. Our platform includes a variety of offerings across Network Services, Security, and Other product lines, including Compute and Observability. As our customers mature, we assist them in expanding their use of our platform, including the use of additional offerings beyond content delivery or security. In addition, given that customer acquisition costs are incurred largely for acquiring and initial onboarding, we may gain operating leverage to the extent that existing customers expand their use of our platform and products. Our ability to retain customers and expand their usage could be impaired for a variety of reasons, including a customer moving to another provider or reducing usage within the term of their contract. Even if our customers expand their usage of our platform, we cannot guarantee that they will maintain those usage levels for any meaningful period of time or that they will renew their commitments.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continue expanding our efforts to attract customers outside of the United States by augmenting our sales teams and strategically increasing our presence in the number of markets in select international locations. Our international expansion, including our global sales efforts, continues to add increased complexity and cost to our business. This requires us to continue to expand our sales and marketing capabilities outside of the United States, increase the number of markets we have a presence in around the world to support our customers, and manage the administrative aspects of a global organization, each of which place a strain on our business and culture. In addition, our bandwidth costs are higher in markets outside of the United States and Europe, which may impact our gross margins.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jurisdictions have enacted laws on data localization and cross-border data transfers, and the evolving enforcement and interpretation of such laws has created uncertainty regarding data stored abroad and transferred across borders, which could impact customer growth and acquisition for customers and potential customers conducting business in Europe and elsewhere outside of the United States. In addition, we cannot be certain what actions the United States or another country’s government may take with respect to certain of our customers that may adversely affect our ability to do business with our customers that operate in China, target China as a market or that have strong business ties to China, and any such governmental action could have a negative impact on our business. In April 2024, under the prior administration, a bill was signed into law that would effectively ban TikTok in the United States if ByteDance, its China-based parent company, does not sell its stake in TikTok within a set time frame. Following a series of executive orders in 2025 that suspended enforcement of this law, on January 22, 2026, ByteDance announced the establishment of TikTok USDS Joint Venture LLC in compliance with the law to secure United States user data, apps, and the algorithm through data privacy and cybersecurity measures. TikTok was one of our largest customers for the three months ended March 31, 2026 and remains a customer of ours. We do not know how the restructuring may impact our traffic levels. For additional details, refer to the section titled “Risk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closely monitoring various global conflicts and developments, including, but not limited to, the conflict between Russia and Ukraine, the recent military conflict involving Iran, the United States, and Israel, as well as other conflicts in the Middle East, and their global impacts. While the conflicts are still evolving and the outcomes remain highly uncertain, we do not believe these or other conflicts will have a material impact on our business and results of operations. We do not have Points of Presence (“POPs”) in Russia, Ukraine, Iran, or Israel. However, some threat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If such conflicts continue or worsen, leading to greater global economic disruptions and uncertainty, our business and results of operations could be materially impacted.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must continue to invest in our platform and network infrastructure to maintain our position in the market. We expect our revenue growth to be dependent on an expanding customer base and continued adoption of our edge cloud delivery, security, and other products and services. In anticipation of winning new customers and staying ahead of our customers’ needs, we plan to continue to invest in order to expand the scale and capacity of our software-defined modern network. This could result in increased network service provider fees, which could adversely affect our gross margins if we are unable to offset these costs with revenue from new customers and increase revenue from existing customers. Our customers require constant innovation within their own organizations and expect the same from us. Therefore, we will continue to invest in resources to enhance our development capabilities and introduce new products and features on our platform. We believe that investment in research and development will contribute to our long-term growth but may also negatively impact our short-term profitability. For the three months ended March 31, 2026 and 2025, our research and development expenses as a percentage of revenue were 24% and 26%, respectively. Our research and development expenses in each period are impacted by the amount of software development costs that meet the criteria for capitalization. We may also seek to acquire or invest in businesses, products, or technologies that we believe could complement or expand our platform, enhance our technical capabilities, or otherwise offer growth opportunities.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Developers use our platform to build custom applications and require a state-of-the-art infrastructure to test and run these applications. We will continue to invest in our network infrastructure by strategically increasing our POPs. We also anticipate making investments in upgrading our technology and hardware to continue providing our customers a fast and secure platform. Our gross margins and operating results are impacted by these investments. As we continue to experience growth, we may face challenges managing adequate server capacity in our POPs due to potential component delays, shortages, price increases, hardware efficiencies gained through internal development, or any potential changes in server architecture, including due to technological advances or obsolescence. If we have server asset levels in excess of forecasted network capacity needs, we have in the past and may need to continue to write-down or write-off server assets. Conversely, if we underestimate network capacity needs, we may in future periods be unable to meet demand and be required to incur higher costs to secure necessary parts and components of our servers.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international trade disputes may further disrupt or delay our supply chain for these components or lead to pricing increases. For example, the United States has imposed or indicated an intention to impose tariffs on certain countries which may lead to retaliatory actions such as counter-tariffs and increase production costs and disruptions in our supply chain. The United States and other jurisdictions have also leveraged various trade and value chain requirements, including on environmental and social criteria, which may make sourcing more costly, require us to change suppliers, or otherwise adversely impact our operations. Further, it is possible that government policy changes, including policy changes made with little to no advance notice, and related uncertainty about policy changes could increase market volatility. If our supply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components is further disrupted or delayed, there can be no assurance that we will be able to obtain adequate replacements for the existing components or that supplies will be available on terms and prices that are favorable to us, if at all. In the event that there are errors in software, failures of hardware, damages to a facility or misconfigurations of any of our services, whether caused by our own error, security breaches, third-party error, or natural disasters, we could experience lengthy interruptions in our platform availability as well as delays and additional expenses in arranging new facilities and services. In addition, there can be no assurance that we are adequately prepared for unexpected increases in bandwidth demands by our customers, particularly when we or our customers experience cyber-attacks. The bandwidth we have contracted to purchase may become unavailable for a variety of reasons, including service outages, payment disputes, network providers going out of business, natural disasters, networks imposing traffic limits, or governments adopting regulations that impact network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the following key metrics presented in the table below to evaluate our business, measure our performance, identify trends affecting our business, prepare financial projections, and make strategic decisions. The calculation of these key metrics below may differ from other similarly titled metrics used by other companies, analysts, or investors. </w:t>
      </w:r>
    </w:p>
    <w:tbl>
      <w:tblPr>
        <w:tblW w:w="6417" w:type="dxa"/>
        <w:jc w:val="left"/>
        <w:tblInd w:w="0" w:type="dxa"/>
        <w:tblLayout w:type="fixed"/>
        <w:tblCellMar>
          <w:top w:w="28" w:type="dxa"/>
          <w:left w:w="28" w:type="dxa"/>
          <w:bottom w:w="28" w:type="dxa"/>
          <w:right w:w="28" w:type="dxa"/>
        </w:tblCellMar>
      </w:tblPr>
      <w:tblGrid>
        <w:gridCol w:w="1485"/>
        <w:gridCol w:w="1301"/>
        <w:gridCol w:w="1308"/>
        <w:gridCol w:w="109"/>
        <w:gridCol w:w="109"/>
        <w:gridCol w:w="109"/>
        <w:gridCol w:w="277"/>
        <w:gridCol w:w="279"/>
        <w:gridCol w:w="256"/>
        <w:gridCol w:w="109"/>
        <w:gridCol w:w="109"/>
        <w:gridCol w:w="109"/>
        <w:gridCol w:w="277"/>
        <w:gridCol w:w="279"/>
        <w:gridCol w:w="301"/>
      </w:tblGrid>
      <w:tr>
        <w:trPr/>
        <w:tc>
          <w:tcPr>
            <w:tcW w:w="148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Large Customer 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Last-Twelve Months Net Retention Rate (“LTM NRR”)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definition of a customer consists of identifiable operating entities with which we have a billing relationship in good standing and which we have recognized revenue from during the reporting period. An identifiable operating entity is defined as a company, a government entity, or a distinct business unit of a larger company that has a relationship with us through direct sales or through one of our reseller partners where charges are identified on an end-customer basis. We may treat separate subsidiaries, segments, divisions, or business units of a single organization that use our platform as unique customers where they have distinct account identifiers. In cases where charges are identified through a reseller partner rather than on an end-customer basis, we would count the reseller as a single customer in our customer count. Our customer groupings may be impacted by changes to our customers’ business, including any impact from acquisition activities, internal business reorganizations leading to operational and decision-making changes, and corporate structure changes such as subsidiary consolidation and reorganization that may arise in the future.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Large Customer Count</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our revenue has been driven primarily by a subset of our customers, our large customers, who have leveraged our platform substantially from a usage standpoint. We believe that the recruitment and cultivation of large customers is critical to our long-term success. Our large customer count is defined as customers with annualized current quarter revenue in excess of $100,000. This is calculated by taking the revenue we recognized for each customer in the current quarter and multiplying it by four. As of March 31, 2026, we had 634 of such large customers which generated 94% of the total annualized current quarter revenue for our total customers for the three months ended March 31, 2026. As of March 31, 2025, we had 595 of such large customers which generated 93% of the total annualized current quarter revenue for our total customers for the three months ended March 31, 2025.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no longer consider total customer count to be a key business metric. Management believes large customer count, which we continue to disclose, is a more appropriate indicator of the performance of our business, as a majority of our revenue is driven by large customers. Management no longer utilizes total customer count to manage or monitor the performance of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Last-Twelve Months Net Retention Rate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and increase our revenue is also dependent upon our ability to retain our existing customers. LTM NRR allows us to track customer retention which demonstrates the stickiness of our edge cloud platform. </w:t>
      </w:r>
    </w:p>
    <w:p>
      <w:pPr>
        <w:pStyle w:val="TextBody"/>
        <w:bidi w:val="0"/>
        <w:spacing w:lineRule="auto" w:line="276"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LTM NRR removes some of the volatility that is inherent in a usage-based business model from the measurement of the NRR metric. We calculate LTM NRR by dividing the total customer revenue for the prior twelve-month period (“prior 12-month period”) ending at the beginning of the last twelve-month period (“LTM period”) minus revenue contraction due to billing decreases or customer churn, plus revenue expansion due to billing increases during the LTM period from the same customers by the total prior 12-month period revenue. For the trailing twelve months ended March 31, 2026 and 2025 our LTM NRR was 113.0% and 100.0%,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40"/>
        <w:jc w:val="left"/>
        <w:rPr>
          <w:rFonts w:ascii="Times New Roman;serif" w:hAnsi="Times New Roman;serif"/>
          <w:b/>
          <w:i/>
          <w:color w:val="000000"/>
          <w:sz w:val="20"/>
        </w:rPr>
      </w:pPr>
      <w:r>
        <w:rPr>
          <w:rFonts w:ascii="Times New Roman;serif" w:hAnsi="Times New Roman;serif"/>
          <w:b/>
          <w:i/>
          <w:color w:val="000000"/>
          <w:sz w:val="20"/>
        </w:rPr>
        <w:t>Remaining Performance Obligations (“RPO”)</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RPO represent future committed revenue for periods within current contracts with customers, as well as deferred revenue arising from consideration invoiced for which the related performance obligations have not been satisfied. As of March 31, 2026, the aggregate amount of the transaction price in our contracts allocated to RPO that were unsatisfied or partially unsatisfied was $368.7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Key Components of Statement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derive our revenue primarily from usage-based fees earned from customers using our platform. We also earn fixed-rate recurring revenue from security and other products and services.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usage-based fees earned from customers using our platform are generally billed in arrears. Our security products are primarily annual subscriptions that are billed in advance. Many customers have tiered usage pricing which reflects discounted rates as usage increases. For most contracts, usage charges are determined on a monthly basis based on actual usage within the month and do not impact usage charges within any other month. Our larger customers often enter into contracts that contain minimum billing commitments and reflect discounted pricing associated with such usage levels.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present our disaggregated revenue by three product lines: Network Services, Security, and Other. Network Services include solutions designed to improve performance of websites, apps, application programming interfaces (“APIs”), and digital media. Security includes products designed to protect websites, apps, APIs and users. Other includes Compute solutions that allow developers to build and deploy modern web applications on our edge cloud platform, and Observability solutions that provide real-time logs, data and metrics streamed from our edge platform for actionable insights.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United States revenue (“U.S. revenue”) as revenue from customers that have a billing address in the United States, and we define international revenue as revenue from customers that have a billing address outside of the United States.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Revenue and Gross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consists primarily of fees paid to network providers for bandwidth and to third-party network data centers for housing servers, also known as colocation costs. Cost of revenue also includes employee costs for network operation, build-out and support and services delivery, network storage costs, cost of managed services and software-as-a-service, depreciation of network equipment used to deliver services, and amortization of network-related internal-use software. Our arrangements with network service providers require us to pay fees based on bandwidth use, in some cases subject to minimum commitments, which may be underutilized. Over the long term we expect cost of revenue to decrease as a percentage of revenue as we continue to drive efficiencies in our operations. However, our cost of revenue may fluctuate as a percentage of our revenue from period to period due to the timing and extent of these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gross margin has been and will continue to be affected by a number of factors, including utilization of our network, the timing of our investments in the expansion of our network, which can increase depreciation and colocation costs in advance of expected demand, our ability to manage our network service providers and cloud infrastructure-related fees, the timing of amortization of capitalized software development costs, changes in personnel costs to provide customer support and operate the network, and customer pricing. Over the long term we expect gross margin to increase as we continue to drive efficiencies in our operations and increase our revenue. However, our gross margin may fluctuate from period to period.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 costs, including salaries, benefits, bonuses, and stock-based compensation. Research and development expenses also include cloud infrastructure fees for development and testing and an allocation of our general overhead expenses. We capitalize the portion of our software development costs that meet the criteria for capitalization.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focus our research and development efforts on adding new features and products including new use cases, improving the efficiency and performance of our network, and increasing the functionality of our existing products. Over the long term we expect our research and development expenses to decrease as a percentage of our revenue. However, our research and development expenses may fluctuate as a percentage of our revenue from period to period due to the timing and extent of these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personnel costs, including commissions for our sales employees, salaries, benefits, bonuses, and stock-based compensation. Sales and marketing expenses also include expenditures related to advertising, marketing, our brand awareness activities, bandwidth and co-location costs for free trial users, costs related to our customer events, including our customer conferences, professional services fees, amortization of our intangible assets, and an allocation of our general overhead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focus our sales and marketing efforts on generating awareness of our platform and products, creating sales leads, and establishing and promoting our brand, both domestically and internationally. Over the long term, we expect our sales and marketing expenses to decrease as a percentage of our revenue. However, our sales and marketing expenses may fluctuate as a percentage of our revenue from period to period due to the timing and extent of these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 costs, including salaries, benefits, bonuses, and stock-based compensation for our administrative support personnel. General and administrative expenses also include costs related to legal and other professional services fees, an allocation of our general overhead expenses, credit losses, and acquisition-related costs.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near term, we expect to continue to incur costs associated with supporting the growth of our business, including international expansion, but expect these costs to decrease as a percentage of our revenue over the long term as we continue to drive efficiencies in our operations. However, our general and administrative expenses may fluctuate as a percentage of our revenue from period to period due to the timing and extent of these expenses. </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 xml:space="preserve">Other Income and Expenses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income consists primarily of interest earned on our cash, cash equivalents, and investments. Our interest expense consists primarily of the interest expense on our finance leases, amortization of discount, coupon interest expense, and debt issuance costs associated with our debt obligations. Our other expense, net, consists primarily of foreign currency transaction gains and losses. </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expense (benefit) consists primarily of income taxes in certain foreign jurisdictions where we conduct business and state minimum income taxes in the United States. We currently maintain a full valuation allowance on our U.S. Federal and state net deferred tax assets. We expect to maintain this valuation allowance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 presented:</w:t>
      </w:r>
    </w:p>
    <w:tbl>
      <w:tblPr>
        <w:tblW w:w="7634" w:type="dxa"/>
        <w:jc w:val="left"/>
        <w:tblInd w:w="0" w:type="dxa"/>
        <w:tblLayout w:type="fixed"/>
        <w:tblCellMar>
          <w:top w:w="28" w:type="dxa"/>
          <w:left w:w="28" w:type="dxa"/>
          <w:bottom w:w="28" w:type="dxa"/>
          <w:right w:w="28" w:type="dxa"/>
        </w:tblCellMar>
      </w:tblPr>
      <w:tblGrid>
        <w:gridCol w:w="1460"/>
        <w:gridCol w:w="1284"/>
        <w:gridCol w:w="1291"/>
        <w:gridCol w:w="109"/>
        <w:gridCol w:w="109"/>
        <w:gridCol w:w="109"/>
        <w:gridCol w:w="196"/>
        <w:gridCol w:w="736"/>
        <w:gridCol w:w="109"/>
        <w:gridCol w:w="109"/>
        <w:gridCol w:w="109"/>
        <w:gridCol w:w="109"/>
        <w:gridCol w:w="196"/>
        <w:gridCol w:w="736"/>
        <w:gridCol w:w="109"/>
        <w:gridCol w:w="109"/>
        <w:gridCol w:w="109"/>
        <w:gridCol w:w="109"/>
        <w:gridCol w:w="536"/>
      </w:tblGrid>
      <w:tr>
        <w:trPr/>
        <w:tc>
          <w:tcPr>
            <w:tcW w:w="146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gridSpan w:val="2"/>
            <w:tcBorders/>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863" w:type="dxa"/>
            <w:gridSpan w:val="4"/>
            <w:tcBorders/>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ind w:left="0" w:right="0" w:firstLine="405"/>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ind w:left="0" w:right="0" w:firstLine="405"/>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ind w:left="0" w:right="0" w:firstLine="405"/>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ind w:left="0" w:right="0" w:firstLine="405"/>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ind w:left="0" w:right="0" w:firstLine="405"/>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ind w:left="0" w:right="0" w:firstLine="405"/>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 presented as a percentage of our revenue:</w:t>
      </w:r>
    </w:p>
    <w:tbl>
      <w:tblPr>
        <w:tblW w:w="9121" w:type="dxa"/>
        <w:jc w:val="left"/>
        <w:tblInd w:w="0" w:type="dxa"/>
        <w:tblLayout w:type="fixed"/>
        <w:tblCellMar>
          <w:top w:w="28" w:type="dxa"/>
          <w:left w:w="28" w:type="dxa"/>
          <w:bottom w:w="28" w:type="dxa"/>
          <w:right w:w="28" w:type="dxa"/>
        </w:tblCellMar>
      </w:tblPr>
      <w:tblGrid>
        <w:gridCol w:w="1200"/>
        <w:gridCol w:w="1057"/>
        <w:gridCol w:w="1057"/>
        <w:gridCol w:w="308"/>
        <w:gridCol w:w="308"/>
        <w:gridCol w:w="308"/>
        <w:gridCol w:w="376"/>
        <w:gridCol w:w="376"/>
        <w:gridCol w:w="885"/>
        <w:gridCol w:w="376"/>
        <w:gridCol w:w="376"/>
        <w:gridCol w:w="376"/>
        <w:gridCol w:w="376"/>
        <w:gridCol w:w="376"/>
        <w:gridCol w:w="885"/>
        <w:gridCol w:w="109"/>
        <w:gridCol w:w="109"/>
        <w:gridCol w:w="109"/>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4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as a percentage of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Columns may not add up to 100%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tbl>
      <w:tblPr>
        <w:tblW w:w="6651" w:type="dxa"/>
        <w:jc w:val="left"/>
        <w:tblInd w:w="0" w:type="dxa"/>
        <w:tblLayout w:type="fixed"/>
        <w:tblCellMar>
          <w:top w:w="28" w:type="dxa"/>
          <w:left w:w="28" w:type="dxa"/>
          <w:bottom w:w="28" w:type="dxa"/>
          <w:right w:w="28" w:type="dxa"/>
        </w:tblCellMar>
      </w:tblPr>
      <w:tblGrid>
        <w:gridCol w:w="624"/>
        <w:gridCol w:w="549"/>
        <w:gridCol w:w="551"/>
        <w:gridCol w:w="109"/>
        <w:gridCol w:w="109"/>
        <w:gridCol w:w="109"/>
        <w:gridCol w:w="196"/>
        <w:gridCol w:w="736"/>
        <w:gridCol w:w="256"/>
        <w:gridCol w:w="109"/>
        <w:gridCol w:w="109"/>
        <w:gridCol w:w="109"/>
        <w:gridCol w:w="196"/>
        <w:gridCol w:w="736"/>
        <w:gridCol w:w="256"/>
        <w:gridCol w:w="109"/>
        <w:gridCol w:w="109"/>
        <w:gridCol w:w="109"/>
        <w:gridCol w:w="200"/>
        <w:gridCol w:w="200"/>
        <w:gridCol w:w="471"/>
        <w:gridCol w:w="109"/>
        <w:gridCol w:w="109"/>
        <w:gridCol w:w="109"/>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Network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173,021 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144,474 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Network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was $173.0 million for the three months ended March 31, 2026, compared to $144.5 million for the three months ended March 31, 2025, an increase of $28.5 million, or 20%.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and 2025, revenue was primarily from existing customers, as revenue from new customers contributed less than 10% of our revenue. The proportion of the revenue contribution between new and existing customers is consistent with prior periods and typical customer behavior as customers tend to contribute more revenue over time as their use of the platform increases. The remainder of our revenue was generated by our other products and services, including support and professional services.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Network Services revenue was $126.2 million for the three months ended March 31, 2026, compared to $113.3 million for the three months ended March 31, 2025, an increase of $12.9 million, or 11%. The increase in Network Services revenue was primarily driven by growth in usage from existing customers. Security revenue was $38.8 million for the three months ended March 31, 2026, compared to $26.4 million for the three months ended March 31, 2025, an increase of $12.4 million, or 47%. The increase in Security revenue was primarily driven by an increase in Next-Gen WAF revenue. Other revenue was $8.0 million for the three months ended March 31, 2026, compared to $4.8 million for the three months ended March 31, 2025, an increase of $3.2 million, or 67%. The increase in Other revenue was primarily driven by further adoption of our Compute solutions.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5698"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196"/>
        <w:gridCol w:w="646"/>
        <w:gridCol w:w="109"/>
        <w:gridCol w:w="109"/>
        <w:gridCol w:w="109"/>
        <w:gridCol w:w="109"/>
        <w:gridCol w:w="196"/>
        <w:gridCol w:w="646"/>
        <w:gridCol w:w="109"/>
        <w:gridCol w:w="109"/>
        <w:gridCol w:w="109"/>
        <w:gridCol w:w="109"/>
        <w:gridCol w:w="200"/>
        <w:gridCol w:w="200"/>
        <w:gridCol w:w="471"/>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was $64.8 million for the three months ended March 31, 2026 compared to $67.7 million for the three months ended March 31, 2025, a decrease of $2.9 million, or 4%. The decrease was primarily due to a $6.0 million decrease in depreciation and amortization as well as a $1.5 million decrease in bandwidth cost. The decrease was partially offset by a $1.8 million increase in colocation costs, a $1.2 million increase in software costs, a $1.1 million increase in personnel-related costs, as well as a $0.6 million increase in stock-based compensation expense. </w:t>
      </w:r>
    </w:p>
    <w:p>
      <w:pPr>
        <w:pStyle w:val="TextBody"/>
        <w:bidi w:val="0"/>
        <w:spacing w:lineRule="auto" w:line="288" w:before="100" w:after="240"/>
        <w:jc w:val="left"/>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5931"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196"/>
        <w:gridCol w:w="736"/>
        <w:gridCol w:w="256"/>
        <w:gridCol w:w="109"/>
        <w:gridCol w:w="109"/>
        <w:gridCol w:w="109"/>
        <w:gridCol w:w="196"/>
        <w:gridCol w:w="646"/>
        <w:gridCol w:w="256"/>
        <w:gridCol w:w="109"/>
        <w:gridCol w:w="109"/>
        <w:gridCol w:w="109"/>
        <w:gridCol w:w="200"/>
        <w:gridCol w:w="200"/>
        <w:gridCol w:w="471"/>
        <w:gridCol w:w="109"/>
        <w:gridCol w:w="109"/>
        <w:gridCol w:w="109"/>
        <w:gridCol w:w="109"/>
        <w:gridCol w:w="109"/>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Gross profit was </w:t>
      </w:r>
      <w:r>
        <w:rPr>
          <w:rFonts w:ascii="Times New Roman;serif" w:hAnsi="Times New Roman;serif"/>
          <w:b w:val="false"/>
          <w:color w:val="000000"/>
          <w:sz w:val="20"/>
        </w:rPr>
        <w:t>$108.2 million</w:t>
      </w:r>
      <w:r>
        <w:rPr>
          <w:color w:val="000000"/>
          <w:shd w:fill="FFFFFF" w:val="clear"/>
        </w:rPr>
        <w:t xml:space="preserve"> </w:t>
      </w:r>
      <w:r>
        <w:rPr>
          <w:rFonts w:ascii="Times New Roman;serif" w:hAnsi="Times New Roman;serif"/>
          <w:b w:val="false"/>
          <w:color w:val="000000"/>
          <w:sz w:val="20"/>
          <w:shd w:fill="FFFFFF" w:val="clear"/>
        </w:rPr>
        <w:t>for the three months ended March 31, 2026</w:t>
      </w:r>
      <w:r>
        <w:rPr>
          <w:color w:val="000000"/>
        </w:rPr>
        <w:t xml:space="preserve"> </w:t>
      </w:r>
      <w:r>
        <w:rPr>
          <w:rFonts w:ascii="Times New Roman;serif" w:hAnsi="Times New Roman;serif"/>
          <w:b w:val="false"/>
          <w:color w:val="000000"/>
          <w:sz w:val="20"/>
        </w:rPr>
        <w:t>compared to $76.8 million for the three months ended March 31, 2025, an increase of $31.4 million, or 41%. Gross margin was 63% for the three months ended March 31, 2026 and 53% for the three months ended March 31, 2025. The increase in gross margin was driven by revenue growth during the three months ended March 31, 2026 combined with the decreases in cost of revenue.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6943" w:type="dxa"/>
        <w:jc w:val="left"/>
        <w:tblInd w:w="0" w:type="dxa"/>
        <w:tblLayout w:type="fixed"/>
        <w:tblCellMar>
          <w:top w:w="28" w:type="dxa"/>
          <w:left w:w="28" w:type="dxa"/>
          <w:bottom w:w="28" w:type="dxa"/>
          <w:right w:w="28" w:type="dxa"/>
        </w:tblCellMar>
      </w:tblPr>
      <w:tblGrid>
        <w:gridCol w:w="728"/>
        <w:gridCol w:w="640"/>
        <w:gridCol w:w="642"/>
        <w:gridCol w:w="109"/>
        <w:gridCol w:w="109"/>
        <w:gridCol w:w="109"/>
        <w:gridCol w:w="196"/>
        <w:gridCol w:w="736"/>
        <w:gridCol w:w="256"/>
        <w:gridCol w:w="109"/>
        <w:gridCol w:w="109"/>
        <w:gridCol w:w="109"/>
        <w:gridCol w:w="196"/>
        <w:gridCol w:w="736"/>
        <w:gridCol w:w="256"/>
        <w:gridCol w:w="109"/>
        <w:gridCol w:w="109"/>
        <w:gridCol w:w="109"/>
        <w:gridCol w:w="203"/>
        <w:gridCol w:w="203"/>
        <w:gridCol w:w="471"/>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114,977 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$42.0 million for the three months ended March 31, 2026 compared to $37.4 million for the three months ended March 31, 2025, an increase of $4.6 million, or 12%. The increase was primarily due to a $3.1 million increase in personnel-related costs, a $1.1 million increase in stock-based compensation expenses, and a $1.1 million decrease in capitalized software development costs. The increase was partially offset by a $0.8 million decrease in software costs.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were $55.1 million for the three months ended March 31, 2026 compared to $49.3 million for the three months ended March 31, 2025, an increase of $5.8 million, or 12%. The increase was primarily due to a $3.0 million increase in personnel-related costs including commission expense, a $2.7 million increase in stock-based compensation expenses, as well as a $0.7 million increase in third-party commission expenses. The increase was partially offset by a $0.7 million decrease in software costs.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 were $35.0 million for the three months ended March 31, 2026 compared to $28.2 million for the three months ended March 31, 2025, an increase of $6.8 million, or 24%. The increase was primarily due to a $5.0 million increase in stock-based compensation expenses, a $0.8 million increase in personnel-related costs, a $0.7 increase in executive transition costs as well as a $0.6 million increase in bad debt costs.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Taxes</w:t>
      </w:r>
    </w:p>
    <w:tbl>
      <w:tblPr>
        <w:tblW w:w="6959" w:type="dxa"/>
        <w:jc w:val="left"/>
        <w:tblInd w:w="0" w:type="dxa"/>
        <w:tblLayout w:type="fixed"/>
        <w:tblCellMar>
          <w:top w:w="28" w:type="dxa"/>
          <w:left w:w="28" w:type="dxa"/>
          <w:bottom w:w="28" w:type="dxa"/>
          <w:right w:w="28" w:type="dxa"/>
        </w:tblCellMar>
      </w:tblPr>
      <w:tblGrid>
        <w:gridCol w:w="892"/>
        <w:gridCol w:w="782"/>
        <w:gridCol w:w="785"/>
        <w:gridCol w:w="109"/>
        <w:gridCol w:w="109"/>
        <w:gridCol w:w="109"/>
        <w:gridCol w:w="211"/>
        <w:gridCol w:w="691"/>
        <w:gridCol w:w="109"/>
        <w:gridCol w:w="109"/>
        <w:gridCol w:w="109"/>
        <w:gridCol w:w="109"/>
        <w:gridCol w:w="211"/>
        <w:gridCol w:w="466"/>
        <w:gridCol w:w="109"/>
        <w:gridCol w:w="109"/>
        <w:gridCol w:w="109"/>
        <w:gridCol w:w="109"/>
        <w:gridCol w:w="269"/>
        <w:gridCol w:w="271"/>
        <w:gridCol w:w="483"/>
        <w:gridCol w:w="109"/>
        <w:gridCol w:w="109"/>
        <w:gridCol w:w="109"/>
        <w:gridCol w:w="109"/>
        <w:gridCol w:w="109"/>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benefit was $4.1 million for the three months ended March 31, 2026 compared to income tax expense of $0.7 million for the three months ended March 31, 2025, a decrease of $4.8 million. The decrease was primarily due to the recognition of a previously unrecognized tax benefit of $4.3 million resulting from the lapse of the applicable statute of limitations in the UK. The Company continues to maintain a full valuation allowance in the U.S. and the tax expense/(benefit) for the periods were primarily due to foreign tax expense/(benefit).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cash, cash equivalents, and marketable securities totaling $330.5 million. Our cash, cash equivalents, and marketable securities primarily consisted of money market funds, investment-grade commercial paper, corporate notes and bonds, U.S. treasury securities, municipal bonds, agency bonds, and certificates of deposit. As of March 31, 2026, we did not have any marketable securities classified as non-current.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financed our operations primarily through equity issuances, payments received from customers, the net proceeds we received through sales of our debt securities, and proceeds from our convertible notes. Our principal uses of cash in the near term have primarily been around funding our operations, our capital expenditures, business acquisitions, and investments and fulfilling our debt and contractual commitments. We have also entered into longer term commitments to support our operations, including arrangements to directly lease and operate our infrastructure assets and colocation facilities. We have not entered into any off-balance sheet arrangements and do not have any holdings in variable interest entities.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balances, available borrowing capacity under our credit facility, and the cash flows generated by our operations, net of the cash outflows used in our operations, will be sufficient to satisfy our anticipated cash needs for working capital and capital expenditures for at least the next 12 months. We have generated losses from operations in the past and may continue to incur operating losses for the foreseeable future due to the investments and strategic initiatives we intend to make to grow our business. Our uses of cash beyond the next 12 months will depend on many factors, including the general economic environment in which we operate and our ability to generate cash flow from operations, which are uncertain. We may also use our cash to buy back any outstanding debt on our convertible notes or on any future equity issuances.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Senior Secured Credit Facilities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2021, we entered into the Credit Agreement (as defined in Note 8 in our condensed consolidated financial statements). As of March 31, 2026, we were in compliance with the covenants described in Note 8 to the condensed consolidated financial statements in Part I, Item 1 of this Quarterly Report on Form 10-Q, and we expect to continue to be in compliance for at least the next 12 months. During the three months ended March 31, 2026 and 2025, no amounts were drawn down on the Credit Agreement.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2021, we issued approximately $948.8 million aggregate principal amount of 0% convertible senior unsecured notes due in 2026 (the “2026 Notes”) in a private placement to qualified institutional buyers pursuant to Rule 144A under the Securities Act.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25, 2022, we entered into separate, privately negotiated transactions with certain holders of the 2026 Notes to repurchase (the “Repurchases”) $235.0 million aggregate principal amount of the 2026 Notes for an aggregate cash repurchase price of $176.4 million and aggregate transaction costs of $0.7 million.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we entered into several separate privately negotiated transactions with certain holders of the 2026 Notes to repurchase $367.3 million aggregate principal amount of the 2026 Notes for an aggregate cash repurchase price of $309.1 million and aggregate transaction costs of $2.0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we entered into separate, privately negotiated transactions with certain holders of the 2026 Notes to exchange $157.9 million aggregate principal amount of the 2026 Notes for $150.0 million aggregate principal amount of 7.75% convertible senior notes due 2028 (the “2028 Notes”) and aggregate transaction costs of $5.8 million. </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entered into separate, privately negotiated transactions with certain holders of the 2026 Notes to repurchase $150.0 million aggregate principal amount of the 2026 Notes for an aggregate cash repurchase price of $148.9 million and aggregate transaction costs of $6.7 million. We also issued $180.0 million aggregate principal amount of 0% convertible senior unsecured notes due in 2030 (the “2030 Notes”) in private offerings to persons reasonably believed to be qualified institutional buyers pursuant to Rule 144A under the Securities Act.</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 2026 Notes matured and were repaid in full.</w:t>
      </w:r>
    </w:p>
    <w:p>
      <w:pPr>
        <w:pStyle w:val="TextBody"/>
        <w:bidi w:val="0"/>
        <w:spacing w:lineRule="auto" w:line="26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Capped Calls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issuance of the 2030 Notes, the Company entered into privately negotiated capped call transactions with certain counterparties (the “Capped Calls”). The Capped Calls resulted in an $18.2 million outflow of cash. Refer to Note 8 to the condensed consolidated financial statements in Part I, Item 1 of this Quarterly Report on Form 10-Q. </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our material cash requirements include non-cancelable contractual obligations from the 2028 Notes, 2030 Notes, purchase commitments, and lease obligations. Refer to Notes 6, 8, and 9 to the condensed consolidated financial statements in Part I, Item 1 within this Form 10-Q for more information regarding these material cash requirements.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 indicated:</w:t>
      </w:r>
    </w:p>
    <w:tbl>
      <w:tblPr>
        <w:tblW w:w="7250" w:type="dxa"/>
        <w:jc w:val="left"/>
        <w:tblInd w:w="0" w:type="dxa"/>
        <w:tblLayout w:type="fixed"/>
        <w:tblCellMar>
          <w:top w:w="28" w:type="dxa"/>
          <w:left w:w="28" w:type="dxa"/>
          <w:bottom w:w="28" w:type="dxa"/>
          <w:right w:w="28" w:type="dxa"/>
        </w:tblCellMar>
      </w:tblPr>
      <w:tblGrid>
        <w:gridCol w:w="1525"/>
        <w:gridCol w:w="1343"/>
        <w:gridCol w:w="1346"/>
        <w:gridCol w:w="109"/>
        <w:gridCol w:w="109"/>
        <w:gridCol w:w="109"/>
        <w:gridCol w:w="211"/>
        <w:gridCol w:w="796"/>
        <w:gridCol w:w="109"/>
        <w:gridCol w:w="109"/>
        <w:gridCol w:w="109"/>
        <w:gridCol w:w="109"/>
        <w:gridCol w:w="211"/>
        <w:gridCol w:w="90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For the three months ended March 31, 2026, cash provided by operating activities was $28.9 million, consisting primarily of our net loss</w:t>
      </w:r>
      <w:r>
        <w:rPr>
          <w:color w:val="000000"/>
          <w:shd w:fill="FFFFFF" w:val="clear"/>
        </w:rPr>
        <w:t xml:space="preserve"> </w:t>
      </w:r>
      <w:r>
        <w:rPr>
          <w:rFonts w:ascii="Times New Roman;serif" w:hAnsi="Times New Roman;serif"/>
          <w:b w:val="false"/>
          <w:color w:val="000000"/>
          <w:sz w:val="20"/>
          <w:shd w:fill="FFFFFF" w:val="clear"/>
        </w:rPr>
        <w:t>of $20.5 million, adjusted for non-cash items of $57.0 million, and net cash flows used in operating assets and liabilities of $7.6 million. The main drivers of the changes in operating assets and liabilities were an increase in accounts receivable of $13.5 million, a $5.8 million operating lease payment, and an increase in prepaid expenses and other current assets of $2.6 million. This was partially offset by an increase in accounts payable of $6.8 million, an increase in accrued expenses of $3.5 million, an increase in other liabilities of $2.7 million, and a decrease in other assets of $1.4 million.</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 xml:space="preserve">, cash provided by operating activities was </w:t>
      </w:r>
      <w:r>
        <w:rPr>
          <w:rFonts w:ascii="Times New Roman;serif" w:hAnsi="Times New Roman;serif"/>
          <w:b w:val="false"/>
          <w:color w:val="000000"/>
          <w:sz w:val="20"/>
        </w:rPr>
        <w:t>$17.3 million</w:t>
      </w:r>
      <w:r>
        <w:rPr>
          <w:rFonts w:ascii="Times New Roman;serif" w:hAnsi="Times New Roman;serif"/>
          <w:b w:val="false"/>
          <w:color w:val="000000"/>
          <w:sz w:val="20"/>
          <w:shd w:fill="FFFFFF" w:val="clear"/>
        </w:rPr>
        <w:t xml:space="preserve">, consisting primarily of our net loss of </w:t>
      </w:r>
      <w:r>
        <w:rPr>
          <w:rFonts w:ascii="Times New Roman;serif" w:hAnsi="Times New Roman;serif"/>
          <w:b w:val="false"/>
          <w:color w:val="000000"/>
          <w:sz w:val="20"/>
        </w:rPr>
        <w:t>$39.1 million</w:t>
      </w:r>
      <w:r>
        <w:rPr>
          <w:rFonts w:ascii="Times New Roman;serif" w:hAnsi="Times New Roman;serif"/>
          <w:b w:val="false"/>
          <w:color w:val="000000"/>
          <w:sz w:val="20"/>
          <w:shd w:fill="FFFFFF" w:val="clear"/>
        </w:rPr>
        <w:t xml:space="preserve">, adjusted for non-cash items of </w:t>
      </w:r>
      <w:r>
        <w:rPr>
          <w:rFonts w:ascii="Times New Roman;serif" w:hAnsi="Times New Roman;serif"/>
          <w:b w:val="false"/>
          <w:color w:val="000000"/>
          <w:sz w:val="20"/>
        </w:rPr>
        <w:t>$57.5 million</w:t>
      </w:r>
      <w:r>
        <w:rPr>
          <w:rFonts w:ascii="Times New Roman;serif" w:hAnsi="Times New Roman;serif"/>
          <w:b w:val="false"/>
          <w:color w:val="000000"/>
          <w:sz w:val="20"/>
          <w:shd w:fill="FFFFFF" w:val="clear"/>
        </w:rPr>
        <w:t xml:space="preserve">, and net cash flows used in operating assets and liabilities of </w:t>
      </w:r>
      <w:r>
        <w:rPr>
          <w:rFonts w:ascii="Times New Roman;serif" w:hAnsi="Times New Roman;serif"/>
          <w:b w:val="false"/>
          <w:color w:val="000000"/>
          <w:sz w:val="20"/>
        </w:rPr>
        <w:t>$1.1 million</w:t>
      </w:r>
      <w:r>
        <w:rPr>
          <w:rFonts w:ascii="Times New Roman;serif" w:hAnsi="Times New Roman;serif"/>
          <w:b w:val="false"/>
          <w:color w:val="000000"/>
          <w:sz w:val="20"/>
          <w:shd w:fill="FFFFFF" w:val="clear"/>
        </w:rPr>
        <w:t xml:space="preserve">. The main drivers of the changes in operating assets and liabilities were </w:t>
      </w:r>
      <w:r>
        <w:rPr>
          <w:rFonts w:ascii="Times New Roman;serif" w:hAnsi="Times New Roman;serif"/>
          <w:b w:val="false"/>
          <w:color w:val="000000"/>
          <w:sz w:val="20"/>
        </w:rPr>
        <w:t>$5.6 million</w:t>
      </w:r>
      <w:r>
        <w:rPr>
          <w:color w:val="000000"/>
          <w:shd w:fill="FFFFFF" w:val="clear"/>
        </w:rPr>
        <w:t xml:space="preserve"> </w:t>
      </w:r>
      <w:r>
        <w:rPr>
          <w:rFonts w:ascii="Times New Roman;serif" w:hAnsi="Times New Roman;serif"/>
          <w:b w:val="false"/>
          <w:color w:val="000000"/>
          <w:sz w:val="20"/>
          <w:shd w:fill="FFFFFF" w:val="clear"/>
        </w:rPr>
        <w:t xml:space="preserve">of operating lease payments, a net decrease of accounts receivable of </w:t>
      </w:r>
      <w:r>
        <w:rPr>
          <w:rFonts w:ascii="Times New Roman;serif" w:hAnsi="Times New Roman;serif"/>
          <w:b w:val="false"/>
          <w:color w:val="000000"/>
          <w:sz w:val="20"/>
        </w:rPr>
        <w:t>$4.0 million</w:t>
      </w:r>
      <w:r>
        <w:rPr>
          <w:rFonts w:ascii="Times New Roman;serif" w:hAnsi="Times New Roman;serif"/>
          <w:b w:val="false"/>
          <w:color w:val="000000"/>
          <w:sz w:val="20"/>
          <w:shd w:fill="FFFFFF" w:val="clear"/>
        </w:rPr>
        <w:t xml:space="preserve">, primarily due to the timing of cash receipts from our customers, a </w:t>
      </w:r>
      <w:r>
        <w:rPr>
          <w:rFonts w:ascii="Times New Roman;serif" w:hAnsi="Times New Roman;serif"/>
          <w:b w:val="false"/>
          <w:color w:val="000000"/>
          <w:sz w:val="20"/>
        </w:rPr>
        <w:t>$3.4 million</w:t>
      </w:r>
      <w:r>
        <w:rPr>
          <w:color w:val="000000"/>
          <w:shd w:fill="FFFFFF" w:val="clear"/>
        </w:rPr>
        <w:t xml:space="preserve"> </w:t>
      </w:r>
      <w:r>
        <w:rPr>
          <w:rFonts w:ascii="Times New Roman;serif" w:hAnsi="Times New Roman;serif"/>
          <w:b w:val="false"/>
          <w:color w:val="000000"/>
          <w:sz w:val="20"/>
          <w:shd w:fill="FFFFFF" w:val="clear"/>
        </w:rPr>
        <w:t xml:space="preserve">decrease in accrued expenses due to timing of payments and a </w:t>
      </w:r>
      <w:r>
        <w:rPr>
          <w:rFonts w:ascii="Times New Roman;serif" w:hAnsi="Times New Roman;serif"/>
          <w:b w:val="false"/>
          <w:color w:val="000000"/>
          <w:sz w:val="20"/>
        </w:rPr>
        <w:t>$2.1 million</w:t>
      </w:r>
      <w:r>
        <w:rPr>
          <w:color w:val="000000"/>
          <w:shd w:fill="FFFFFF" w:val="clear"/>
        </w:rPr>
        <w:t xml:space="preserve"> </w:t>
      </w:r>
      <w:r>
        <w:rPr>
          <w:rFonts w:ascii="Times New Roman;serif" w:hAnsi="Times New Roman;serif"/>
          <w:b w:val="false"/>
          <w:color w:val="000000"/>
          <w:sz w:val="20"/>
          <w:shd w:fill="FFFFFF" w:val="clear"/>
        </w:rPr>
        <w:t xml:space="preserve">decrease in other assets. This was offset by a </w:t>
      </w:r>
      <w:r>
        <w:rPr>
          <w:rFonts w:ascii="Times New Roman;serif" w:hAnsi="Times New Roman;serif"/>
          <w:b w:val="false"/>
          <w:color w:val="000000"/>
          <w:sz w:val="20"/>
        </w:rPr>
        <w:t>$9.2 million</w:t>
      </w:r>
      <w:r>
        <w:rPr>
          <w:color w:val="000000"/>
          <w:shd w:fill="FFFFFF" w:val="clear"/>
        </w:rPr>
        <w:t xml:space="preserve"> </w:t>
      </w:r>
      <w:r>
        <w:rPr>
          <w:rFonts w:ascii="Times New Roman;serif" w:hAnsi="Times New Roman;serif"/>
          <w:b w:val="false"/>
          <w:color w:val="000000"/>
          <w:sz w:val="20"/>
          <w:shd w:fill="FFFFFF" w:val="clear"/>
        </w:rPr>
        <w:t xml:space="preserve">increase in other liabilities, a </w:t>
      </w:r>
      <w:r>
        <w:rPr>
          <w:rFonts w:ascii="Times New Roman;serif" w:hAnsi="Times New Roman;serif"/>
          <w:b w:val="false"/>
          <w:color w:val="000000"/>
          <w:sz w:val="20"/>
        </w:rPr>
        <w:t>$2.6 million</w:t>
      </w:r>
      <w:r>
        <w:rPr>
          <w:color w:val="000000"/>
          <w:shd w:fill="FFFFFF" w:val="clear"/>
        </w:rPr>
        <w:t xml:space="preserve"> </w:t>
      </w:r>
      <w:r>
        <w:rPr>
          <w:rFonts w:ascii="Times New Roman;serif" w:hAnsi="Times New Roman;serif"/>
          <w:b w:val="false"/>
          <w:color w:val="000000"/>
          <w:sz w:val="20"/>
          <w:shd w:fill="FFFFFF" w:val="clear"/>
        </w:rPr>
        <w:t xml:space="preserve">increase in accounts payable due to timing of payments, and a </w:t>
      </w:r>
      <w:r>
        <w:rPr>
          <w:rFonts w:ascii="Times New Roman;serif" w:hAnsi="Times New Roman;serif"/>
          <w:b w:val="false"/>
          <w:color w:val="000000"/>
          <w:sz w:val="20"/>
        </w:rPr>
        <w:t>$2.2 million</w:t>
      </w:r>
      <w:r>
        <w:rPr>
          <w:color w:val="000000"/>
          <w:shd w:fill="FFFFFF" w:val="clear"/>
        </w:rPr>
        <w:t xml:space="preserve"> </w:t>
      </w:r>
      <w:r>
        <w:rPr>
          <w:rFonts w:ascii="Times New Roman;serif" w:hAnsi="Times New Roman;serif"/>
          <w:b w:val="false"/>
          <w:color w:val="000000"/>
          <w:sz w:val="20"/>
          <w:shd w:fill="FFFFFF" w:val="clear"/>
        </w:rPr>
        <w:t>increase in prepaid expenses and other current assets.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cash used in investing activities was $27.0 million, primarily consisting of $179.3 million purchases of marketable securities, $21.0 million of payments related to purchases of property and equipment to expand our network, and $3.7 million of additions to capitalized internal-use software. The cash outflow was partially offset by $177.1 million of maturities of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cash used in investing activities was $178.9 million, primarily consisting of $179.5 million purchases of marketable securities, $4.8 million of additions to capitalized internal-use software, and $2.6 million of payments related to purchases of property and equipment to expand our network. The cash outflow was partially offset by $8.0 million of maturities of marketable securities.</w:t>
      </w:r>
    </w:p>
    <w:p>
      <w:pPr>
        <w:pStyle w:val="TextBody"/>
        <w:bidi w:val="0"/>
        <w:spacing w:lineRule="auto" w:line="256"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cash used in financing activities was $35.8 million, primarily consisting of repayment of the remaining balance of 2026 Notes and $0.5 million from payment of 2030 Notes issuance cost that was unpaid as of December 31, 2025. This was partially offset by $2.3 million in proceeds from the employee stock purchase plan and $1.0 million in proceeds from stock option exercises by our employees.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cash provided by financing activities was $0.8 million, primarily consisting of $2.1 million in proceeds from the employee stock purchase plan and $0.4 million in proceeds from stock option exercises by our employees. The cash inflow was partially offset by $1.7 million of finance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Contractual Obligations and Other Commitments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commitments consist of obligations under operating and finance leases, purchase obligations for capital expenditures, purchase obligations for contracts with our cloud infrastructure providers, network service providers, and other vendors, and outstanding debt. There have not been any material changes in our contractual obligations and commitments from our most recently filed Annual Report on Form 10-K for the fiscal year ended December 31, 2025, except for those described under Note 6, Note 8, and Note 9 of our unaudited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prepare our condensed consolidated financial statements in accordance with GAAP. The preparation of our condensed consolidated financial statements requires us to make estimates, judgments, and assumptions that affect the reported amounts of assets, liabilities, revenue, costs, expenses, and related disclosures. Actual results and outcomes could differ significantly from our estimates, judgments, and assumptions. To the extent that there are material differences between these estimates and actual results, our future financial statement presentation, financial condition, results of operations, and cash flows will be affected.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compared to the critical accounting estimates disclosed in “Management’s Discussion and Analysis – Critical Accounting Estimates” of our Annual Report on Form 10-K for the fiscal year ended December 31, 2025.</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2 — Summary of Significant Accounting Policies of our unaudited condensed consolidated financial statements included in Part I, Item 1 of this Quarterly Report on Form 10-Q.</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These risks primarily include interest rate and currency exchange risks as follows: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had cash, cash equivalents, and marketable securities of $330.5 million as of March 31, 2026, which primarily consisted of money market funds, investment-grade commercial paper, corporate notes and bonds, U.S. treasury securities, municipal bonds, agency bonds, and certificates of deposit. The cash and cash equivalents are held for working capital purposes. Our cash equivalents and our investment portfolio are subject to market risk due to fluctuations in interest rates. The primary objective of our investment activities is to preserve principal while generating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the period presented would not have had a material impact on our condensed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Currency Exchange Risks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our foreign subsidiaries is the U.S. dollar and our results of operations and cash flows are subject to fluctuations due to changes in foreign currency exchange rates relative to the U.S. dollar. The majority of our revenue is denominated in U.S. dollars. Our expenses are generally denominated in the currencies of the countries in which our operations are located and are subject to fluctuations due to changes in their respective foreign currency exchange rates. We do not currently engage in any hedging activity to reduce our potential exposure to currency fluctuations, although we may choose to do so in the future. A hypothetical 10% change in foreign exchange rates during the period presented would not have had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has evaluated the effectiveness of our disclosure controls and procedures (as defined in Rules 13a-15(e) and 15d-15(e) under the Securities Exchange Act) as of March 31, 2026. Based on such evaluation, our Chief Executive Officer and our Chief Financial Officer have concluded that as of March 31, 2026, our disclosure controls and procedures were, in design and operation, effective at a reasonable assurance level.</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in connection with the evaluation required by Rules 13a-15(d) and 15d-15(d) of the Exchange Act that occurred during the period covered by this Quarterly Report on Form 10-Q that materially affected, or are reasonably likely to materially affect, our internal control over financial reporting.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240"/>
        <w:ind w:left="0" w:right="0" w:firstLine="720"/>
        <w:jc w:val="left"/>
        <w:rPr/>
      </w:pPr>
      <w:r>
        <w:rPr>
          <w:rFonts w:ascii="Times New Roman;serif" w:hAnsi="Times New Roman;serif"/>
          <w:b w:val="false"/>
          <w:color w:val="000000"/>
          <w:sz w:val="20"/>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“Legal Matters” in Note 9 to our unaudited condensed consolidated financial statements included in Part I, Item 1 of this Quarterly Report on Form 10-Q is incorporated herein by reference.</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from time to time, the Company may be subject to legal proceedings and claims arising from the normal course of business, and an unfavorable resolution of any of these matters could materially affect our future results of operations, cash flows, or financial position. </w:t>
      </w:r>
    </w:p>
    <w:p>
      <w:pPr>
        <w:pStyle w:val="TextBody"/>
        <w:bidi w:val="0"/>
        <w:spacing w:before="0" w:after="24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Investors should carefully consider the risks and uncertainties described below, together with all of the other information contained in this Quarterly Report on Form 10-Q, including the section titled “Management’s Discussion and Analysis of Financial Condition and Results of Operations” and our unaudited condensed consolidated financial statements and related notes, before deciding to invest in our Class A common stock. Unless otherwise indicated, references to our business being harmed in these risk factors will include harm to our business, reputation, customer growth, results of operations, financial condition, or prospects. Any of these events could cause the trading price of our Class A common stock to decline, which would cause our stockholders to lose all or part of their investment. Our business, results of operations, financial condition, or prospects could also be harmed by risks and uncertainties not currently known to us or that we currently do not believe are material.</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We have marked with an asterisk (*) those risks described below that reflect substantive changes from, or additions to, the risks described in our Annual Report on Form 10-K for the year ended December 31,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Select Risk Factors Affecting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risks discussed at length below. These risks include, among others, the following: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our platform fails to perform properly due to defects, interruptions, outages, delays in performance, or similar problems, and if we fail to develop enhancements to resolve any defect, interruption, delay, or other problems, we could lose customers, become subject to service performance or warranty claims, or incur significant costs.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are unable to attract new customers, in particular, large customers, and to have existing large customers continue and increase their use of our platform, our business will likely be harmed.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receive a substantial portion of our revenues from a limited number of customers within a limited number of industries, and the loss of, or a significant reduction in usage by, one or more of our major customers would result in lower revenues and could harm our business.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Component delays, shortages, or price increases could interrupt our ability to complete the construction of our servers or POPs and to meet the usage needs of our customers. Our operating results could be materially harmed if we are unable to adequately manage our infrastructure needs.*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history of operating losses makes it difficult to evaluate our current business and prospects and may increase the risks associated with your investment.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our IT Systems or data, or those of third parties upon which we rely, are compromised, limited, or fail, our business could experience materially adverse consequences, including but not limited to regulatory investigations or actions, litigation, fines and penalties, disruptions of our business operations, loss of revenue or profits, loss of customers or sales, reputational harm, and other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fail to efficiently develop and sell new products and respond effectively to rapidly changing technology, evolving industry standards, changing regulations, and changing customer needs, requirements, or preferences, our products may become less competitive.*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fail to forecast our revenue accurately, or if we fail to manage our expenditures, our operating results could be adversely affected.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Failure to effectively develop and expand our marketing and sales capabilities could harm our ability to increase our customer base and achieve broader market acceptance of our platform.</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markets in which we participate are competitive, and if we do not compete effectively, our business will be harmed.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fail to maintain and enhance our brand, our ability to expand our customer base will be impaired and our business, results of operations and financial condition may suffer.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are subject, or may become subject, to stringent and evolving U.S. and foreign laws, governmental regulations and rules, contractual obligations, industry standards, policies and other obligations related to privacy, infrastructure, AI, and data security.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Acquisitions, strategic investments, partnerships, or alliances could be difficult to identify and integrate, divert the attention of management, disrupt our business, and dilute stockholder value.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failure to attract and retain qualified personnel could prevent us from executing our business strategy.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rely on the performance of highly skilled personnel, including our senior management and other key employees, and the loss or transition of one or more of such personnel, or of a significant number of our team members, could harm our business.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are, and may in the future be, involved in class-action lawsuits and other litigation matters that are expensive and time-consuming. If resolved adversely, lawsuits and other litigation matters could seriously harm our business</w:t>
      </w:r>
      <w:r>
        <w:rPr>
          <w:rFonts w:ascii="Arial;sans-serif" w:hAnsi="Arial;sans-serif"/>
          <w:b w:val="false"/>
          <w:color w:val="000000"/>
          <w:sz w:val="24"/>
        </w:rPr>
        <w: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our estimates or judgments relating to our critical accounting estimates prove to be incorrect, our results of operations could be adversely affected.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are unable to maintain effective internal control over financial reporting in the future, investors may lose confidence in the accuracy and completeness of our financial reports, and the market price of our common stock may be seriously harmed.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stock price is volatile, and the value of our common stock may decline.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Business, Industry and Technology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platform fails to perform properly due to defects, interruptions, outages, delays in performance, or similar problems, and if we fail to develop enhancements to resolve any defect, interruption, delay, or other problems, we could lose customers, become subject to service performance or warranty claims, or incur significant costs.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operations are dependent upon our ability to prevent system interruption. The applications underlying our edge cloud computing platform are inherently complex and may contain material defects or errors, which may cause disruptions in availability or other performance problems. We have from time to time found defects and errors in our platform and may discover additional defects or errors in the future that could result in data unavailability, unauthorized access to, loss, corruption, or other harm to our customers’ data. These defects or errors could also be found in third-party applications or open source software on which we rely. We may not be able to detect and correct defects or errors before implementing our products. Consequently, we or our customers may discover defects or errors after our products have been deployed.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serve our customers from our POPs located around the world. Our customers need to be able to access our platform at any time, without interruption or degradation of performance. However, we have not developed redundancies for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aspects of our platform. We depend, in part, on our third-party facility providers’ ability to protect these facilities against damage or interruption from natural disasters, extreme weather events, power or telecommunications failures, criminal acts, armed conflict, public health issues, such as a pandemic or epidemic, and similar events. In some cases, third-party cloud providers run their own platforms that we access, and we are, therefore, vulnerable to their service interruptions. In the event that there are any defects or errors in software, failures of hardware, damages to a facility, or misconfigurations of any of our services, we may have to divert resources away from other planned work, could experience lengthy interruptions in our platform, and also incur delays and additional expenses in arranging new facilities and services. Our customers may choose to divert their traffic away from our platform as a result of interruptions or delays. Business continuity arrangements, including the existence of redundant data centers that are designed to become active during certain lapses of service, may not function as intended, and any disruptions to our service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design our system infrastructure and procure and own or lease the computer hardware used for our platform. Design and mechanical errors, spikes in usage volume, and failure to follow system protocols and procedures could cause our systems to fail, resulting in interruptions on our platform. Moreover, we have experienced and may in the future experience system failures or interruptions in our platform as a result of human error. These outages have resulted and may in the future result in service level agreement claims. Any interruptions or delays in our platform, whether caused by our products or our data centers, third-party error, our own error, natural disasters (such as drought, flooding, wildfires, and storms), or security breaches, whether accidental or willful, could harm our relationships with customers, reduce customers’ usage of our platform, cause our revenue to decrease and our expenses to increase, and divert resources away from product development. Climate change and other environmental or social pressures are expected to increase the frequency and severity of certain events, as well as contribute to chronic changes (such as changes in meteorological and hydrological patterns) that may also result in similar or additional risks. Also, in the event of damage or interruption, our insurance policies may not adequately compensate us for any losses that we may incur. These factors in turn could further reduce our revenue, subject us to liability and cause us to issue service credits or cause customers to fail to renew their customer contracts, any of which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occurrence of any defects, errors, disruptions in service, failures involving redundant data centers, or other performance problems, interruptions, or delays with our platform, whether in connection with the day-to-day operations or otherwise, could result in:</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loss of customers;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reduced customer usage of our platforms;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lost or delayed market acceptance and sales of our products, or the failure to launch products or features on anticipated timelines;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delays in payment to us by our customers;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injury to our reputation and brand;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governmental inquiry or oversight;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legal claims, including warranty and service level agreement claims, against us;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diversion of our resources, including through increased service and warranty expenses or financial concessions, and increased insurance costs.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costs incurred in correcting any material defects, errors, or other performance problems in our platform may be substantial and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in particular, large customers, and to have existing large customers continue and increase their use of our platform, our business will likely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grow our business, we must continue to attract new customers, in particular, large customers, and generate revenue from those new customers. To do so, we must successfully convince potential customers of the benefits and the value of our platform. This may require significant and costly sales efforts that are targeted at larger enterprises and senior management of these potential customers. Sales to large customers may involve longer sales cycles as a result of customers requiring considerable time to evaluate our platform, requiring participation in a competitive purchasing process, having more formal processes for approval of purchases, and more complex requirements. These factors significantly impact our ability to add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customers and increase the time, resources, and sophistication required to do so. In addition, numerous other factors, some of which are out of our control, may now or in the future impact our ability to acquire new customers, including potential customers’ commitments to other providers, real or perceived costs of switching to our platform, our failure to expand, retain, and motivate our sales and marketing personnel, our failure to develop or expand relationships with potential customers and channel partners, failure by us to help our customers to successfully deploy our platform, negative media or industry or financial analyst commentary regarding us or our solutions, litigation, and deteriorating general economic conditions. If we fail to attract new customers, particularly large customers, as a result of these and other factors our business will likely be harmed.</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ability to grow and generate incremental revenue depends on our ability to maintain and grow our relationships with our existing large customers so that they continue and increase their usage of our platform. If these customers do not maintain and increase their usage of our platform, our revenue may decline and our results of operations will likely be harmed.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some of our products, we charge our customers based on their usage of our platform. Most of our customers, including some of our largest large customers, do not have long-term contractual financial commitments to us. Some of our customers, who generally do not include our large customers, enter into “click-through” agreements with us via our self-service model, and agree to a minimum monthly fee by signing up online with a credit card, and can easily terminate their subscriptions, or switch to a less expensive plan, at will with little advance notice. In addition, most of our current customer contracts are only one year in duration and these customers may not use our platform in a subsequent year. In order for us to maintain or improve our results of operations, it is important that our customers, in particular, our large customers, use our platform in excess of their commitment levels, if any, and continue to use our platform on the same or more favorable terms. Our ability to retain our largest customers and expand their usage could be impaired for a variety of reasons, including customer budget constraints, customer satisfaction, changes in our customers’ underlying businesses, changes in the type and size of our customers, pricing changes, competitive conditions (including customers building their own CDNs), the acquisition of our customers by other companies, governmental actions, or the possibility thereof, and general economic conditions. Because many of our largest customers’ minimum usage commitments for our platform are relatively low compared to their expected usage, it can be easy for certain customers to quickly reallocate usage or switch from our platform to an alternative platform altogether. In addition, certain customers may reduce or cease their use of our products at any time without penalty or termination charges, even after they have expanded usage in prior periods.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base our decisions about expense levels and investments on estimates of our future revenue and anticipated rate of growth. Many of our expenses are fixed cost in nature for some minimum amount of time, such as colocation and bandwidth, so if we do experience slower usage growth on our platform it may not be possible to reduce costs in a timely manner or without the payment of fees to exit certain obligations early. If any of these events were to occur, our business may be harmed.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many of our customers have negotiated and may continue to negotiate lower rates in exchange for an agreement to renew, expand their usage in the future, or adopt new products. As a result, in certain cases, even though customers have not reduced their usage of our platform, the revenue we derive from that usage has decreased. If our platform usage or revenue fall significantly below the expectations of the public market, securities analysts, or investors, our business would be harmed, which could cause our stock price to decline.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future success also depends in part on our ability to expand our existing customer relationships, in particular, with large customers, by increasing their usage of our platform, selling them additional products and upgrading their existing products. The rate at which our customers increase their usage of our platform and purchase products from us depends on a number of factors, including our ability to grow our platform and maintain the security and availability of it, develop and deliver new features and products, maintain customer satisfaction, general economic conditions and pricing and services offered by our competitors. If our efforts to increase usage of our platform by, or sell new and additional products to, our large customers are not successful, our business would be harmed. In addition, even if our largest customers increase their usage of our platform, we cannot guarantee that they will maintain those usage levels for any meaningful period of time. In addition, because many of our products endeavor to deliver increased efficiency and functionality, the successful sale of a new or additional product to an existing customer could result in a reduction of the customer’s overall usage of our platform.</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receive a substantial portion of our revenues from a limited number of customers within a limited number of industries, and the loss of, or a significant reduction in usage by, one or more of our major customers would result in lower revenues and could harm our business.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success depends on establishing and maintaining successful relationships with a diverse set of customers. We currently receive a substantial portion of our revenues from a limited number of customers and within a limited number of industries, such as media and entertainment. Our 10 largest customers generated an aggregate of 32% of our revenue for each of the trailing 12 month periods ended March 31, 2026 and 2025. Affiliated customers that are business units of a single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generated an aggregate of 10% and 9% of our revenue for the trailing 12 month periods ended March 31, 2026 and 2025, respectively. In addition, in April 2024, the former U.S. administration signed into law a bill that would effectively ban TikTok in the United States if ByteDance, its China-based parent company, did not sell its stake in TikTok within a set time frame. Following a series of executive orders in 2025 that suspended enforcement of this law, on January 22, 2026, ByteDance announced the establishment of TikTok USDS Joint Venture LLC in compliance with the law to secure United States user data, apps, and the algorithm through data privacy and cybersecurity measures. TikTok was one of our largest customers for the three months ended March 31, 2026 and remains a customer of ours. We do not know how the restructuring may impact our traffic levels. It is likely that we will continue to be dependent upon a limited number of customers for a significant portion of our revenues for the foreseeable future and, in some cases, the portion of our revenues attributable to individual customers may increase in the future. In addition, changes to our customers’ businesses may contribute to further customer concentration, including any impact from acquisition activities, internal business reorganizations leading to operational and decision making changes, and corporate structure changes such as subsidiary consolidation and reorganization that may arise in the future. The loss of one or more key customers or a reduction in usage by any major customers would reduce our revenues. If we fail to maintain existing customers or develop relationships with new customers and across different industries, our business would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Component delays, shortages, or price increases could interrupt our ability to complete the construction of our servers or POPs and to meet the usage needs of our customers. Our operating results could be materially harmed if we are unable to adequately manage our infrastructure needs.*</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depends on the timely supply of certain parts and components to construct our servers or POPs. We rely on a limited number of suppliers for several components of the equipment we use to operate our network and provide products to our customers. Our reliance on these suppliers exposes us to risks including reduced control over production costs and constraints based on the then current availability, terms, and pricing of these components, including pricing changes as a result of inflationary pressures. The technology industry has experienced and may continue to experience widespread component shortages and delivery delays, including as a result of geopolitical conflict, public health crises, and natural disasters. We have experienced, and may continue to experience, component shortages and pricing increases from certain of our suppliers as a result of increased demand for such components. Moreover, geopolitical conflicts, including international trade disputes, may disrupt or delay our supply chain for these components or lead to pricing increases. For example, the United States has imposed or indicated an intention to impose tariffs on certain countries which may lead to retaliatory actions such as counter-tariffs and increase production costs and disruptions in our supply chain. The United States and other jurisdictions have also leveraged various trade and value chain requirements, including on environmental and social criteria, which may make sourcing more costly, require us to change suppliers, or otherwise adversely impact our operations. Further, it is possible that government policy changes, including policy changes made with little to no advance notice, and related uncertainty about policy changes could increase market volatility. If our supply of certain components is further disrupted or delayed, there can be no assurance that we will be able to obtain adequate replacements for the existing components or that supplies will be available on terms and prices that are favorable to us, if at all. Any disruption or delay in the supply of our hardware components has in the past and may in the future limit capacity expansion or replacement of defective or obsolete equipment or cause other constraints on our operations that could damage our customer relationships and harm our business.</w:t>
      </w:r>
    </w:p>
    <w:p>
      <w:pPr>
        <w:pStyle w:val="TextBody"/>
        <w:bidi w:val="0"/>
        <w:spacing w:before="0" w:after="0"/>
        <w:ind w:left="0" w:right="0" w:firstLine="540"/>
        <w:jc w:val="left"/>
        <w:rPr/>
      </w:pPr>
      <w:r>
        <w:rPr/>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ensure adequate supply of parts and components, we must forecast server needs and expenses and place orders sufficiently in advance with our suppliers based on estimates of future demand for network capacity. As we continue to experience growth, we may face challenges managing adequate server capacity due to potential component delays, shortages, price increases, hardware efficiencies gained through internal development, or any potential changes in server architecture including due to technological advances or obsolescence. For example, as a result of increasing deployment and adoption of artificial intelligence ("AI") technologies, demand for network capacity may increase and our server needs and expenses may increase as a result. Additionally, increased energy consumption, including as a result of AI adoption, climate-related events, energy market volatility, and power grid disruptions, may increase energy prices, which could cause increases in the operational costs related to our servers and POPs. We may incur charges in future periods related to server management or incorrectly forecast our network capacity needs in future periods. If we have excess server capacity, we have in the past needed to, and may in the future need to, write-down or write-off server assets, which may materially harm our operating results. For example, in the year ended December 31, 2025, we recognized certain equipment, internal-use software project and right-of-use asset related write-off charges of $0.4 million. Conversely, if we underestimate network capacity needs, we may in future periods be unable to meet demand and be required to incur higher costs to secure necessary parts and components of our servers, which could adversely affect our customer relationships and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history of operating losses makes it difficult to evaluate our current business and prospects and may increase the risks associated with your investment.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were founded in 2011 and have experienced net losses since inception. We have encountered and will continue to encounter risks and difficulties frequently experienced by growth companies in constantly evolving industries,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companies in the technology sector, including the risks described in this Quarterly Report on Form 10-Q. If we do not address these risks successfully, our business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generated a net loss of $20.5 million for the three months ended March 31, 2026 and we had an accumulated deficit of $1,135.0 million. We will need to generate and sustain increased revenue levels and manage costs in future periods in order to become profitable; even if we achieve profitability, we may not be able to maintain or increase our level of profitability. We intend to continue to expend significant funds to support further growth and further develop our platform, including expanding the functionality of our platform, expanding our technology infrastructure and business systems to meet the needs of our customers, expanding our direct sales force and partner ecosystem, increasing our marketing activities, and growing our international operations. We have in the past faced, and will continue to face, increased compliance costs associated with growth and expansion of our customer base.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achieve and sustain profitability, our business may be harmed.</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If our IT Systems or data, or those of third parties upon which we rely, are compromised, limited, or fail, our business could experience materially adverse consequences, including but not limited to regulatory investigations or actions, litigation, fines and penalties, disruptions of our business operations, loss of revenue or profits, loss of customers or sales, reputational harm, and other adverse consequences.*</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providing our customers with fast, efficient, and reliable distribution of applications and content over the Internet, and we rely on IT Systems to provide our products and services, including for internal and external operations that are critical to our business. “IT Systems” includes computer systems, hardware, software, technology infrastructure and websites and networks. In the ordinary course of business, we and the third parties upon which we rely, collect, receive, store, process, generate, use, transfer, disclose, make accessible, protect, secure, dispose of, transmit, and share Sensitive Information. "Sensitive Information" includes our, our customers', and our customers' end users' proprietary, confidential, and sensitive data, including personal information, intellectual property, trade secrets, and encryption keys. Maintaining the security and availability of our platform, IT Systems, and Sensitive Information is a critical issue for us and our customers, and we expend significant resources, and may need to fundamentally change our business activities and modify our practices and operations, in an effort to protect against security incidents and to mitigate, detect, and remediate actual and potential vulnerabilities.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malicious Internet-based activity, online and offline fraud, and other similar activities threaten the confidentiality, integrity, and availability of our Sensitive Information and IT Systems, and those of the third parties upon which we rely. Such threats are prevalent and continue to become more so. They are difficult to detect, and come from a variety of sources and threat actors, including “hacktivists,” personnel (such as through theft or misuse), sophisticated nation states, and nation-state-supported actors.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Some threat actors engage in cyber-attacks for geopolitical reasons and in conjunction with military conflicts and defense activities. We have in the past been subject to cyber-attacks from third parties, including parties who we believe are sponsored by government actors. Since our customers share our multi-tenant architecture, cyber-attacks on any one of our customers could have a negative effect on our other customers. In the past, these attacks have significantly increased the bandwidth used on our platform and have strained our network. During times of war and other major conflicts, we, the third parties upon which we rely, and our customers may be vulnerable to a heightened risk of these attacks, including retaliatory cyber-attacks, that could materially disrupt our IT Systems and operations, supply chain, and ability to produce, sell, and distribute our services.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third parties upon which we rely are subject to a variety of evolving threats, including but not limited to social-engineering attacks (including through deep fakes, which may be increasingly more difficult to identify as fake, and phishing attacks), malicious code, malware (including as a result of advanced persistent threat intrusions), DDoS attacks, account takeover attacks, credential harvesting, personnel misconduct or error, ransomware attacks, supply-chain attacks, software bugs, server malfunctions, software or hardware failures, attacks facilitated or enhanced by AI such as prompt injection or AI model inversion attacks, loss of data or other information technology assets, adware, telecommunications failures, natural disasters, and other similar threats. For example, we have experienced DDoS attacks of significant size and severity that caused us to invest resources into improving our systems, and we expect to continue to be subject to DDoS and other forms of attacks in the future, particularly as they have become more prevalent in our industry. Similarly, we have been the target of phishing and social engineering schemes that may be designed to, among other things, improperly gain access to our Sensitive Information or fraudulently obtain payments or funds from us. Further, we are not immune from the possibility of a malicious insider compromising our IT Systems or misappropriating our Sensitive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severe ransomware attacks are becoming increasingly prevalent, and can lead to significant interruptions in our operations, compromise of our or our service providers’ IT Systems, loss of Sensitive Information and revenue, reputational harm, and diversion of funds. Extortion payments may alleviate the negative impact of a ransomware attack, but we may be unwilling or unable to make such payments due to a number of factors, including applicable laws or regulations prohibiting such payments.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incorporated into the supply chain of a number of companies worldwide and, as a result, if our services are compromised, a significant number or, in some instances, all of our customers and their data could be simultaneously affected. In addition, supply-chain attacks have increased in frequency and severity, and we cannot guarantee that third parties’ infrastructure in our supply chain or our third-party partners’ supply chains have not been compromised. The potential liability and associated consequences we could suffer as a result of such a large-scale event could be catastrophic and result in irreparable harm.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or past business transactions (such as acquisitions or integrations) could expose us to additional cybersecurity risks and vulnerabilities, as our IT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IT Systems and security program.</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third-party service providers and technologies to operate critical IT Systems and to process Sensitive Information in a variety of contexts, including, without limitation, cloud-based infrastructure, data center facilities, encryption and authentication technology, content delivery to customers, and other functions. Like many other companies, our ability to monitor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and data security-related obligations to us, any award may be insufficient to cover our damages, or we may be unable to recover such award.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adverse impact to the availability, integrity, or confidentiality of our Sensitive Information or IT Systems, including as a result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IT Systems, or those of the third parties upon whom we rely. A security incident or other interruption could disrupt our ability (and that of third parties upon whom we rely) to provide our platform, products and services.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we expand our emphasis on selling security-related products, we may become a more attractive target for attacks on our infrastructure intended to destabilize, overwhelm, or shut down our platform. For example, we have had security incidents in the past that have tested the limits of our infrastructure and impacted the performance of our platform.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Further, Sensitive Information of the Company or our customers could be leaked, disclosed, or revealed as a result of or in connection with our employees’, personnel’s, or vendors’ use of generative AI technologies.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certain privacy and data security obligations may require us to implement and maintain specific or industry-standard or reasonable security measures to protect our IT Systems and Sensitive Information, and a failure to do so could result in material financial penalties and other materially adverse consequences.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incidents, there can be no assurance that these measures will be effective. Additionally, we may not be able to detect and remediate all vulnerabilities because the threats and techniques used to exploit the vulnerability change frequently and are often sophisticated in nature. For example, as new technology, particularly AI, makes it easier to detect and understand vulnerabilities, it may become easier for third parties to exploit such vulnerabilities. These vulnerabilities pose material risks to our business, and they may not be detected until after a security incident has occurred or at all. Further, we may need to dedicate greater time and resources to vulnerability detection and remediation than in the past and may experience delays in developing and deploying more advanced measures designed to detect and remediate any identified vulnerabilities.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privacy and data security obligations may require us to notify relevant stakeholders, including affected individuals, customers, regulators, and investors of security incidents. For example, SEC rules require disclosure on Form 8-K of the nature, scope and timing of any material cybersecurity incident and the reasonably likely impact of such incident. Compliance with such disclosure efforts is costly, and the disclosure or the failure to comply with such requirements could lead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to adverse consequences. If we (or a third party upon whom we rely) experience any adverse impact to the availability, integrity, or confidentiality of our IT Systems or Sensitive Information,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action claims); indemnification obligations; negative publicity; reputational harm; monetary fund diversions; diversion of management attention; interruptions or degradation of performance in our services (including availability of data); financial loss; and other similar harms. Security incidents and attendant consequences may also impact customers’ systems and data, and cause customers to stop using our platform, products, and services, cause us to offer pricing and other concessions, deter new customers from using our platform, products, and services, result in litigation, and negatively impact our ability to grow and operate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privacy and data security obligations. We cannot be sure that our insurance coverage will be adequate or sufficient to protect us from or to mitigate liabilities arising out of our privacy and data security practices, that such coverage will continue to be available on commercially reasonable terms or at all, or that such coverage will pay future claims.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efficiently develop and sell new products and respond effectively to rapidly changing technology, evolving industry standards, changing regulations, and changing customer needs, requirements, or preferences, our products may become less competitive.*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in which we compete is relatively new and subject to rapid technological change, evolving industry standards and regulatory changes, as well as changing customer needs, requirements, and preferences. The success of our business will depend, in part, on our ability to adapt and respond effectively to these changes on a timely basis. If we are unable to develop and sell new products that satisfy and are adopted by our customers and provide enhancements, new features, and capabilities to our platform that keep pace with rapid technological and industry change, our revenue and operating results could be adversely affected. Further, some of our prospective customers may require custom development of features as part of their purchase decision, or our existing customers may require us to develop custom features. If we are unable to meet their requirements, they may look to our competitors or internal solutions that eliminate reliance on third-party providers, and our revenue and operating results could be adversely affected. Further, prioritizing such custom features can be difficult to adapt to other customers and may require significant engineering resources. If new technologies emerge that enable large Internet platform companies to utilize their own data centers and implement delivery approaches that limit or eliminate reliance on third-party providers like us, or that enable our competitors to deliver competitive products and applications at lower prices, more efficiently, more conveniently, or more securely, such technologies could adversely impact our ability to compete. If our platform does not allow us or our customers to comply with the latest regulatory requirements, our existing customers may decrease their usage on our platform or leave our platform and new customers will be less likely to adopt our platform.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must also integrate with a variety of network, hardware, mobile, and software platforms and technologies, and we need to continuously modify and enhance our products and platform capabilities to adapt to changes and innovation in these technologies. If developers widely adopt new software platforms, we would have to attempt to develop new versions of our products and enhance our platform’s capabilities to work with those new platforms. These development efforts may require significant engineering, marketing, and sales resources, all of which would affect our business and operating results. Any failure of our platform’s capabilities to operate effectively with future infrastructure platforms, technologies, and software platforms could reduce the demand for our platform. If we are unable to respond to these changes in a cost-effective manner, our products may become less marketable and less competitive or obsolete, and our business may be harmed.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the market for AI solutions is evolving rapidly. We may not be successful in our AI initiatives or our competitors may incorporate AI into their products or market their AI solutions more successfully than us, which could adversely affect our business (such as by impairing our ability to compete effectively against our competitors), reputation, or financial results. For example, we may encounter challenges such as a lack of talented personnel, inability to secure necessary infrastructure, or the possibility that the AI products we utilize or develop may not deliver their intended value. Each of these challenges would adversely impact our ability to effectively execute our strategy of leveraging AI in our products and to enhance our business operations.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ongoing investments to use AI to enhance our business operations, we are enabling AI workloads for our customers and leveraging AI in a manner that is designed to enhance our platform's usability and capabilities. However, our AI-focused products and services may not be successful or may fail to meet customer expectations, which could impair our ability to compete effectively and adversely affect our financial results. In addition, AI may change the way our industry identifies and responds to cybersecurity threats, and businesses that are slow or fail to adopt or offer new technologies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address increased cybersecurity threats may face a competitive disadvantage. If we are unable to use AI effectively or use AI less successfully than our competitors, it could impair our ability to compete effectively against our competitors, adversely affect our business and result in competitive disadvantages.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our platform is highly technical and complex. For example, our delivery products may rely on knowledge of Varnish Configuration Language (“VCL”) to utilize certain features. Potential developers may be unfamiliar or opposed to working with VCL and therefore decide to not adopt our platform, which may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forecast our revenue accurately, or if we fail to manage our expenditures, our operating results could be adversely affected.</w:t>
      </w:r>
    </w:p>
    <w:p>
      <w:pPr>
        <w:pStyle w:val="TextBody"/>
        <w:bidi w:val="0"/>
        <w:spacing w:lineRule="auto" w:line="268" w:before="0" w:after="240"/>
        <w:ind w:left="0" w:right="0" w:firstLine="540"/>
        <w:jc w:val="left"/>
        <w:rPr/>
      </w:pPr>
      <w:r>
        <w:rPr>
          <w:rFonts w:ascii="Times New Roman;serif" w:hAnsi="Times New Roman;serif"/>
          <w:b w:val="false"/>
          <w:color w:val="000000"/>
          <w:sz w:val="20"/>
        </w:rPr>
        <w:t xml:space="preserve">We cannot accurately predict customers’ usage or renewal rates given the diversity of our customer base across industries, geographies and size, and ability of customers to allocate usage, among other factors. </w:t>
      </w:r>
      <w:r>
        <w:rPr>
          <w:rFonts w:ascii="Times New Roman;serif" w:hAnsi="Times New Roman;serif"/>
          <w:b w:val="false"/>
          <w:color w:val="000000"/>
          <w:sz w:val="20"/>
          <w:shd w:fill="FFFFFF" w:val="clear"/>
        </w:rPr>
        <w:t xml:space="preserve">Accordingly, we may be unable to accurately forecast </w:t>
      </w:r>
      <w:r>
        <w:rPr>
          <w:rFonts w:ascii="Times New Roman;serif" w:hAnsi="Times New Roman;serif"/>
          <w:b w:val="false"/>
          <w:color w:val="000000"/>
          <w:sz w:val="20"/>
        </w:rPr>
        <w:t>our</w:t>
      </w:r>
      <w:r>
        <w:rPr>
          <w:color w:val="000000"/>
          <w:shd w:fill="FFFFFF" w:val="clear"/>
        </w:rPr>
        <w:t xml:space="preserve"> </w:t>
      </w:r>
      <w:r>
        <w:rPr>
          <w:rFonts w:ascii="Times New Roman;serif" w:hAnsi="Times New Roman;serif"/>
          <w:b w:val="false"/>
          <w:color w:val="000000"/>
          <w:sz w:val="20"/>
          <w:shd w:fill="FFFFFF" w:val="clear"/>
        </w:rPr>
        <w:t xml:space="preserve">revenues. Notwithstanding </w:t>
      </w:r>
      <w:r>
        <w:rPr>
          <w:rFonts w:ascii="Times New Roman;serif" w:hAnsi="Times New Roman;serif"/>
          <w:b w:val="false"/>
          <w:color w:val="000000"/>
          <w:sz w:val="20"/>
        </w:rPr>
        <w:t>our</w:t>
      </w:r>
      <w:r>
        <w:rPr>
          <w:color w:val="000000"/>
          <w:shd w:fill="FFFFFF" w:val="clear"/>
        </w:rPr>
        <w:t xml:space="preserve"> </w:t>
      </w:r>
      <w:r>
        <w:rPr>
          <w:rFonts w:ascii="Times New Roman;serif" w:hAnsi="Times New Roman;serif"/>
          <w:b w:val="false"/>
          <w:color w:val="000000"/>
          <w:sz w:val="20"/>
          <w:shd w:fill="FFFFFF" w:val="clear"/>
        </w:rPr>
        <w:t>substantial investments in sales and marketing, infrastructure, and research and development in anticipation of growth in our business, i</w:t>
      </w:r>
      <w:r>
        <w:rPr>
          <w:rFonts w:ascii="Times New Roman;serif" w:hAnsi="Times New Roman;serif"/>
          <w:b w:val="false"/>
          <w:color w:val="000000"/>
          <w:sz w:val="20"/>
        </w:rPr>
        <w:t xml:space="preserve">f we do not realize returns on these investments in our growth, our results of operations could differ materially from our forecasts, which would adversely affect our results of operations and could disappoint analysts and investors, causing our stock price to decline. In addition, we have experienced, and may continue to experience, longer payment cycles in collecting accounts receivable from certain of our customers, difficulty in detecting potentially fraudulent self-service customer accounts in a timely manner, and errors in calculating the number of ongoing self-service customer accounts. If we are unable to timely collect accounts receivable from our customers or detect fraudulent self-service customer accounts in a timely manner, our business will be harmed.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Failure to effectively develop and expand our marketing and sales capabilities could harm our ability to increase our customer base and achieve broader market acceptance of our platform.</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historically benefited from word-of-mouth and other organic marketing to attract new customers. Through this word-of-mouth marketing, we have been able to build our brand with relatively low marketing and sales costs. This strategy has allowed us to build a substantial customer base and community of users who use our products and act as advocates for our brand and our platform, often within their own corporate organizations. However, our ability to further increase our customer base and achieve broader market acceptance of our products will significantly depend on our ability to expand our marketing and sales operations. We plan to continue expanding our sales force and strategic partners, both domestically and internationally. We also plan to continue to dedicate significant resources to sales, marketing, and demand-generation programs, including various online marketing activities as well as targeted account-based marketing. The effectiveness of our targeted account-based marketing has varied over time and may vary in the future. All of these efforts will require us to invest significant financial and other resources and if they fail to attract additional customers, our business will be harmed. We have also used a strategy of offering free accounts on our platform in order to strengthen our relationship and reputation within the developer community by providing these developers with the ability to familiarize themselves with our platform without first becoming a paying customer. However, these developers may not perceive value in the additional benefits and services we offer beyond the free accounts and may choose not to pay for those additional benefits. In addition, we may be subject to potential liabilities, including litigation, as a result of our free account users' use of our network. Moreover, some existing paying customers may choose not to renew their commitment with us in favor of relying on the free version of our platform. Most free accounts do not convert to paid versions of our platform, and to date, only a few users who have converted to paying customers have gone on to generate meaningful revenue. If our other lead generation methods do not result in broader market acceptance of our platform and the users of free versions of our platform do not become, or are unable to convince their organizations to become, paying customers, or if paying customers choose to convert to the free versions of our platform, we will not realize the intended benefits of this strategy, and our business will be harmed.</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there is significant competition for sales personnel, including sales representatives, sales managers, and sales engineers, with the skills and technical knowledge that we require. Our ability to achieve significant revenue growth will depend, in large part, on our success in recruiting, training, incentivizing, and retaining sufficient numbers of sales personnel to support our growth. New hires require significant training and may take significant time before they achieve full productivity. Our recent hires may not become productive as quickly as we expect, if at all, and we may be unable to hire or retain sufficient numbers of qualified individuals in the markets where we do business or plan to do business. In addition, particularly if we continue to grow rapidly, new members of our sales force will have relatively little experience working with us, our platform, and our business model. If we are unable to hire and train sufficient numbers of effective sales personnel, our sales personnel do not reach significant levels of productivity in a timely manner, our sales personnel are not effectively incentivized, or our sales personnel are not successful in acquiring new customers or expanding usage by existing customers, our business will be harmed.</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markets in which we participate are competitive, and if we do not compete effectively, our business will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for cloud computing platforms, particularly enterprise grade products, is highly fragmented, competitive, and constantly evolving. With the introduction of new technologies and market entrants, we expect that the competitive environment in which we compete will remain intense going forward. Legacy CDN platform solutions like Akamai, application and API security vendors like Akamai, Cloudflare, F5, and Thales (Imperva), and Point CDN players like Bunny CDN, CDNetworks, CDN77, and Qwilt offer products that compete with ours. We also compete with CDN providers that also offer serverless edge compute functionality like Akamai and Cloudflare, public cloud providers that have added CDN and WAF capabilities like Amazon Web Services (AWS), Google Cloud Platform (GCP), and Microsoft (Azure), and traditional on-premise data center appliance vendors for load balancing, WAF, and/or DDoS like F5, Thales (Imperva), and Radware. Some of our competitors have made or may make acquisitions or may enter into partnerships or other strategic relationships that may provide more comprehensive offerings than they individually had offered. Such acquisitions or partnerships may help competitors achieve greater economies of scale than us. In addition, new entrants not currently considered to be competitors may enter the market through acquisitions, partnerships, or strategic relationships. We compete on the basis of a number of factors, including:</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our platform’s functionality, scalability, performance, ease of use, ease of integration and programmability, reliability, security availability, and cost effectiveness relative to that of our competitors’ products and services;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global network coverage and availability;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support modern application development processes and utilize new and proprietary technologies to offer services and features previously not available in the marketplace;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identify new markets, applications, and technologies;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attract and retain customers;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brand, reputation, and trustworthiness;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credibility with developers;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quality of our customer support;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our ability to recruit software engineers and sales and marketing personnel;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protect our intellectual property;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identify opportunities for acquisitions and strategic relationships and successfully execute on them.</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face substantial competition from legacy CDNs, small business-focused CDNs, cloud providers, and traditional data center and appliance vendors. In addition, existing customers have transitioned or notified us of their intent to transition, and existing and potential customers may in the future transition, off of our platform, or may limit their use, because they pursue a “do-it-yourself” approach to develop their own CDN by putting in place equipment, software, and other technology products for content and application delivery within their internal systems; enter into relationships directly with network providers instead of relying on an overlay network like ours; or implement multi-vendor policies to reduce reliance on external providers like us.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competitors vary in size and in the breadth and scope of the products and services offered. Many of our competitors and potential competitors have greater name recognition, longer operating histories, more established customer relationships and installed customer bases, larger marketing budgets, and greater resources than we do. While some of our competitors provide a platform with applications to support one or more use cases, many others provide point-solutions that address a single use case. Other potential competitors not currently offering competitive applications may expand their product offerings, and our current customers may develop their own products or features, to compete with our offerings. Our competitors may be able to respond more quickly and effectively than we can to new or changing opportunities, technologies, standards, and customer requirements. An existing competitor or new entrant could introduce new technology that reduces demand for our platform. In addition to application and technology competition, we face pricing competition. Some of our competitors offer their applications or services at a lower price, which has resulted in pricing pressures. Some of our larger competitors have the operating flexibility to bundle competing applications and services with other offerings, including offering them at a lower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for no additional cost to customers as part of a larger sale of other products. For all of these reasons, we may not be able to compete successfully and competition could result in the failure of our platform to achieve or maintain market acceptance, the market for our edge cloud platform may grow more slowly than we anticipate, any of which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maintain and enhance our brand, our ability to expand our customer base will be impaired and our business, results of operations and financial condition may suffer.</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our brand is important to continued market acceptance of our existing and future products, attracting new customers, and retaining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products, and our ability to successfully differentiate our platform from competitive products and services. Additionally, our brand and reputation may be affected if customers do not have a positive experience with our partners’ services. Our brand promotion activities may not generate customer awareness or yield increased revenue, and even if they do, any increased revenue may not offset the expenses we incurred in building our brand. If we fail to successfully promote and maintain our brand, our business may be harmed.</w:t>
      </w:r>
    </w:p>
    <w:p>
      <w:pPr>
        <w:pStyle w:val="TextBody"/>
        <w:bidi w:val="0"/>
        <w:spacing w:lineRule="auto" w:line="288" w:before="0" w:after="240"/>
        <w:jc w:val="left"/>
        <w:rPr/>
      </w:pPr>
      <w:r>
        <w:rPr>
          <w:rFonts w:ascii="Times New Roman;serif" w:hAnsi="Times New Roman;serif"/>
          <w:b/>
          <w:i/>
          <w:color w:val="000000"/>
          <w:sz w:val="20"/>
        </w:rPr>
        <w:t>Acquisitions, strategic investments, partnerships, or alliances could be difficult to identify and integrate, divert the attention of management, disrupt our business, and dilute stockholder value</w:t>
      </w:r>
      <w:r>
        <w:rPr>
          <w:rFonts w:ascii="Times New Roman;serif" w:hAnsi="Times New Roman;serif"/>
          <w:b w:val="false"/>
          <w:color w:val="000000"/>
          <w:sz w:val="20"/>
        </w:rPr>
        <w: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in the past acquired, and we may in the future seek to acquire or invest in, businesses, products, or technologies that we believe could complement or expand our platform, enhance our technical capabilities, or otherwise offer growth opportunities. The pursuit of potential acquisitions may divert the attention of management and cause us to incur various expenses in identifying, investigating, and pursuing acquisitions, whether or not such acquisitions are completed. In addition, we have limited experience in acquiring other businesses, and we may not successfully identify desirable acquisition targets or, when we acquire additional businesses, we may not be able to integrate them effectively following the acquisition. Acquisitions could also result in dilutive issuances of equity securities or the incurrence of debt, which could adversely affect our operating results, may cause unfavorable accounting treatment, may expose us to claims and disputes by third parties, including intellectual property claims, and may not generate sufficient financial returns to offset additional costs and expenses related to the acquisitions. We may also incur significant, and sometimes unanticipated costs in connection with these acquisitions or in integration with our business. In addition, if an acquired business fails to meet our expectations or we do not realize sufficient value, our business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it is possible that there could be a loss of our existing or any acquired company’s key employees and customers, disruption of either company’s or both companies’ ongoing businesses or unexpected issues, higher than expected costs and an overall post-completion process that takes longer than originally anticipated. Specifically, the following issues, among others, must be addressed in combining any company’s operations with ours in order to realize the anticipated benefits of the acquisition so the combined company performs as the parties hope:</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combining the companies’ corporate functions;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combining their business with our business in a manner that permits us to achieve the synergies anticipated to result from the acquisition, the failure of which would result in the anticipated benefits of the acquisition not being realized in the time frame currently anticipated or at all;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maintaining existing and new agreements with customers, service providers, and vendors;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determining whether and how to address possible differences in corporate cultures, management philosophies and strategies relating to channels, resellers, and partners;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integrating the companies’ administrative and information technology infrastructure;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developing products and technology that allow value to be unlocked in the future;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evaluating and forecasting the financial impact of the acquisition transaction, including accounting impacts.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address any of the above listed issues could have a material adverse effect on our business, results of operations and financial position. In addition, at times the attention of certain members of our management and resources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be focused on completion of the acquisition and integration planning of the businesses of the two companies and diverted from day-to-day business operations, which may disrupt our ongoing business and the business of the combined company.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and may in the future be, involved in class-action lawsuits and other litigation matters that are expensive and time-consuming. If resolved adversely, lawsuits and other litigation matters could seriously harm our business.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and may in the future be, subject to litigation such as putative class action and stockholder derivative lawsuits brought by stockholders. For example, on May 24, 2024, we and certain of our officers were named as defendants in putative securities class action filed in the United States District Court for the Northern District of California purportedly brought on behalf of holders of our common stock. On November 1, 2024, the lead plaintiff filed an amended complaint. On June 12, 2024 and July 1, 2024, stockholder derivative complaints were filed in the United States District Court for the Northern District of California against certain of our officers and directors based on substantially similar allegations as those in the putative securities class action. These two shareholder derivative actions have been consolidated and stayed pending resolution of our motion(s) to dismiss in the securities class action. On August 23, 2024 and December 20, 2024, substantially similar stockholder derivative complaints were filed against certain of our officers and directors in the United States District Court for the District of Delaware and the Court of Chancery for the State of Delaware. These two shareholder derivative actions have also been stayed pending resolution of our motion(s) to dismiss in the above-referenced putative securities class action.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Defendants filed a motion to dismiss the putative securities class action on January 15, 2025. The lead plaintiff filed an opposition to defendants’ motion to dismiss on March 17, 2025. Defendants filed a reply in support of the motion to dismiss on April 30, 2025. On September 24, 2025, the court issued an order granting in part and denying in part the motion to dismiss. On October 24, 2025, the lead plaintiff filed a second amended complaint. On December 9, 2025, Defendants filed a motion to dismiss the second amended complaint. On January 26, 2026, Lead Plaintiff filed an opposition. Defendants filed a reply in support of the motion to dismiss the second amended complaint on February 19, 2026. A hearing scheduled for April 30, 2026 on Defendants’ motion to dismiss the second amended complaint was vacated, and we are awaiting a ruling on the motion. We anticipate that we may be a target for lawsuits in the future, as we have been in the past. Any litigation to which we are a party may result in an onerous or unfavorable judgment that may not be reversed on appeal, or we may decide to settle lawsuits on similarly unfavorable terms. Any such negative outcome could result in payments of substantial monetary damages and accordingly our business could be seriously harmed. The results of lawsuits and claims cannot be predicted with certainty. Regardless of the final outcome, defending these claims, and associated indemnification obligations, are costly and can impose a significant burden on management and employees, and we may receive unfavorable preliminary, interim, or final rulings in the course of litigation, which could seriously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scale our business quickly enough to meet our customers’ growing needs. If we are not able to grow efficiently, our business could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usage of our edge cloud computing platform grows and as the breadth of use cases for our platform expands, we will need to devote additional resources to improving our platform architecture, integrating with third-party applications and maintaining infrastructure performance. In addition, we will need to appropriately scale our processes and procedures that support our growing customer base, including increasing our number of POPs around the world and investments in systems, training, and customer support.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failure of or delay in these efforts could cause impaired system performance and reduced customer satisfaction. These issues could reduce the attractiveness of our platform to customers, resulting in decreased sales to new customers, lower renewal rates by existing customers, the issuance of service credits, or requested refunds, which would hurt our revenue growth and our reputation. Even if we are able to upgrade our systems and expand our staff, any such expansion will be expensive and complex, and require the dedication of significant management time and attention. We could also face inefficiencies or operational failures as a result of our efforts to scale our cloud infrastructure, such as by over investing in systems and equipment to support anticipated growth in our platform. We cannot be sure that the expansion and improvements to our cloud infrastructure will be effectively implemented on a timely basis, if at all, and such failures would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have insufficient transmission bandwidth and colocation space, which could result in disruptions to our platform and loss of revenue.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dependent in part upon transmission bandwidth provided by third-party telecommunications network providers and access to colocation facilities to house our servers. There can be no assurance that we are adequately prepared for unexpected increases in bandwidth demands by our customers, particularly when customers experience cyber-attacks. The bandwidth we have contracted to purchase may become unavailable for a variety of reasons, including service outages, payment disputes, network providers going out of business, natural disasters, extreme weather events, networks imposing traffic limits,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governments adopting regulations that impact network operations. In some regions, bandwidth providers have their own services that compete with us, or they may choose to develop their own services that will compete with us. These bandwidth providers may become unwilling to sell us adequate transmission bandwidth at fair market prices, if at all. This risk is heightened where market power is concentrated with one or a few major networks. We also may be unable to move quickly enough to augment capacity to reflect growing traffic or security demands. Failure to put in place the capacity we require could result in a reduction in, or disruption of, service to our customers and ultimately a loss of those customers. Such a failure could result in our inability to acquire new customers demanding capacity not available on our platform.</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nature of our business exposes us to inherent liability risks.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platform and related applications, including our security solutions, are designed to provide rapid protection against web application vulnerabilities and cyber-attacks. However, no security product can provide absolute protection against all vulnerabilities and cyber-attacks. Our platform is subject to cyber-attacks, and the failure of our platform and related applications to adequately protect against these cyber-attacks may allow our customers to be attacked. Any adverse consequences of these attacks, and our failure to meet our customers’ expectations as they relate to such attacks,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Due to the nature of our applications, we are potentially exposed to greater risks of liability for product or system failures than may be inherent in other businesses. Although substantially all of our customer agreements contain provisions that limit our liability to our customers, these limitations may not be sufficient, and we cannot assure you that these limitations will be enforced or the costs of any litigation related to actual or alleged omissions or failures would not have a material adverse effect on us even if we prevail.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dedication to our values may negatively influence our financial results.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taken, and may continue to take, actions that we believe are in the best interests of our customers, our employees, and our business, even if those actions do not maximize financial results in the short term. For instance, we do not knowingly allow our platform to be used by organizations with a primary objective to promote violence or hate speech and that conflicts with our values, including principles of integrity and trustworthiness, among others. In the past, we have removed customers from our platform who we believed took positions conflicting with these values, and we may continue to do so in the future. While we believe this is beneficial to the long term performance of our business, this approach may not result in the benefits that we expect, and our employees or third parties may disagree with our interpretation of our values, or take issue with how we execute on our values, which may result in us becoming a target for negative publicity, increased scrutiny, lawsuits, or network attacks, in which case our business could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growth depends in large part on the success of our partner relationships.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a partner ecosystem of companies who build edge applications to integrate with our platform. We are dependent on these partner relationships to amplify our reach and provide our customers with enhanced value from our platform. Our future growth may be dependent on the success of our partner relationships, including their development of useful applications for our platform. If those partnerships do not provide these benefits or if our partners are unable to serve our customers effectively, we may need to allocate resources internally to provide these services or our customers may not realize the full value of our platform, which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our partners’ business partners may not completely align with our core values and therefore may do business with companies that we otherwise would not do business with. Our association with these companies could damage our brand and reputation and potentially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operate in an emerging and evolving market, which may develop more slowly or differently than we expect. If our market does not grow as we expect, or if we cannot expand our services to meet the demands of this market, our revenue may decline, or fail to grow, and we may incur operating losses.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for edge computing is still developing. There is considerable uncertainty over the size and rate at which this market will grow, as well as whether our platform will be widely adopted. Our success will depend, to a substantial extent, on the widespread adoption of our platform as an alternative to other solutions, such as legacy CDNs, and CDNs focused on enterprise data centers, central cloud, and small businesses. Some organizations may be reluctant or unwilling to use our platform for a number of reasons, including concerns about additional costs, uncertainty regarding the reliability, and security of cloud-based offerings or lack of awareness of the benefits of our platform. Moreover, many organizations have invested substantial personnel and financial resources to integrate traditional on-premise services into their businesses, and therefore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may be reluctant or unwilling to migrate to cloud-based services. Our ability to expand sales of our product into new and existing markets depends on several factors, including potential customer awareness of our platform; the timely completion of data centers in those markets; introduction and market acceptance of enhancements to our platform or new applications that we may introduce; our ability to attract, retain and effectively train sales and marketing personnel; our ability to develop relationships with partners; the effectiveness of our marketing programs; the pricing of our services; and the success of our competitors. If we are unsuccessful in developing and marketing our products in new and existing markets, or if organizations do not perceive or value the benefits of our platform, the market for our products might not continue to develop or might develop more slowly than we expect, either of which may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estimates of market opportunity and forecasts of market growth may prove to be inaccurate, and any real or perceived inaccuracies may harm our reputation and negatively affect our business. Even if the market in which we compete achieves the forecasted growth, our business could fail to grow at similar rates, if at all.</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Third-party market opportunity estimates and our growth forecasts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addressable companies or end users covered by our market opportunity estimates will purchase our products at all or generate any particular level of revenues for us. Even if the market in which we compete meets the size estimates and growth forecasted, our business could fail to grow for a variety of reasons, including reasons outside of our control, such as competition in our industry.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Usage of our platform accounts for substantially all of our revenue, and as a result, our operating results could suffer from a reduction in usage.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that we will be substantially dependent on our edge cloud platform to generate revenue for the foreseeable future. As a result, our operating results could suffer due to:</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any decline in demand for our edge cloud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failure of our edge cloud platform to achieve continued market acceptance;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market for edge cloud computing services not continuing to grow, or growing more slowly than we expect;</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introduction of products and technologies that serve as a replacement or substitute for, or represent an improvement over, our edge cloud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technological innovations or new standards that our edge cloud platform does not address;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sensitivity to current or future prices offered by us or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development of their own edge cloud platform;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inability to release enhanced versions of our edge cloud platform on a timely basis.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because substantially all of our usage-based revenue is recognized at the time of use during the term of the relevant contract, downturns or upturns in sales contracts are not immediately reflected in full in our operating results.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market for our edge cloud platform grows more slowly than anticipated or if demand for our edge cloud platform does not grow as quickly as anticipated, whether as a result of competition, pricing sensitivities, product obsolescence, technological change, unfavorable economic conditions, uncertain geopolitical environment, budgetary constraints of our customers, or other factors, our business would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expect fluctuations in our financial results and key metrics, making it difficult to project future results, and if we fail to meet the expectations of securities analysts or investors, our stock price and the value of your investment could decline significantly.</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results, including revenue, gross margin and net income, as well as our key metrics, including our LTM NRR, have fluctuated in the past and are expected to fluctuate in the future due to a variety of factors, many of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outside of our control. As a result, our past results may not be indicative of our future performance and period-to-period comparisons of our operating results and key metrics may not be meaningful or accurately measure our business. In addition to the other risks described herein, factors that may affect our operating results include the following:</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fluctuations in demand for or pricing of our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ability to attract new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ability to retain our existing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fluctuations in the usage of our platform by our customers, which is directly related to the amount of revenue that we recognize from our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fluctuations in customer delays in purchasing decisions in anticipation of new products or product enhancements by us or our competitors;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customers’ budgets and in the timing of their budget cycles and purchasing decisions;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timing of customer payments and any difficulty in collecting accounts receivable from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timing of new functionality of our existing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ability to control costs, including our operating expenses and transmission bandwidth pricing;</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amount and timing of payment for operating expenses, particularly research and development and sales and marketing expenses, including commissions;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amount and timing of costs associated with recruiting, training, and integrating new employees;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effects of acquisitions or other strategic transactions;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expenses in connection with acquisitions or other strategic transactions;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deploy POPs in new regions;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conditions, both domestically and internationally, as well as economic conditions specifically affecting industries in which our customers participate;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to maintain our key partnerships;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new accounting pronouncements;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competitive dynamics of our market, including consolidation among competitors or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security breaches of, technical difficulties with, or interruptions to, the delivery and use of our platform;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awareness of our brand and our reputation in our target markets.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certain large scale events, such as major elections and sporting events, can significantly impact usage of our platform, which could cause fluctuations in our results of operations. While increased usage of our platform during these events could result in increased revenue, these seasonal and one-time events could also impact the performance of our platform during those events and lead to a sub-optimal experience for some customers. Such annual and one-time events may cause fluctuations in our results of operations as they would impact both our revenue and our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 foregoing and other factors may cause our results of operations to vary significantly. Furthermore, if our quarterly results of operations or our guidance fall below the expectations of investors and securities analysts who follow our stock, the price of our common stock could decline substantially, and our business could be harmed. We cannot assure you that our operating results or projected operating results will meet the expectations of market analysts or our investors.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pricing models subject us to various challenges that could make it difficult for us to derive sufficient value from our customers, and we do not have sufficient history with our pricing models to accurately predict the optimal pricing necessary to attract new customers and retain existing customers.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generally charge our customers for their usage of our platform based on the combined total usage, as well as the features and functionality enabled. Additionally, once our product is purchased, customers can also buy a combination of our add-on products. We do not know whether our current or potential customers or the market in general will continue to accept this pricing model going forward and, if it fails to gain acceptance, our business could be harmed. We also generally purchase bandwidth from Internet service providers and server colocation space from third parties based on expected usage from our customers. Moreover, if our customers use our platform in a manner that is inconsistent with how we have purchased bandwidth, servers, and colocation space, our business could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limited experience with respect to determining the optimal prices for our products and, as a result, we have in the past changed our pricing model and expect that we may need to do so in the future, including as a result of inflationary pressures. In addition, during 2023 we introduced the option for customers to purchase product packages with single price points and set limits on usage. We generally do not charge for overages on these single price point product packages. This pricing model has been in place for a limited amount of time, and we do not know the impact it will have on our usage-based pricing model over time. As the market for our products matures, or as new competitors introduce new products or services that compete with ours, we may be unable to attract new customers at the same price or based on the same pricing models as we have used historically. Pricing decisions may also impact the mix of adoption among our customers and negatively impact our overall revenue. Moreover, larger organizations may demand substantial price concessions. As a result, in the future we may be required to reduce our prices or develop new pricing models, which could adversely affect our revenue, gross margin, profitability, financial position, and cash flow.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sales and onboarding cycles with customers can be long and unpredictable, and our sales and onboarding efforts require considerable time and expense.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timing of our sales with our large customers and related revenue recognition is difficult to predict because of the length and unpredictability of the sales cycle for these customers. In addition, for our large customers, the lengthy sales cycle for the evaluation and implementation of our products may also cause us to experience a delay between expenses for such sales efforts and the generation of corresponding revenue. The length of our sales cycle for these customers, from initial evaluation to payment, can range from several months to well over a year and can vary substantially from customer to customer. Similarly, the onboarding and ramping process with new large customers, or with existing customers that are moving additional traffic onto our platform, can take several months. As the purchase of our products can be dependent upon customer initiatives, our sales cycle can extend to even longer periods of time. Customers often view a switch to our platform as a strategic decision requiring significant investment and, as a result, frequently require considerable time to evaluate, test, and qualify our products prior to entering into or expanding a contract commitment. During the sales cycle, we expend significant time and money on sales and marketing and contract negotiation activities, which may not result in a completed sale. Additional factors that may influence the length and variability of our sales cycle include:</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the effectiveness of our sales force, particularly new salespeople and sales leadership, as we increase the size of our sales force and train our new salespeople to sell to large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discretionary nature of customers’ purchasing decisions and budget cycles;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customers’ procurement processes, including their evaluation of competing products;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economic conditions and other factors affecting customer budgets;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regulatory environment in which our customers operate;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integration complexity for a customer deployment;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customer’s familiarity with edge cloud computing platforms;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evolving customer demands; </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selling new products to large customers;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competitive conditions.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these factors, it is difficult to predict whether and when a customer will switch to our platform.</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that it can take several months for our customers to ramp up their usage of our platform, during that time, we may not be able to generate enough revenue from a particular customer or that customer may not increase their usage in a meaningful way. Moreover, because the switching costs are fairly low, our customers are able to switch from our platform to alternative services relatively easily. As a result, actual usage could be materially below our forecasts, which could adversely affect our results of operations, disappoint analysts and investors, or cause our stock price to decline.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platform does not achieve sufficient market acceptance, our financial results and competitive position will suffer.</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meet our customers’ rapidly evolving demands, we invest substantial resources in research and development of enhanced products to incorporate additional functionality or expand the use cases that our platform addresses. Maintaining adequate research and development resources, such as the appropriate personnel and development technology, to meet the demands of the market is essential. If we are unable to develop products internally due to inadequate or ineffective research and development resources, we may not be able to address our customers’ needs on a timely basis or at all. In addition, if we seek to supplement our research and development capabilities or the breadth of our products through acquisitions, such acquisitions could be expensive and we may not successfully integrate acquired technologies or businesses into our business. When we develop or acquire new or enhanced products, we typically incur expenses and expend resources upfront to develop, market, promote, and sell the new offering. Therefore, when we develop or acquire and introduce new or enhanced products, they must achieve high levels of market acceptance in order to justify the amount of our investment in developing or acquiring and bringing them to market. Our new products or enhancements and changes to our existing products could fail to attain sufficient market acceptance for many reasons, including:</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failure to predict market demand for functionality accurately and a failure to supply products that meet this demand in a timely fashion;</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defects, errors, or failures;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negative publicity about our platform’s performance or effectiveness;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the legal or regulatory requirements, or increased legal or regulatory scrutiny, adversely affecting our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emergence of a competitor that achieves market acceptance before we do;</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delays in releasing enhancements to our platform to the market;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introduction or anticipated introduction of competing products by our competitors.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platform and any future enhancements do not achieve adequate acceptance in the market, or if products and technologies developed by others achieve greater acceptance in the market, our business could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Beyond overall acceptance of our platform by our customers, it is important that we maintain and grow acceptance of our platform among the developers that work for our customers. We rely on developers to choose our platform over other options they may have, and to continue to use and promote our platform as they move between companies. These developers often make design decisions and influence the product and vendor processes within our customers. If we fail to gain or maintain their acceptance of our platform, our business would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rely on third-party providers that may be difficult to replace.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third-party services such as Amazon Web Services (AWS), Google Cloud Platform (GCP), Microsoft (Azure), and other cloud providers such as object storage providers, that facilitate our platform. Some of these third-party services offer competing products to ours and therefore may not continue to be available on commercially reasonable terms, or at all. These providers may be unwilling to do business with us if they view our platform as a threat. Any loss of the right to use any of these third-party providers could impair our ability to offer our platform and harm our business until we are able to obtain alternative providers.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business is exposed to risks associated with credit card and other online payment processing methods.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customers pay for our service using a variety of different payment methods, including credit and debit cards, prepaid cards, direct debit, and online payment applications and wallets. We rely on internal systems as well as those of third parties to process payments. Acceptance and processing of these payment methods are subject to certain rules and regulations and require payment of interchange and other fees. If we fail to comply with applicable rules and regulations, we may be subject to fines or higher transaction fees, and may lose our ability to accept online payments or other payment card transactions, or fees may increase over time, both of which would adversely affect our revenue, operating results, and financial condition. In addition, from time to time, we encounter fraudulent use of payment methods, which could impact our results of operations and if not adequately controlled and managed could create negative consumer perceptions of our service. If we are unable to maintain our chargeback rate at acceptable levels, card networks may impose fines and our card approval rate may be impacted. If we fail to adequately control fraudulent credit card transactions, we may face civil liability, reputational harm, and significantly higher credit card-related costs, each of which could harm our business, results of operations and financial condition.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do not or cannot maintain the compatibility of our platform with third-party applications that our customers use in their businesses, our business will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functionality and popularity of our platform depends, in part, on our ability to integrate our platform and applications with third-party applications our customers choose to use with our platform. These third parties may change the features of their technologies, restrict our access to their applications, or alter the terms governing use of their applications in a manner that is adverse to our business. Such changes could functionally limit or prevent our ability to use these third-party technologies in conjunction with our platform, which would negatively affect adoption of our platform and harm our business. If we fail to integrate our platform with new third-party applications that our customers use, we may not be able to offer the functionality that our customers need, which would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provide service level commitments under our customer agreements. If we fail to meet these contractual commitments, we could be obligated to provide credits for future service, or face contract termination with refunds of prepaid amounts, which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our customer agreements contain service level commitments. If we are unable to meet the stated service level commitments, including failure to meet the uptime and delivery requirements under our customer agreements, we may be contractually obligated to provide the affected customers with service credits which could significantly affect our revenues in the periods in which the uptime and delivery failure occurs and the credits are applied. In the past, as a result of degradation of service and interruptions to our platform, we have provided service credits to certain of our affected customers with whom we had service level commitments. We could also face customer terminations with refunds of prepaid amounts, which could significantly affect both our current and future revenues. Any service level failures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offer high quality support, our business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rely on our support team to assist them in deploying our products effectively and resolve technical and operational issues. High-quality support is important for the renewal and expansion of our agreements with existing customers. The importance of maintaining high quality support will increase as we expand our business and pursue new customers. If we do not help our customers quickly resolve issues and provide effective ongoing support, our ability to maintain and expand our relationships with existing and new customers could suffer and our business could be harmed. Further, increased demand for customer support, without corresponding revenue, could increase costs and adversely affect our business. In addition, as we continue to grow our operations and expand internationally, we will need to be able to provide efficient customer support that meets our customers’ needs globally at scale and our customer support team will face additional challenges, including those associated with delivering support and documentation in multiple languages. Our failure to do so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Scrutiny relating to environmental, social and governance factors may impose additional costs and expose us to new risks.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is an ongoing focus from certain investors, employees, customers, policymakers, and other stakeholders concerning companies' management of various environmental, social, and governance matters (“ESG”), such as climate change and human capital. Any initiatives, including disclosures, that we engage in to improve our ESG profile and respond to stakeholder expectations may be costly and may not have the desired effect. For example, while we have established a sustainability program focused on emissions quantification, disclosure and reduction initiatives, as climate-related regulatory regimes and stakeholder expectations continue to evolve, we may need to undertake additional measures to comply with new regulations and expectations, which could adversely affect our operating results in future periods. In addition, many ESG initiatives leverage methodologies and data that continue to evolve. As with other companies, our approach to such matters also evolves, and we cannot guarantee that our approach will align with any particular stakeholder’s expectations or preferences. Moreover, various stakeholders have different, and at times conflicting expectations. For example, while some policymakers (such as the State of California and the European Union) have adopted requirements for various disclosures or actions on environmental and social matters, policymakers in other jurisdictions have sought to constrain companies’ consideration of such matters in certain circumstances. Proponents and opponents of such matters are increasingly resorting to activism, including litigation, to advance their perspectives. Various capital providers and customers also incorporate ESG matters into their investment and procurement considerations. Addressing stakeholder expectations or requirements entails costs and any failure to successfully navigate such expectations, as well as evolving interpretations of any existing governmental laws or requirements, may result in reputational harm, loss of customers or contracts, regulatory or investor engagement, or other adverse impacts to our business. Such risks may also be augmented based on relative performance, both against any initiatives or goals we communicate as well as in comparison to our competitors. Various of our stakeholders are also subject to similar pressures, which may result in additional or novel risks.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Employees and Managing Our Growth</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failure to attract and retain qualified personnel could prevent us from executing our business strategy.</w:t>
      </w:r>
    </w:p>
    <w:p>
      <w:pPr>
        <w:pStyle w:val="TextBody"/>
        <w:bidi w:val="0"/>
        <w:spacing w:lineRule="auto" w:line="268" w:before="0" w:after="240"/>
        <w:ind w:left="0" w:right="0" w:firstLine="540"/>
        <w:jc w:val="left"/>
        <w:rPr/>
      </w:pPr>
      <w:r>
        <w:rPr>
          <w:rFonts w:ascii="Times New Roman;serif" w:hAnsi="Times New Roman;serif"/>
          <w:b w:val="false"/>
          <w:color w:val="000000"/>
          <w:sz w:val="20"/>
        </w:rPr>
        <w:t>To execute our business strategy, we must attract and retain highly qualified personnel. Competition for executive officers, software developers, sales personnel, product managers, and other key employees in our industry is intense. In particular, we compete with many other companies for software developers with high levels of experience in designing, developing, and managing cloud-based software, including products with AI capabilities, as well as for skilled sales, operations, and security professionals. In addition, we believe that the success of our business and corporate culture depends on employing people with a variety of backgrounds and experiences, and the competition for such personnel is significant. The market for such talented personnel is competitive. Many of the companies with which we compete for experienced personnel have greater resources than we do and can frequently offer such personnel substantially greater compensation than we can offer, including, in some cases, large equity packages and cash incentive bonuses.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In order to manage attrition, including as a result of stock price decreases and market volatility on the perceived value of our equity awards, we have issued, and may continue to issue, additional equity awards and increased cash compensation to attract and retain employees, which may impact our results of operations or be dilutive to stockholders. Moreover, the increase in the number of equity awards has reduced the number of shares available for us to grant under our equity incentive plan. We also face significant competition in hiring and attracting qualified employees in all aspects of our business, and the move by companies to offer a remote or hybrid work environment has increased the competition for such employees.</w:t>
      </w:r>
      <w:r>
        <w:rPr>
          <w:color w:val="000000"/>
        </w:rPr>
        <w:t xml:space="preserve"> </w:t>
      </w:r>
      <w:r>
        <w:rPr>
          <w:rFonts w:ascii="Times New Roman;serif" w:hAnsi="Times New Roman;serif"/>
          <w:b w:val="false"/>
          <w:color w:val="000000"/>
          <w:sz w:val="20"/>
        </w:rPr>
        <w:t xml:space="preserve">If we fail to attract new personnel or fail to retain and motivate our current personnel, our ability to maintain and enhance our platform, develop and deliver new products, fix bugs, support our existing customers, attract new customers, respond to competitive pressures, and otherwise execute our business plan would be harmed.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rely on the performance of highly skilled personnel, including our senior management and other key employees, and the loss or transition of one or more of such personnel, or of a significant number of our team members, could harm our business.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success has depended, and continues to depend, on the efforts and talents of senior management and key employees, including Artur Bergman, our Chief Technology Officer. There have been, and from time to time, there may continue to be, changes in our management team resulting from the hiring or departure of executives and key employees, or the transition of executives within our business, which could disrupt our business. For example, Charles Compton began serving as our new Chief Executive Officer, replacing Todd Nightingale, effective June 16, 2025. Such changes in our executive management team may be disruptive to our business. Some of our executive officers and members of our management team have been with us for a short period of time and we continue to develop key functions within various aspects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also dependent on the continued service of our existing software engineers because of the complexity of our platform. Our senior management, including Mr. Compton and Mr. Bergman, and key employees are employed on an at-will basis. We cannot ensure that we will be able to retain the services of any member of our senior management or other key employees or that we would be able to timely replace members of our senior management or other key employees should any of them depart. The loss of one or more of our senior management or other key employees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past growth may not be indicative of our future growth and we may not be able to manage our growth effectively.</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growth in various aspects of our business in prior periods. For example, for the three months ended March 31, 2026 and 2025, our revenue was $173.0 million, and $144.5 million, respectively. In addition, we are expanding, and expect to continue to expand in the future, our international operations. We have also experienced growth in the number of customers, usage, and amount of data delivered across our platform. This growth has placed, and may continue to place, significant demands on our corporate culture, operational infrastructure, and management. Although our business has experienced growth in the past, we cannot provide any assurance that our business will continue to grow at the same rate, or at all. Overall growth of our business depends on a number of factors, including our ability to:</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address new and developing markets, such as large customers outside the United States;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recruit, hire, train, and manage additional qualified engineers and product managers;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recruit, hire, train, and manage additional sales and marketing personnel;</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maintain and enhance our corporate culture;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expand our international operations;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establish more mature organizational designs and structures, with more skill, technical and leadership depth with experience scaling and expanding global businesses;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implement and improve our administrative, financial and operational systems, procedures, and controls;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attract new customers and increase our existing customers’ usage on our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expand the functionality and use cases for the products we offer on our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provide our customers with customer support that meets their needs; </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successfully identify and acquire or invest in businesses, products, or technologies that we believe could complement or expand our products; and </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recruit experienced leaders and strategists to facilitate successful acquisitions and integrations.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not successfully accomplish any of the above objectives. We expect to continue to expend substantial financial and other resources on:</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sales and marketing, including a significant expansion of our sales organization;</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infrastructure, including POP deployments, systems architecture, management tools, scalability, availability, performance, and security, as well as business continuity measures;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product development, including investments in our product development team and the development of new products and new functionality for our existing products;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acquisitions or strategic investments;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international expansion;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general administration, including legal and accounting expenses associated with being a public company.</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activities will require significant investments and allocation of valuable management and employee resources, and our growth will continue to place significant demands on our management and our operational and financial infrastructure. There are no guarantees we will be able to grow our business in an efficient or timely manner, or at all. If we fail to manage the growth of our business and operations effectively, the quality of our services and the efficiency of our operations could suffer, which could adversely affect our business, financial condition, and results of operations. If we are unable to return to our prior level of growth, our business will be harmed.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past rapid growth may make it difficult to evaluate our future performance. Our ability to forecast our future results of operations is subject to a number of uncertainties. If we fail to achieve the necessary level of efficiency in our company as it grows, or if we are not able to accurately forecast future growth, our business would be negatively impacted.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cannot maintain our company culture as we grow, our success and our business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our culture has been a key contributor to our success to date and that the critical nature of the products that we provide promotes a sense of greater purpose and fulfillment in our employees. Any failure to preserve our culture could negatively affect our ability to recruit and retain personnel and to effectively focus on and pursue our corporate objectives. As we grow, we may find it difficult to maintain these important aspects of our culture. In addition, while we have historically benefited from having a dispersed workforce, as we have grown and our resources have become more globally dispersed and our organizational management structures have become more complex, we have found it increasingly difficult to maintain these beneficial aspects of our corporate culture. In addition, we may seek to acquire or invest in businesses, products or technologies with differing corporate cultures that could be difficult to integrate. If we fail to maintain our company culture, our business may be harmed.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timely raise capital in the future may be limited, or may be unavailable on acceptable terms, if at all, and debt or equity issued to raise additional capital may reduce the value of our common stock.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funded our operations since inception primarily through payments received from our customers, sales of equity and debt securities, and borrowings under our credit facilities. We cannot be certain when or if our operations will generate sufficient cash to fully fund our ongoing operations or the growth of our business, or our debt obligations. We also intend to continue to make investments to support our business and may require additional funds to do so. Our future capital requirements may vary materially from those currently planned and will depend on many factors, including our growth rate, our operating cash flow, market acceptance of our platform, the expansion of sales and marketing activities, strategic transactions, as well as overall economic conditions. </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need to engage in equity or debt financings to secure additional funds, in particular if we are required to repay our outstanding convertible notes in cash. Additional financing may not be available on favorable terms, if at all, and the terms of our existing Senior Secured Credit Facilities Credit Agreement, dated as of February 16, 2021, with the lenders from time to time party thereto and Silicon Valley Bank, a division of First-Citizens Bank &amp; Trust Company (as amended, restated, amended and restated, supplemented, restructured, or otherwise modified from time to time, the “Credit Agreement”) limits our ability to incur additional debt.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adequate funds are not available on acceptable terms, we may be forced to reduce or delay our business activities and capital expenditures, unable to invest in future growth opportunities, sell assets, or restructure or refinance all or a portion of our debt on or before maturity, all of which could harm our business, operating results, and financial condition. Furthermore, if we issue additional equity securities, stockholders will experience dilution, and the new equity securities could have rights senior to those of our common stock. Any debt financing we secure may have higher interest rates and could involve additional restrictive covenants relating to our capital raising activities and other financial and operational matters, which may make it more difficult for us to obtain additional capital and to pursue business opportunities, including potential acquisitions. If we were to violate the covenants under our Credit Agreement or any additional restrictive covenants, we could incur penalties, increased expenses and an acceleration of the payment terms of our outstanding debt, which could in turn materially harm our business and financial condition. Because our decision to issue securities in future offerings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Seasonality may cause fluctuations in our sales and operating results.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and expect to continue to experience in the future, seasonality in our business, and our operating results and financial condition may be affected by such trends in the future. We generally experience seasonal fluctuations in demand for our platform. For example, we have some customers who increase their usage and requests when they need more capacity during busy periods, especially in the fourth quarter of the year, and then subsequently scale back. Some of our customers host certain large-scale events, such as sporting events or coverage of major elections, increasing their usage on a seasonal or one-time basis which can cause revenue to fluctuate between the periods in which these events occur and subsequent periods. Since we built our network to handle seasonal capacity fluctuations, we may not be able to reduce our capacity in a timely manner, and as such sustain more costs that may not be tied to traffic demand. We believe that the seasonal trends that we have experienced in the past may continue for the foreseeable future, particularly as we expand our sales to larger enterprises. To the extent we experience this seasonality, it may cause fluctuations in our operating results and financial metrics, and make forecasting our future operating results and financial metrics difficult. Additionally, we do not have sufficient experience in selling certain of our products to determine if demand for these products is, or will be, subject to material seasonality.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current operations are international in scope and we plan on further geographic expansion, creating a variety of operational challenges.*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component of our growth strategy involves the further expansion of our operations and customer base internationally. For the three months ended March 31, 2026, the percentage of revenue generated from customers outside the United States was 29% of our total revenue. We continue to adapt to and develop strategies to address international markets but there is no guarantee that such efforts will have the desired effect. As of March 31, 2026, approximately 23.2% of our full-time employees were located outside of the United States. We expect that our international activities will grow over the foreseeable future as we continue to pursue opportunities in existing and new international markets, which will require significant management attention and financial resources. In connection with such expansion, we may face difficulties including costs associated with varying seasonality patterns, potential adverse movement of currency exchange rates, longer payment cycles, difficulties in collecting accounts receivable in some countries, tariffs and trade barriers, a variety of regulatory or contractual limitations on our ability to operate, adverse tax events, reduced protection of intellectual property rights in some countries, and a geographically and culturally diverse workforce and customer base. Failure to overcome any of these difficulties could harm our business. Our current and future international business and operations involve a variety of risks, including:</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changes in a specific country’s or region’s political or economic conditions;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longer payment cycles;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greater difficulty collecting accounts receivable;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potential or unexpected changes in trade relations, regulations, or laws, including as a result of tariffs imposed by the current administration; </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increased regulatory inquiry or oversight;</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more stringent regulations relating to privacy and data security and the unauthorized use of, or access to, commercial and personal information, particularly in Europe;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differing labor regulations, especially in Europe and Japan, where labor laws are generally more advantageous to employees as compared to the United States, including deemed hourly wage and overtime regulations in these locations, and where potential labor organizing and works council negotiations in certain of those countries could contribute to increased operational costs or otherwise disrupt our business;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challenges to our corporate culture resulting from a dispersed workforce;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difficulties in managing a business in new markets with diverse cultures, languages, customs, legal systems, alternative dispute systems, and regulatory systems;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increased travel, real estate, infrastructure, and legal costs associated with international operations;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challenges related to providing support and developing products in foreign languages;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limitations on our ability to reinvest earnings from operations in one country to fund the capital needs of our operations in other countries;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laws and business practices favoring local competitors or general market preferences for local vendors;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potential tariffs and trade barriers;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limited or insufficient scope, strength, and enforcement of intellectual property rights;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political instability, economic sanctions, terrorist activities, or global conflicts and developments, including, but not limited to, ongoing conflicts between Russia and Ukraine and in the Middle East, which may raise energy prices or cause disruptions to supply chains and global markets, and impact the operations of our business, the businesses of our customers, or our ability to expand into international markets;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inflationary pressures, such as those the global market is currently experiencing, labor shortages, and supply chain disruptions, which may increase costs for certain services;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exposure to liabilities under anti-corruption and anti-money laundering laws, and similar laws and regulations in other jurisdictions;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adverse tax burdens and foreign exchange controls that could make it difficult to repatriate earnings and cash.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any of the above risks materialize, it could harm our business and prospects. In addition, our limited experience in operating our business internationally increases the risk that any potential future expansion efforts that we may undertake will not be successful. If we invest substantial time and resources to further expand our international operations and are unable to do so successfully and in a timely manner, our business may be harmed.</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estimates prove to be incorrect, our results of operations could be adversely affected.</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in the United States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Estimates.” The results of these estimates form the basis for making judgments about the carrying values of assets, liabilities, and equity and the amount of revenue and expenses that are not readily apparent from other sources.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Current and future indebtedness could restrict our operations, particularly our ability to respond to changes in our business or to take specified actions.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Credit Agreement contains, and any future indebtedness would likely contain, a number of restrictive covenants that impose significant operating and financial restrictions on us, including restrictions on our ability to incur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indebtedness, grant liens, pay dividends and make distributions, transfer property, make investments, and take other actions that may otherwise be in our best interests. In addition, our Credit Agreement contains a financial covenant that requires us to maintain a consolidated adjusted quick ratio of at least 1.25 to 1:00 tested on a quarterly basis as well as a springing revenue growth covenant not to be less than 5% on a quarterly basis for certain periods if our consolidated adjusted quick ratio falls below 1:75 to 1:00 on the last day of any fiscal quarter. Our ability to meet these financial covenants can be affected by events beyond our control, and we may not be able to continue to meet those covenants. In addition, a breach of a covenant under our Credit Agreement or any other current or future indebtedness above certain thresholds may result in a cross-default under any such indebtedness. If we seek to incur additional indebtedness in the future, we may not be able to obtain debt or equity financing on terms that are favorable to us, if at all. Holders of our existing debt have, and holders of any future debt we may incur would have, rights senior to holders of common stock to make claims on our assets. In addition, the terms of our existing debt do, and the terms of any future debt could, restrict our operations, including our ability to pay dividends on our common stock.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unable to maintain effective internal control over financial reporting in the future, investors may lose confidence in the accuracy and completeness of our financial reports, and the market price of our common stock may be seriously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required to maintain internal control over financial reporting and to report any material weaknesses in those internal controls. For example, we are required to perform system and process evaluation and testing of our internal control over financial reporting to allow management to report on the effectiveness of our internal control over financial reporting, as required by Section 404 of the Sarbanes-Oxley Act (“Section 404”). Our independent registered public accounting firm also needs to attest to the effectiveness of our internal control over financial reporting. We designed, implemented, and tested internal control over financial reporting required to comply with this obligation. That process is time-consuming, costly, and complicated.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detailed in Item 9A in our Annual Report on Form 10-K filed February 26, 2025, we and our independent registered public accounting firm identified a material weakness in our internal control related over financial reporting for the year ended December 31, 2024. This material weakness related to deficiencies in the design and operating effectiveness of controls within the revenue process. During the year ended December 31, 2025, we implemented remediation actions to address the material weakness in our internal controls, and as of December 31, 2025, this material weakness has been deemed remediated.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We continue to evaluate and take actions to improve our internal control over financial reporting, which includes but is not limited to hiring additional resources, to address control deficiencies.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our previous material weakness has been remediated, if we fail to identify future material weaknesses in our internal control over financial reporting, if we are unable to comply with the requirements of Section 404 or assert that our internal control over financial reporting is effective, or if our independent registered public accounting firm is unable to express an unqualified opinion or expresses a qualified or adverse opinion about the effectiveness of our internal control over financial reporting, investors may lose confidence in the accuracy and completeness of our financial reports and the market price of our common stock could be negatively affected. Moreover, any failure to identify new material weaknesses in our internal control over financial reporting, could result in material misstatements in our financial statements that may continue undetected and cause us to fail to meet our reporting and financial obligations or incur significant additional costs to remediate new material weaknesses, each of which could harm our ability to raise capital on favorable terms in the future or otherwise have a negative impact on our financial condition. In addition, we could become subject to investigations by The Nasdaq Stock Market LLC ("Nasdaq"), the SEC, and other regulatory authorities, which could require additional financial and management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successfully manage the growth of our business if we are unable to improve our internal systems, processes and controls.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need to continue to improve our internal systems, processes, and controls to effectively manage our operations and growth. We may not be able to successfully implement and scale improvements to our systems and processes in a timely or efficient manner or in a manner that does not negatively affect our operating results. For example, we may not be able to effectively monitor certain extraordinary contract requirements or provisions that are individually negotiated by our sales force as the number of transactions continues to grow. Moreover, as we continue to improve our pricing structure, we will need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implement and maintain corresponding updates to our systems around payment of sales commissions to account for these new or revised structures. We may experience difficulties in managing improvements to our systems, processes, and controls or in connection with third-party software, which could impair our ability to manage our business, pay sales commissions, or offer our platform to our customers in a timely manner, causing us to lose customers or employees, limit our growth, limit us to smaller deployments of our products, or increase our technical support costs. In addition, our systems and processes may not prevent or detect all errors, omissions, or fraud.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financial results may be adversely affected by changes in accounting principles applicable to us.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GAAP are subject to interpretation by the Financial Accounting Standards Board, the SEC, and other various bodies formed to promulgate and interpret appropriate accounting principles. A change in these principles or interpretations could have a significant effect on our reported financial results for periods prior to and subsequent to such change, and could affect the reporting of transactions completed before the announcement of a change.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Market practices with respect to these new disclosures are continuously evolving, and securities analysts and investors may not fully understand the implications of our disclosures or how or why they may differ from similar disclosures by other companies. Any additional new accounting standards could have a significant effect on our reported results. If our reported results fall below analyst or investor expectations, our stock price could decline.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Laws, Regulations, and the Global Economy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Failure to comply with United States and foreign governmental laws and regulations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regulation by various federal, state, local, and foreign governments. If we do not comply with these laws or regulations or if we become liable under these laws or regulations due to the failure of our customers to comply with these laws, we could face direct liability or delivery of content by our platform may be blocked by certain governments. In certain jurisdictions, these regulatory requirements may be more stringent than those in the United States. For example, in June 2020, China passed a national security law for Hong Kong that imposes criminal liability for the violation of content regulations, and in March 2024, Hong Kong enacted the Safeguarding National Security Ordinance which further expanded the scope of criminal liability for acts such as the unlawful disclosure of state secrets and foreign interference. It is not clear how broadly such legislation will be interpreted or applied in relation to our customers or our business, and additional developments in the application of these laws could cause us to remove our POP from Hong Kong. Noncompliance with applicable regulations or requirements could subject us to investigations, sanctions, enforcement actions, disgorgement of profits, fines, damages, civil and criminal penalties, injunctions, reputational harm, or other collateral consequences.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services fees. Further, enforcement actions and sanctions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the United States government prohibits our current or potential customers from doing business with us, whether through policy, regulations or laws, we could face direct liability or our delivery of content by our platform may be blocked. For example, in the current environment of economic trade negotiations and tensions between the Chinese and the United States governments, the United States government has expressed concerns about the ability of companies operating in China to do business in the United States or with United States companies. As a result, we could lose the ability to contract with current or potential customers and usage of our platform may decrease by affected customers, which could harm our business and reputation. Even in the absence of new restrictions or trade actions imposed by the United States or other governments, our customers that operate in China, target China as a market, or that have strong business ties to China, may take actions to reduce dependence on our platform, which could harm our business. In April 2024, under the prior administration, a bill was signed into law that would effectively ban TikTok in the United States if ByteDance, its China-based parent company, did not sell its stake in TikTok within a set time frame. Following a series of executive orders in 2025 that suspended enforcement of this law, on January 22, 2026, ByteDance announced the establishment of TikTok USDS Joint Venture LLC in compliance with the law to secure United States user data, apps, and the algorithm through data privacy and cybersecurity measures. TikTok was one of our largest customers for the three months ended March 31, 2026 and remains a customer of ours. We do not know how the restructuring may impact our traffic levels or our ongoing relationship with TikTok.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or may become subject, to stringent and evolving U.S. and foreign laws, governmental regulations and rules, contractual obligations, industry standards, policies and other obligations related to privacy, infrastructure, AI, and data security. Our actual or perceived failure to comply with such obligations could harm our business, by resulting in regulatory investigations or actions, disputes or litigation, fines and penalties, disruptions of our business operations, adverse publicity and reputational damage, loss of revenue or profits, loss of customers or sales, and other adverse consequences that may negatively affect the value of our business and decrease the price of our common stock. Compliance with such obligations could also result in costs and liabilities to us or inhibit sales of our products.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receive, store, process, collect, generate, use, transfer, disclose, make accessible, protect, secure, dispose of, transmit, and share information that relates to individuals and/or constitutes “personal data,” “personal information,” “personally identifiable information,” or similar terms under applicable data privacy laws (collectively, “Personal Information”). Our handling of Personal Information is subject to a variety of obligations related to privacy and data security, including laws and regulations, contractual obligations, internal and external privacy policies, guidance, industry standards, and other obligations that govern the processing of Personal Information. Additionally, we are or may become subject to other laws and regulations around the world with respect to the Internet related to, among other things, content moderation, security requirements, critical infrastructure designations, Internet resiliency, law enforcement access to information, net neutrality, data localization requirements, and restrictions on social media or other content.</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the United States, federal, state, and local governments have enacted numerous privacy and data security laws, including data breach notification laws, Personal Information privacy laws, consumer protection laws (e.g., Section 5 of the FTC Act), and other similar laws (e.g., wiretapping laws).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few years, numerous U.S. states have enacted comprehensive privacy and data security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Personal Information, such as conducting data privacy impact assessments or requiring prior consent. These state laws allow for statutory fines for noncompliance. For example, the California Consumer Privacy Act of 2018 as amended by the California Privacy Rights Act of 2020, collectively ("CCPA") applies to Personal Information of consumers, business representatives, and employees who are California residents, and requires businesses to provide specific disclosures in privacy notices and honor requests of such individuals to exercise certain privacy rights related to their Personal Information. The CCPA allows for statutory fines for noncompliance (up to $7,988 per violation), as well as a private right of action for individuals affected by certain data breaches to recover significant statutory damages.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Similar laws have been enacted in numerous other states, and proposed at the federal and local levels, and we expect more states to pass similar laws in the future, which could increase our compliance costs and adversely affect our business.</w:t>
      </w:r>
    </w:p>
    <w:p>
      <w:pPr>
        <w:pStyle w:val="TextBody"/>
        <w:bidi w:val="0"/>
        <w:spacing w:lineRule="auto" w:line="268" w:before="0" w:after="240"/>
        <w:ind w:left="0" w:right="0" w:firstLine="540"/>
        <w:jc w:val="left"/>
        <w:rPr/>
      </w:pPr>
      <w:r>
        <w:rPr>
          <w:rFonts w:ascii="Times New Roman;serif" w:hAnsi="Times New Roman;serif"/>
          <w:b w:val="false"/>
          <w:color w:val="000000"/>
          <w:sz w:val="20"/>
        </w:rPr>
        <w:t>Outside of the United States, an increasing number of foreign laws and regulations apply to privacy and data security.</w:t>
      </w:r>
      <w:r>
        <w:rPr>
          <w:color w:val="000000"/>
        </w:rPr>
        <w:t xml:space="preserve"> </w:t>
      </w:r>
      <w:r>
        <w:rPr>
          <w:rFonts w:ascii="Times New Roman;serif" w:hAnsi="Times New Roman;serif"/>
          <w:b w:val="false"/>
          <w:color w:val="000000"/>
          <w:sz w:val="20"/>
        </w:rPr>
        <w:t xml:space="preserve">For example, the European Union’s General Data Protection Regulation (“EU GDPR”), the United Kingdom’s GDPR (“UK GDPR” and collectively “GDPR”), Brazil’s General Data Protection Law (Lei Geral de Proteção de Dados Pessoais) (Law No. 13,709/2018), Canada’s Personal Information Protection and Electronic Documents Act and Canada’s Anti-Spam Legislation, and China’s Personal Information Protection Law impose strict requirements for processing the Personal Information of individuals. Since we are under the supervision of relevant data protection authorities in both the EEA and the UK, we may be fined under both the EU GDPR and UK GDPR for the same breach. Penalties for certain breaches are up to the greater of EUR 20 million / GBP 17.5 million or 4% of our global annual turnover. In addition to fines, a breach of the GDPR may result in regulatory investigations, reputational damage, orders to cease or change our data processing activities, enforcement notices, assessment notices for a compulsory audit and/or civil claims (including class actions).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also become subject to new laws in the EU that regulate cybersecurity and non-personal information. For example, the European Union Data Act ("Data Act") became applicable in September 2025. The Data Act establishes new requirements for providers of data processing services (including cloud and SaaS) into the EU. The Data Act requires providers to enable customers to switch to other providers or on-premise solutions and to port customer data within certain timeframes; remove technical, contractual, and commercial obstacles to service switching (including switching charges); and include certain mandatory terms in customer contracts. Failure to comply with the Data Act can result in regulatory enforcement and fines, civil claims, and reputational damage. Depending on how all these laws are interpreted, we may have to adapt our business practices and products to comply with such obligations.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relation to such cross border transfers of personal data,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and/or take additional compliance and operational measures; and/or it could otherwise affect the manner in which we provide our services, and could adversely affect our business, operations and financial condition. In relation to data transfers from the EEA to the United States, the EU-US Data Privacy Framework (“DPF”) was approved by the European Commission in July 2023 as an effective EU GDPR data transfer mechanism to U.S. entities self-certified under the DPF. The UK Extension to the DPF followed in October 2023, as an effective UK GDPR data transfer mechanism to U.S. entities self-certified under the UK Extension to the DPF. </w:t>
      </w:r>
    </w:p>
    <w:p>
      <w:pPr>
        <w:pStyle w:val="TextBody"/>
        <w:bidi w:val="0"/>
        <w:spacing w:before="0" w:after="0"/>
        <w:ind w:left="0" w:right="0" w:firstLine="72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government regulation, privacy advocates, and industry groups may propose new and different self-regulatory standards that may apply to us. We may publish privacy policies, marketing materials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 We may also be bound by contractual obligations related to privacy and data security, and our efforts to comply with such obligations may not be successful. For example, certain privacy and data security laws, such as the GDPR and the CCPA, require our customers to impose specific contractual restrictions on their service providers. Additionally, in limited circumstances, under various privacy and data security laws and other obligations, we may be required to obtain certain consents to process Personal Information. Our inability or failure to do so could result in adverse consequences. Laws relating to the liability of providers of online services for activities of their users and other third parties are currently being tested by a number of claims, including actions based on invasion of privacy and other torts, unfair competition, copyright and trademark infringement, and other theories based on the nature and content of the materials searched, the ads posted, or the content provided by users. Outages of our platform may draw additional scrutiny or focused legislation from regulators.</w:t>
      </w:r>
    </w:p>
    <w:p>
      <w:pPr>
        <w:pStyle w:val="TextBody"/>
        <w:bidi w:val="0"/>
        <w:spacing w:before="0" w:after="0"/>
        <w:ind w:left="0" w:right="0" w:firstLine="540"/>
        <w:jc w:val="left"/>
        <w:rPr/>
      </w:pPr>
      <w:r>
        <w:rPr/>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United States or foreign jurisdictions may establish new laws or regulations regarding the Internet or online services. These new laws and regulations may affect our products and infrastructure, which could cause us to incur substantial costs to comply, expose us to regulatory scrutiny, criminal or civil liability, require us to fundamentally change our products or operations, or otherwise have an adverse effect on our business. </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Obligations relating to privacy and data security (and customers’ data privacy expectations) are evolving, increasingly stringent, and create uncertainty, and may result in increasing scrutiny. Such obligations may be subject to different applications and interpretations, and which may be inconsistent and conflicting among different jurisdictions. Preparing for and complying with these obligations require us to devote significant resources and may necessitate changes to our services, information technologies, systems, and practices and to those of any third parties that process Personal Information on our behalf. Because the interpretation and application of privacy and data security related obligations are uncertain, they may be interpreted or applied in a manner that is inconsistent with our existing data management practices or the functionality of our platform. We could be required to fundamentally change our business activities and practices or modify our software, which could have an adverse effect on our business. Future restrictions on the collection, use, sharing, or disclosure of data or additional requirements for express or implied consent of our customers, partners, or end users for the use and disclosure of such information could require us to incur additional costs or modify our platform, possibly in a material manner, and could limit our ability to develop new functionality.</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at times fail (or be perceived to have failed) in our efforts to comply with our privacy and data security obligations or other laws and regulations with respect to the Internet. Moreover, despite our efforts, our personnel or third parties on whom we rely may fail to comply with such obligations, which could negatively impact our business operations. </w:t>
      </w:r>
    </w:p>
    <w:p>
      <w:pPr>
        <w:pStyle w:val="TextBody"/>
        <w:bidi w:val="0"/>
        <w:spacing w:before="0" w:after="0"/>
        <w:ind w:left="0" w:right="0" w:firstLine="54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failure or perceived failure by us or third parties upon whom we rely to comply with obligations, relating to privacy and data security or the Internet may result in significant consequences including but not limited to reputational harm, governmental investigations and enforcement actions (e.g., investigations, fines, penalties, audits, inspections, and similar), litigation (including class-action claims), additional reporting requirements and/or oversight, bans on processing Personal Information, and orders to destroy or not use Personal Information.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Regulatory and legislative developments on the development and deployment of AI technologies could adversely affect our use of such technologies in our business operations or our products and services.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employees and personnel may increasingly use AI to perform their work, and our customers may deploy AI models or technologies using our platform, including because we develop products that support AI. However, the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framework for AI is rapidly evolving as many governments have passed and are likely to pass additional laws regulating the development and deployment of AI. For example, in the United States, the current executive administration’s approach to investment in, and regulation of, AI technologies has and is expected to continue to deviate from that of the previous administration and we will need to adapt to any changes that may result from such approach, including as the result of new or changing executive orders. For instance, the current administration issued an AI-focused Executive Order on December 11, 2025 entitled “Ensuring a National Policy Framework for Artificial Intelligence”. This order calls for federal standards and legislation that would preempt conflicting state AI regulations and create a federal litigation task force focused on challenging state AI laws in court. Thus, the current administration may continue to rescind other existing federal orders or administrative policies relating to AI, or may implement new executive orders or other rule making relating to AI in the future or challenge state laws regulating AI.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several jurisdictions around the globe, including in Europe and certain U.S. states, have proposed, enacted, or are considering laws governing the development and deployment of AI. For example, California enacted several new laws in 2024 and 2025 that regulate the use of AI technologies and provide consumers with additional protections around companies’ use of AI technologies, such as requiring companies to disclose certain uses of generative AI and provide further transparency about how such AI was developed.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Such additional regulations, the manner in which such new laws are interpreted, and uncertainty around whether they will survive legal challenges or how they will be enforced, may impact our ability to develop, use, procure and commercialize AI and machine learning technologies in the future.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jurisdictions around the globe, including the European Union are considering or have enacted their own AI-focused regulations. The EU Artificial Intelligence Act (“EU AI Act”), which establishes a risk-based governance framework for AI in the EU market, entered into force on August 1, 2024, and the majority of the substantive requirements are expected to apply from August 2, 2026, and though the European Commission has proposed an extension to December 2, 2027, such extension is not yet finalized or effective. This framework categorizes AI applications into risk categories such as “unacceptable”, “high”, “limited”, and “minimal”. AI applications in the “high” risk category are subject to new ex ante conformity assessments and other new requirements related to risk management, testing, technical documentation and robustness, data training and data governance and log recording, transparency, human oversight, and cybersecurity, while AI applications in the “limited” risk category are expected to become subject to new transparency and output labelling obligations. Fines for breaches of the EU AI Act can be up to 7% of worldwide annual turnover. The EU AI Act,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If our current or future AI applications fall within the “high” or “limited” risk categories, the increased cost and complexity to comply could adversely affect our business, financial condition and results of operations. We expect other jurisdictions will adopt similar laws.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existing laws and regulations have been and may continue to be interpreted in ways that could affect our use of AI, or could be rescinded or amended as new administrations take differing approaches to AI. As a result, implementation standards and enforcement practices are likely to remain uncertain for the foreseeable future, and we cannot yet completely determine the impact that existing or future laws, regulations, standards, decisions, or market perception of their requirements may have on our business. We may not always be able to anticipate how to respond to these laws or regulations, and this uncertainty may make it harder for us to conduct our business using AI, or could lead to regulatory fines or penalties, require us to change our business practices, retrain AI, or prevent or limit our use of AI. In addition, due to inaccuracies or flaws in the inputs, outputs, or logic of AI, AI models could be biased and could lead us to make decisions that could bias certain individuals (or classes of individuals), and adversely impact their rights, employment, and ability to obtain certain pricing, products, services, or benefits, which could expose us to reputational and competitive harm, customer loss, or legal liability. Furthermore, because AI models are highly complex and their internal logic often lacks transparency, our use of these technologies could result in unintended consequences or outcomes that differ significantly from our expectations or those of our customers. If we cannot use or are restricted in using AI technologies, or deployment of AI by our customers using our platform is affected, our business and results of operations may be harmed, and we may be at a competitive disadvantage.</w: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Activities of our customers or the content of their websites and other Internet properties may violate applicable laws and/or our terms of service and could subject us to lawsuits, regulatory enforcement actions, reputational harm, and/or liability in various jurisdictions.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Through our network, we provide a wide variety of products that enable our customers, including free account users, and our customers’ users to exchange information, conduct business, and engage in various online activities both domestically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internationally. Our customers, including free account users, and our customers’ users may use our network and products in violation of applicable law or in violation of our terms of service or the customer’s own policies. The existing laws relating to the liability of providers of online products and services for activities of their users are highly unsettled and in flux both within the United States and internationally. In the future we may be subject to lawsuits and/or liability arising from the conduct of our customers, including free account users, and our customers’ users. Additionally, the conduct of our customers, including free account users, and our customers’ users may subject us to regulatory enforcement actions, reputational harm, and/or liability. There can be no assurance that we will not face litigation in the future or that we will prevail in any litigation we may face. An adverse decision in one or more of these lawsuits could materially and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Several U.S. federal statutes may apply to us with respect to various activities of our customers, including free account users, including the Digital Millennium Copyright Act (“DMCA”), which provides recourse for owners of copyrighted material who believe their rights under U.S. copyright law have been infringed on the Internet; and section 230, enacted in the Communications Decency Act (“CDA”), which addresses blocking and screening of content on the Internet. Although these and other similar legal provisions provide limited protections from liability for service providers like us, those protections may not be interpreted in a way that applies to us, may be amended or removed in the future, or may not provide us with complete protection from liability claims. If we are found not to be protected by the safe harbor provisions of the DMCA, CDA, or other similar laws, or if we are deemed subject to laws in other countries that may not have the same protections or that may impose more onerous obligations on us, we may owe substantial damages and our brand, reputation, and financial results may be harmed.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Policies and laws in this area remain highly dynamic, and we may face additional theories of intermediary liability in various jurisdictions if these evolving laws begin to apply to our services. For example, policymakers in the United States have called for a re-examination of CDA section 230 and copyright law, and the EU has implemented the Digital Services Act ("DSA") and Digital Markets Act to impose additional legal requirements on certain service providers. The DSA sets out a framework of layered responsibilities targeted at different types of services, including requirements for certain service providers to act on orders against illegal content, publish reports on moderation of content, and update terms and conditions. Member States can also issue rules on penalties for violating the DSA, with fines of up to 6% of annual global revenue. In addition, in 2019, the EU approved a Copyright Directive that imposes additional obligations on service providers and failure to comply could give rise to significant liability. Other laws and pending legislation at the EU level (terrorist content, child sexual abuse materials) and in the UK (online harms), Australia (online harms), and India (Digital India Act), as well as other new laws like them, may also expose Internet companies like us to significant liability and could cause us to change our products, policies, and procedures. We may incur additional costs to comply with these new laws, which may have an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could be subject to claims for potential damages based on a significant number of online occurrences under statutory or other damage theories. Such claims may result in liability that exceeds our ability to pay or our insurance coverage. Even if potential claims against us are ultimately unsuccessful, defending against such claims could increase our legal expenses and divert management’s attention from the operation of our business, which could materially and adversely impact our business and results of operations.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sales to highly regulated organizations and government entities are subject to a number of challenges and risks.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sell to customers in highly regulated industries such as financial services, insurance, and healthcare, as well as to various governmental agency customers, including state and local agency customers, and foreign governmental agency customers.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comply with the revised requirements. Government demand and payment for our offerings are affected by public sector budgetary cycles and funding authorizations, with funding reductions or delays adversely affecting public sector demand for our offerings.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highly regulated and governmental entities may demand shorter contract terms or other contractual provisions that differ from our standard arrangements, including terms that can lead those customers to obtain broader rights in our offerings than would be standard. Such entities may have statutory, contractual, or other legal rights to terminate contracts with us or our partners due to a default or for other reasons, and any such termination may harm our business. In addition, these governmental agencies may be required to publish the rates we negotiate with them, which could harm our negotiating leverage with other potential customers and in turn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success of our business depends on customers’ continued and unimpeded access to our platform on the Internet.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must have Internet access in order to use our platform. Some Internet providers may take measures that affect their customers’ ability to use our platform, such as degrading the quality of the content we transmit over their lines, giving that content lower priority, giving other content higher priority than ours, blocking our content entirely, or attempting to charge their customers more for using our platform.</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2018, the Federal Communications Commission (the “FCC”), repealed the “network neutrality” rules adopted during the Obama Administration, which barred Internet service providers from blocking or slowing down access to online content, protecting services like ours from such interference. The 2018 decision was largely affirmed by the United States Court of Appeals for the District of Columbia Circuit, subject to a remand to consider several issues raised by parties that supported network neutrality, and in November 2020 the FCC affirmed its decision to repeal the rules. On October 19, 2023, the FCC adopted a notice of proposed rulemaking that would reinstate the network neutrality rules, and asked for comment on that proposal and on potential changes to those rules. On April 25, 2024, the FCC voted to restore the network neutrality rules which bring back a national standard for broadband reliability, security, and consumer protection. On August 1, 2024, the United States Court of Appeals for the Sixth Circuit granted a stay of the network neutrality rules. On January 2, 2025, the United States Court of Appeals for the Sixth Circuit struck down the FCC’s network neutrality rules, ruling that the FCC lacks statutory authority to impose its proposed net neutrality policies and therefore exceeded its authority in imposing the net neutrality regulations. We cannot predict the impact of such rules or the outcome of any legal challenges to such rules on our operations or business. A number of states have adopted or are adopting or considering legislation or executive actions that would regulate the conduct of broadband providers. For example, California, Vermont, and Maine have state-specific network neutrality laws in effect. In addition, the status of state regimes may be affected by the FCC’s action in its new network neutrality proceeding. We cannot predict whether any FCC order or other state initiatives will be enforced, modified, overturned, or vacated by legal action of the court, federal legislation, or the FCC.</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the extent network operators attempt to interfere with our platform, absent network neutrality rules, attempt to interfere with our services, extract fees from us to deliver our platform, or otherwise engage in discriminatory practices, our business could be adversely impacted. Within such a regulatory environment, we could experience discriminatory or anti-competitive practices that could impede our domestic and international growth, cause us to incur additional expense, or otherwise harm our business. At the same time, re-adoption of network neutrality rules could affect the services used by us and our customers by restricting the offerings made by Internet service providers or reducing their incentives to invest in their networks. Such actions could limit or reduce the quality of Internet access services and have an adverse impact on the quality of the services we provide to our customers.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anti-corruption, anti-bribery, anti-money laundering and similar laws, and non-compliance with such laws can subject us to criminal and/or civil liability and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the United States Foreign Corrupt Practices Act, the United States domestic bribery statute contained in 18 U.S.C. § 201, the United States Travel Act, the U.K. Bribery Act, and other anti-bribery and anti-money laundering laws in the countries in which we conduct activities. Anti-corruption and anti-bribery laws have been enforced aggressively in recent years and are interpreted broadly to generally prohibit companies and their employees and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platform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have policies and procedures to address compliance with such laws, we cannot assure you that all of our employees and agents will not take actions in violation of our policies and applicable laws, for which we may be ultimately held responsible. As we increase our international sales and business, our risks under these laws may increase.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Detecting, investigating, and resolving actual or alleged violations can require a significant diversion of time, resources, and attention from senior management. In addition, noncompliance with anti-corruption, anti-bribery, or anti-money laundering laws could subject us to whistleblower complaints, investigations, sanctions, settlements, prosecution or other enforcement actions, disgorgement of profits, significant fines, damages, other civil and criminal penalties or injunctions, suspension or debarment from contracting with certain persons, the loss of export privileges, reputational harm, adverse media coverage, and other collateral consequences. If any subpoenas or investigations are launched, or governmental or other sanctions are imposed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if we do not prevail in any possible civil or criminal litigation, our business could be harmed. In addition, responding to any action will likely result in a materially significant diversion of management’s attention and resources and significant defense costs and other professional fees. Enforcement actions and sanctions could further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Changes in our effective tax rate or tax liability may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effective tax rate could be adversely impacted by several factors, including:</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Changes in the relative amounts of income before taxes in the various jurisdictions in which we operate that have differing statutory tax rates;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tax laws, tax treaties, and regulations or the interpretation of them;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outcome of current and future tax audits, examinations, or administrative appeals;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Limitations or adverse findings regarding our ability to do business in some jurisdictions.</w:t>
      </w:r>
    </w:p>
    <w:p>
      <w:pPr>
        <w:pStyle w:val="TextBody"/>
        <w:bidi w:val="0"/>
        <w:spacing w:lineRule="auto" w:line="288" w:before="24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Should our effective tax rate rise, our business could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could be required to collect additional sales taxes or be subject to other tax liabilities that may increase the costs our clients would have to pay for our offering and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 increasing number of states have considered or adopted laws that attempt to impose tax collection obligations on out-of-state companies.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jurisdictions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Adverse tax laws or regulations could be enacted or existing laws could be applied to us, which could adversely affect our business and financial condition.</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operate, and are subject to taxes, in the United States and numerous other jurisdictions throughout the world. The U.S. federal, state, local, or non-U.S. international tax laws on income, sales, use, indirect, or other tax laws, statutes, rules, regulations, or ordinances on multinational corporations to which we are subject or under which we operate are unsettled in certain respects and may be subject to significant change. For example, many countries in Europe, as well as a number of other countries and organizations, including the Organization for Economic Cooperation and Development and the European Commission, have recently proposed, recommended, or (in the case of countries) enacted changes to existing tax laws or new tax laws that could significantly increase our tax obligations in the countries where we do business or require us to change the manner in which we operate our business. These proposals, recommendations and enactments include changes to the existing framework in respect of income taxes, as well as new types of non-income taxes (such as taxes based on a percentage of revenue or taxes applicable to digital services), which could apply to our business. These contemplated tax initiatives, if finalized and adopted by countries, may ultimately impact our effective tax rate and could adversely affect our sales activity resulting in a negative impact on our operating results and cash flows.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existing tax laws, statutes, rules, regulations, or ordinances could be interpreted, modified, or applied adversely to us (possibly with retroactive effect), which could require us to pay additional tax amounts, fines or penalties, and interest for past amounts. The additional tax obligations could relate to our taxes or obligations to report or withhold on customer taxes. We could take steps to collect customer related taxes, but if we are unsuccessful in collecting such taxes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customers, we could be held liable for such costs, thereby adversely impacting our operating results and cash flows. Further, if our customers must pay additional fines or penalties, it could adversely affect demand for our services.</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Legislation enacted in 2017 informally titled the “Tax Act” significantly revised the Internal Revenue Code of 1986, as amended (the “Code”). In 2022, the Inflation Reduction Act of 2022 (the “IRA”) was enacted, which includes provisions that impact the U.S. federal income taxation of corporations, including imposing a minimum tax on the book income of certain large corporations and an excise tax on certain corporate stock repurchases that is imposed on the corporation repurchasing such stock. On July 4, 2025, the One Big Beautiful Bill Act ("OBBBA"), was enacted in the U.S., which includes significant changes to federal tax law and other regulatory provisions that may impact us. Future legislation or regulatory guidance, including under the OBBBA, Tax Act or the IRA, or other executive or Congressional actions in the United States may occur, and could ultimately increase or lessen the impact of such taxes on our business and financial condition. Stockholders should consult with their legal and tax advisors with respect to this legislation and the potential tax consequences of investing in or holding our common stock.</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to offset future taxable income may be subject to certain limitations.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net operating loss (“NOL”) carryforwards could expire unused and be unavailable to offset future income tax liabilities because of their limited duration or because of restrictions under United States tax law. For U.S. federal income tax purposes, our NOLs generated in tax years beginning before January 1, 2018 are permitted to be carried forward for 20 years. Our U.S. federal NOLs generated in tax years beginning after December 31, 2017 may be carried forward indefinitely, but our use of such U.S. federal NOLs generally is limited to 80% of such year’s taxable income, computed without regard to the NOL deduction and certain other deductions. It is uncertain if, and to what extent, various states will conform to these limitations on the use of U.S. federal NOLs.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under Section 382 of the Code, a corporation that undergoes an “ownership change” may be subject to limitations on its ability to utilize its pre-change NOLs to offset future taxable income. A detailed analysis was performed through December 31, 2021 for us to determine whether an ownership change under Section 382 of the Code has occurred, and ownership changes were identified in 2013 and 2020. Another detailed analysis was completed through December 31, 2024 and no further ownership changes were identified. As a result of these analyses, we concluded that there is no longer any limitation on our utilization of such NOLs. A detailed analysis was performed for the period March 1, 2014 to October 1, 2020 for Signal Sciences to determine whether an ownership change under Section 382 of the Code has occurred and an ownership change was identified in 2020. As a result of this analysis, we concluded that there is no longer any limitation on our utilization of the NOLs of Signal Sciences. We may experience ownership changes in the future as a result of subsequent shifts in our stock ownership, some of which shifts are outside our control. Furthermore, our ability to utilize NOLs of companies that we have acquired or may acquire in the future may be subject to limitations. For these reasons, we may not be able to utilize a material portion of the NOLs, even if we were to achieve profitability.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international operations may subject us to potential adverse tax consequences.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expanding our international operations and staff to better support our growth into international markets. Our corporate structure and associated transfer pricing policies contemplate future growth into the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that could impair our ability to compete in international markets or subject us to liability if we violate such controls.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are subject to United States export controls, including the Export Administration Regulations administered by the United States Commerce Department, and economic sanctions administered by the Office of Foreign Assets Control of the United States Treasury Department (“OFAC”). We incorporate encryption technology into certain of our products. These encryption products and the underlying technology may be exported outside of the United States only with the required export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authorizations. Other countries also regulate the import and export of certain encryption products and technology through import and export licensing requirements, and have enacted laws that could limit our ability to distribute our products or could limit our customers’ ability to implement our products in those countries. Additionally, export restrictions imposed on Russia, Belarus, and restricted regions of Ukraine in connection with the military conflict involving Ukraine specifically restrict the export of encryption software to these locations.</w:t>
      </w:r>
    </w:p>
    <w:p>
      <w:pPr>
        <w:pStyle w:val="TextBody"/>
        <w:bidi w:val="0"/>
        <w:spacing w:lineRule="auto" w:line="268" w:before="24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our activities are subject to United States economic sanctions laws and regulations that generally prohibit the direct or indirect exportation or provision of products and services to countries, governments, and individuals and entities targeted by United States embargoes or sanctions, except to the extent authorized by OFAC or exempt from sanctions. For example, following Russia’s invasion of Ukraine, the United States and other countries imposed economic sanctions and severe export control restrictions against Russia, Belarus, and restricted regions of Ukraine, and the United States and other countries could impose wider sanctions and export restrictions and take other actions should the conflict further escalate. Obtaining the necessary export license or other authorization for a particular sale may not always be possible, and, even if the export license is ultimately granted, the process may be time-consuming and may result in the delay or loss of sales opportunities. Violations of United States sanctions or export control laws can result in significant fines or penalties, and possible incarceration for responsible employees and managers could be imposed for criminal violations of these laws.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our products or future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From time to time, various governmental agencies have proposed additional regulation of encryption products and technology, including the escrow and government recovery of private encryption keys. Any change in export or import regulations, economic sanctions or related legislation, increased export and import controls,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exposed to fluctuations in currency exchange rates.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sales contracts are primarily denominated in U.S. dollars, and therefore a majority of our revenue is not subject to foreign currency revaluation. However, a strengthening of the U.S. dollar could increase the real cost of our platform to our customers outside of the United States, which could cause an increase in requests to renegotiate contracts and adversely affect our operating results. Foreign currency exchange rates have recently been and could continue to be subject to increased volatility. In addition, our international sales in the future could become foreign currency denominated sales, increasing our foreign currency risk. In addition, an increasing portion of our operating expenses is incurred outside the United States. These operating expenses are denominated in foreign currencies and are subject to fluctuations due to changes in foreign currency exchange rates. As these expenses become more material and if there are significant fluctuations in foreign currency exchange rates, this could result in significant fluctuations in our operating expenses and results of operations, which could harm our business. </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Unfavorable conditions in our industry or the global economy, rising inflation or reductions in information technology spending could harm our business.*</w:t>
      </w:r>
    </w:p>
    <w:p>
      <w:pPr>
        <w:pStyle w:val="TextBody"/>
        <w:bidi w:val="0"/>
        <w:spacing w:lineRule="auto" w:line="268" w:before="0" w:after="240"/>
        <w:ind w:left="0" w:right="0" w:firstLine="540"/>
        <w:jc w:val="left"/>
        <w:rPr/>
      </w:pPr>
      <w:r>
        <w:rPr>
          <w:rFonts w:ascii="Times New Roman;serif" w:hAnsi="Times New Roman;serif"/>
          <w:b w:val="false"/>
          <w:color w:val="000000"/>
          <w:sz w:val="20"/>
        </w:rPr>
        <w:t xml:space="preserve">Global economic conditions have impacted, and will likely continue to impact, businesses around the world, including ours. Inflation and other macroeconomic pressures in the U.S. and the global economy such as rising interest rates, banking instability and recession fears are creating a complex and challenging environment for us and our customers. Ongoing military conflicts and resulting geopolitical instability have had negative impacts on the global economy, have contributed to elevated energy prices, and created uncertainty in the global capital markets, and are expected to have further global economic consequences, including disruption of the global supply chain and energy markets. Our results of operations may vary based on the impact of changes in our industry or the global economy on us or our customers and potential customers. Current or future economic uncertainties or downturns could adversely affect our business and results of operations. Global capital markets experienced and continue to experience extreme volatility. While our ability to do business has not been materially affected, the global restrictive measures that have been taken in response to such events, and could be taken in the future, have created significant global economic uncertainty that could prolong and escalate tensions and expand the geopolitical conflict, which could have a lasting impact on regional and global economies, any of which could harm our business and operating results. </w:t>
      </w:r>
      <w:r>
        <w:rPr>
          <w:rFonts w:ascii="Times New Roman;serif" w:hAnsi="Times New Roman;serif"/>
          <w:b w:val="false"/>
          <w:color w:val="000000"/>
          <w:sz w:val="20"/>
          <w:shd w:fill="FFFFFF" w:val="clear"/>
        </w:rPr>
        <w:t>Further, due to political uncertainty and international military actions, we and the third parties upon which we rely may be vulnerable to a heightened risk of security breaches, computer malware, social-engineering attacks, supply-chain attacks, software bugs, server malfunctions, software or hardware failures, loss of data or other information technology assets, and other cyber-attacks, including attacks that could materially disrupt our systems and operations, supply chain, and ability to do business</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These attacks are expected to continue to occur in the future. </w:t>
      </w:r>
      <w:r>
        <w:rPr>
          <w:rFonts w:ascii="Times New Roman;serif" w:hAnsi="Times New Roman;serif"/>
          <w:b w:val="false"/>
          <w:color w:val="000000"/>
          <w:sz w:val="20"/>
        </w:rPr>
        <w:t xml:space="preserve">Furthermore, inflation rates in the U.S. in the past few years have increased to levels not seen in decades, prompting the Federal Reserve to increase interest rates. Negative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in the general economy both in the United States and abroad, including conditions resulting from changes in gross domestic product growth, financial and credit market fluctuations, currency and interest rate fluctuations, political turmoil, actual or potential government shutdowns, natural catastrophes, warfare, public health issues, and terrorist attacks on the United States, Europe, the Asia Pacific region, or elsewhere, could cause a downturn or recession and a decrease in business investments, including spending on information technology, which would harm our business. In addition, international trade disputes may disrupt our supply chain and increase pricing of the equipment components we use to operate our network and provide products to our customers. For example, the United States has imposed or indicated an intention to impose tariffs on certain countries which may lead to retaliatory actions such as counter-tariffs and increase production costs and disruptions in our supply chain. Further, it is possible that government policy changes and related uncertainty about policy changes could increase market volatility. To the extent that our platform and our products are perceived by customers and potential customers as too costly, or difficult to deploy or migrate to, our revenue may be disproportionately affected by delays or reductions in general information technology spending. Also, our competitors, many of whom are larger and have greater financial resources than we do, may respond to market conditions by lowering prices and attempting to lure away our customers. In addition, the increased pace of consolidation in certain industries may result in reduced overall spending on our products. We cannot predict the timing, strength, or duration of any economic slowdown, instability, or recovery, generally or within any particular industry.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could incur substantial costs in protecting or defending our intellectual property and proprietary rights, and any failure to adequately protect our rights could impair our competitive position and we may lose valuable assets, experience reduced revenue, and incur costly litigation to protect our rights.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is dependent, in part, upon protecting our intellectual property and proprietary technology. We rely on a combination of patents, copyrights, trademarks, service marks, trade secret laws, and contractual provisions in an effort to establish and protect our intellectual property and proprietary rights. However, the steps we take to protect our intellectual property may be inadequate. While we have issued patents in the United States and other countries and have additional pending patent applications, we may be unable to obtain patent protection for the technology covered in our patent applications or enforce such rights. In addition, any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There can be no guarantee that others will not independently develop similar products, duplicate any of our products, or design around our patents. Furthermore, legal standards relating to the validity, enforceability, and scope of protection of intellectual property rights are uncertain and vary by jurisdiction. Despite our precautions, it may be possible for unauthorized third parties to copy our products and use information that we regard as proprietary or confidential to create products and services that compete with ours. Some license provisions protecting against unauthorized use, copying, transfer, and disclosure of our products may be unenforceable. To the extent we expand our international activities, our exposure to unauthorized copying and use of our products, intellectual property, and proprietary information may increase.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intellectual property, and proprietary information. Further, these agreements do not prevent our competitors or partners from independently developing technologies that are substantially equivalent or superior to our platform.</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order to monitor and protect our intellectual property rights, we may be required to spend significant resources. Litigation may be necessary to enforce our intellectual property rights and to protect our trade secrets and other confidential information. Intellectual property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intellectual property and proprietary technology against unauthorized copying or use, as well as any costly litigation or diversion of our management’s attention and resources, could, among other things, delay further sales or the implementation of our platform, impair the functionality of our platform, delay introductions of new products, result in our substituting inferior or more costly technologies into our products, or injure our reputation. We will not be able to protect our intellectual property if we are unable to enforce our rights or if we do not detect unauthorized use of our intellectual property. Moreover, policing unauthorized use of our technologies, trade secrets, and intellectual property may be difficult, expensive, and time-consuming, particularly in jurisdictions outside of the United States where the laws may not be as protective of intellectual property rights as those in the United States and where mechanisms for enforcement of intellectual property rights may be weak or inadequate. If we fail to meaningfully protect our intellectual property and proprietary rights, our business and competitive advantage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there is uncertainty surrounding the applications of intellectual property laws to AI. Intellectual property ownership and rights (including copyright) and the remedies of rights owners surrounding the use and development of AI have not been fully addressed by courts or other federal or state laws or regulations, and our use of AI or adoption of AI into our products and services may result in disputes with respect to ownership of intellectual property, or exposure to claims of copyright or other intellectual property infringement or misappropriation. Such claims, regardless of merit, could lead to costly litigation, significant settlements, or injunctions forcing us to cease using or redesign AI features.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in the future be subject to legal proceedings and litigation relating to intellectual property disputes, which are costly and may subject us to significant liability and increased costs of doing business. Our business may suffer if it is alleged or determined that our technology infringes the intellectual property rights of others.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industry is characterized by the existence of a large number of patents, copyrights, trademarks, trade secrets, and other intellectual property rights. From time to time, we may be required to defend against litigation claims by other companies based on allegations of infringement or other violations of their intellectual property rights. Many of these companies have the capability to dedicate substantially greater resources than us to enforce their intellectual property rights and to defend claims that may be brought against them. Therefore, we may not be able to withstand any such third-party intellectual property claims. In addition, we may be required to defend against litigation claims by patent holding companies or other adverse patent owners that have no relevant product revenue. If a third party is able to obtain an injunction preventing us from accessing such third-party intellectual property rights, or if we cannot license or develop technology for any infringing aspect of our business, we would be forced to limit or stop selling products impacted by the claim or injunction or cease business activities covered by such intellectual property, and may be unable to compete effectively. Any inability to license third-party technology in the future would have an adverse effect on our business and operating results, and would adversely affect our ability to compete. We may also be contractually obligated to indemnify our customers or other third parties in the event of a claim of infringement of a third party’s intellectual property rights. We receive demands for such indemnification from time to time and expect to continue to do so. Responding to and defending such claims, regardless of their merit, can be time consuming, costly, distracting to our management and damage our reputation, business, and brand.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Lawsuits are time-consuming and expensive to resolve and they divert management’s time and attention. Although we carry insurance, our insurance may not cover potential claims of this type or may not be adequate to indemnify us for all liability that may be imposed. We cannot predict the outcome of lawsuits, and the results of any such actions may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Elements of our platform and our products use open source software, which may restrict the functionality of our platform and our products, or require that we release the source code of certain products subject to those licenses.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platform incorporates software licensed under open source licenses.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manner in which these licenses may be interpreted and enforced is therefore subject to some uncertainty. We rely on multiple software programmers to design our proprietary technologies, and because we do not exercise complete control over the development efforts of our programmers, we may not be aware of possible unauthorized actions. We cannot be certain that our programmers have not incorporated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platform and technologies and materially and adversely affect our ability to sustain and grow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Provisions in various agreements potentially expose us to substantial liability for intellectual property infringement, data protection, and other losses.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agreements with customers and other third parties generally include provisions under which we are liable or agree to indemnify them for losses suffered or incurred as a result of claims of intellectual property infringement, data protection, damages caused by us to property or persons, or other liabilities relating to or arising from our platform, services, or other contractual obligations. Some of these agreements provide for uncapped liability for which we would be responsible, and some provisions survive termination or expiration of the applicable agreement. Large liability payments could harm our business, results of operations, and financial condition. Although we often contractually limit our liability with respect to such obligations, we may still incur substantial liability related to them, and in case of an intellectual property infringement indemnification claim, we may be required to cease use of certain functions of our platform as a result of any such claims. Any dispute with a customer with respect to such obligations could have adverse effects on our relationship with that customer,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existing customers, and new customers and harm our business. Even when we have contractual protections against such customer claims, we may choose to honor a customer’s request for indemnification or otherwise seek to maintain customer satisfaction by issuing customer credits, assisting our customer in defending against claims, or in other ways.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stock price is volatile, and the value of our common stock may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Historically, our stock price has been volatile. During the year ended December 31, 2025, our stock traded as high as $12.59 per share and as low as $4.65 per share, and from January 1, 2026 to May 1, 2026, our stock price has ranged from $34.82 per share to $7.87 per share. The market price of our common stock may continue to be highly volatile and may fluctuate or decline substantially as a result of a variety of factors, some of which are beyond our control or are related in complex ways, including:</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actual or anticipated fluctuations in our financial condition and operating results;</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decreased usage by one or more of our customers;</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variance in our financial performance from expectations of securities analysts or investors;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the pricing we offer our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our projected operating and financial results;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laws or regulations applicable to our operations, platform or related products;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announcements by us or our competitors of significant business developments, acquisitions, or new offerings;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publicity associated with network outages and problems;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involvement in litigation;</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senior management or key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trading volume of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equity or debt financings;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the anticipated future size and growth rate of our market; and</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general political, social, economic, regulatory, and market conditions, in both domestic and our foreign markets, including the effects of global events like the conflicts between Russia and Ukraine and in the Middle East, on the global economy, labor shortages, supply chain disruptions, inflation, increased interest rates, banking instability, and slow or negative growth of our markets.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Broad market and industry fluctuations, as well as general economic, political, social, regulatory, and market conditions, may impact the market price of our common stock. For example, in connection with the COVID-19 pandemic, we initially experienced an increase in the usage of our platform, and as a result, the trading price of our common stock significantly increased. Over the past few years, our stock price has declined significantly. There are no assurances that the trading price of our common stock will recover to prior levels. Moreover, the trading price of our common stock could experience further volatility and declines. These fluctuations could cause investors to lose all or part of their investment in our common stock.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extreme price and volume fluctuations in the stock markets have affected and continue to affect many technology companies’ stock prices, including ours. Often, stock prices have fluctuated in ways unrelated or disproportionate to companies’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past, companies that have experienced volatility in the market price of their securities have been subject to securities class action litigation. We are currently and may be the target of this type of litigation in the future, which could result in substantial costs and divert our management’s attention.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have the ability to raise the funds necessary to repay or settle conversions of the Notes in whole or in part in cash or to repurchase the Notes upon a fundamental change, and our future debt may contain limitations on our ability to pay cash upon conversion or repurchase of the Notes.*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March 2021, we entered into a purchase agreement for the sale of an aggregate of $948.8 million principal amount of our 0% convertible senior notes due 2026 (the “2026 Notes”). During the year ended December 31, 2022, we entered into separate, privately negotiated transactions with certain holders of the 2026 Notes to repurchase approximately $235.0 million aggregate outstanding principal amount of the 2026 Notes for an aggregate cash repurchase price of approximately $176.4 million. During the year ended December 31, 2024, we entered into several separate, privately negotiated transactions with certain holders of the 2026 Notes to exchange $157.9 million of aggregate principal amount of the 2026 Notes for $150.0 million aggregate principal amount of 7.75% convertible senior unsecured notes due in 2028 (the “2028 Notes”). In December 2025, we entered into a purchase agreement for the sale (the “Offering”) of $160.0 million principal amount of our 0% convertible unsecured senior notes due 2030 (the “2030 Notes”, together with the 2028 Notes, the “Notes”). In connection with the Offering, the initial purchasers exercised in full their option to purchase an additional $20.0 million principal amount of the 2030 Notes, resulting in the issuance of an aggregate principal amount of $180.0 million of the 2030 Notes. We used a portion of the net proceeds from the offering of the 2030 Notes to repurchase approximately $150.0 million aggregate principal amount of the 2026 Notes for an aggregate cash repurchase price of approximately $148.9 million. During the quarter ended March 31, 2026, the 2026 Notes matured and were repaid in full. The 2030 Notes incurred transaction costs of $6.7 million which were recorded as contra-liability and represent the difference between the principal and carrying amount of the 2030 Notes. The 2028 Notes and the 2030 Notes will mature on June 1, 2028 and December 15, 2030, respectively, unless earlier converted or repurchased. Holders of the Notes will have the right, subject to certain conditions and limited exceptions, to require us to repurchase all or a portion of their Notes upon the occurrence of a fundamental change at a fundamental change repurchase price equal to 100% of the principal amount of the Notes to be repurchased, plus accrued and unpaid special interest, if any, as described in the indenture governing the Notes. If our stock price is lower than the conversion price of the Notes on maturity, the holders of our Notes will likely not convert and we will have to repay those Notes in cash. In addition, upon conversion of the Notes, unless we elect to deliver solely shares of our common stock to settle such conversion (other than paying cash in lieu of delivering any fractional share), we will be required to make cash payments in respect of the Notes being converted as described in the indenture governing the Notes. However, we may not have enough available cash or be able to obtain financing at the time we are required to repay or make repurchases of Notes surrendered therefor or pay cash with respect to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 default under the indenture. A default under the indenture governing the Notes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 Such acceleration could result in our bankruptcy. In a bankruptcy, the holders of the Notes would have a claim to our assets that is senior to the claims of our equity holders.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Conversion of the Notes may dilute the ownership interest of our stockholders or may otherwise depress the price of our common stock.</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conversion of some or all of the Notes will dilute the ownership interests of our stockholders. Upon conversion of the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Servicing our debt requires a significant amount of cash, and we may not have sufficient cash flow from our business to pay our substantial debt.</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make scheduled payments of the principal of or to refinance our indebtedness, including any loans incurred under the Credit Agreement and the Notes, depends on our future performance, which is subject to economic, financial, competitive, and other factors beyond our control. Our business may not generate cash flow from operations in the future sufficient to service our debt, including any loans incurred under the Credit Agreement and the Notes, and make necessary capital expenditures. If we are unable to generate such cash flow, we may be required to adopt one or more alternatives,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selling assets, refinancing or restructuring debt or obtaining additional equity capital on terms that may be onerous or highly dilutive. Our ability to refinance or restructure our indebtedness will depend on the capital markets and our financial condition at such time, and if the financial markets become difficult or costly to access, including due to rising interest rates, fluctuations in foreign currency exchange rates or other changes in economic conditions, our ability to raise additional capital may be negatively impacted. We may not be able to engage in any of these activities or engage in these activities on desirable terms, which could result in a default on our debt obligations. Even if we can refinance or restructure our debt, the revised terms may harm our business.</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Regulatory actions and other events may adversely affect the trading price and liquidity of the Notes.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that many investors in, and potential purchasers of, the Notes may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Any governmental or regulatory action that restricts the ability of investors in, or potential purchasers of, the Notes to effect short sales of our common stock, borrow our common stock or enter into swaps on our common stock could adversely affect the trading price and the liquidity of the Notes.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conditional conversion feature of the Notes, if triggered, may adversely affect our financial condition and operating results.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the conditional conversion feature of the Notes is triggered, holders of Notes will be entitled to convert their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 which could impact our existing covenants and inhibit our ability to raise future debt. For additional information regarding the conditional conversion feature of the Notes, see Note 8, Debt Instruments.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Future sales and issuances of our capital stock or rights to purchase capital stock could result in dilution of the percentage ownership of our stockholders and could cause the price of our common stock to decline.</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sales and issuances of our capital stock or rights to purchase our capital stock could result in substantial dilution to our existing stockholders. For example, we may issue approximately 19.8 million shares of our common stock if the Notes convert, subject to customary anti-dilution adjustments. In addition, we may need to secure additional funds for our existing debt obligations, including repayment of the Notes. We may sell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common stock.</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Future sales of our common stock in the public market could cause the market price of our common stock to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have outstanding a total of 156.4 million shares of common stock. All of our outstanding shares are eligible for sale in the public market, other than shares and options held by directors, executive officers, and other affiliates that are subject to volume limitations under Rule 144 of the Securities Act, various vesting agreements, and shares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pPr>
      <w:r>
        <w:rPr>
          <w:rFonts w:ascii="Times New Roman;serif" w:hAnsi="Times New Roman;serif"/>
          <w:b w:val="false"/>
          <w:color w:val="000000"/>
          <w:sz w:val="20"/>
        </w:rPr>
        <w:t>must be sold under an effective registration statement.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r>
        <w:rPr>
          <w:color w:val="000000"/>
        </w:rPr>
        <w:t xml:space="preserve"> </w:t>
      </w:r>
      <w:r>
        <w:rPr>
          <w:rFonts w:ascii="Times New Roman;serif" w:hAnsi="Times New Roman;serif"/>
          <w:b w:val="false"/>
          <w:color w:val="000000"/>
          <w:sz w:val="20"/>
        </w:rPr>
        <w:t>The 2028 Notes and the 2030 Notes will also become convertible at the option of the holders, subject to certain limitations and restrictions, prior to June 1, 2028 and December 15, 2030, respectively.</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sales also could cause the trading price of our common stock to decline and make it more difficult for investors to sell shares of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unfavorable or inaccurate research about our business, our common stock price and trading volume could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stock price and trading volume are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depends,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Any determination to pay cash dividends in the future will be at the discretion of our board of directors and are restricted by the terms of our Credit Agreement. The Credit Agreement permits the payment of cash dividends so long as, after giving effect to any such dividend, (i) we maintain a consolidated adjusted quick ratio of at least 1.50 to 1.00, (ii) if our consolidated adjusted quick ratio is less than 1.75 to 1.00, our revenue growth rate for the trailing four fiscal quarters is at least 5%, and (iii) no event of default is continuing or would result under the Credit Agreement. In addition, the Credit Agreement permits us to pay up to $10.0 million in cash dividends per fiscal year so long as, after giving effect to any such dividend, no event of default is continuing or would result under the Credit Agreement, including a consolidated adjusted quick ratio of at least 1.25 to 1.00. Accordingly, investors must rely on sales of their common stock after price appreciation, which may never occur, as the only way to realize any future gains on their investments.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incur significant costs as a result of operating as a public company, and our management is required to devote substantial time to compliance with our public company responsibilities and corporate governance practices.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public company, we incur significant legal, accounting, and other expenses. The Sarbanes-Oxley Act, the Dodd-Frank Wall Street Reform and Consumer Protection Act, the listing requirements of Nasdaq, and other applicable securities rules and regulations impose various requirements on public companies. As a result, our management and other personnel have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incur as a public company or the timing of such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Anti-takeover provisions in our charter documents, the indenture governing the Notes, and under Delaware law could make an acquisition of our company more difficult, limit attempts by our stockholders to replace or remove our current board of directors or management and limit the market price of our common stock.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and amended and restated bylaws may have the effect of delaying or preventing a change of control or changes in board of directors or our management. Our amended and restated certificate of incorporation and amended and restated bylaws include provisions that:</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specify that special meetings of our stockholders can be called only by our board of directors, the chairperson of our board of directors, or our chief executive officer;</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establish that our board of directors is divided into three classes, with each class serving three-year staggered terms;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prohibit cumulative voting in the election of directors;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provide that our directors may be removed for cause only upon the vote of the holders of a majority of our outstanding shares of common stock;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provide that vacancies on our board of directors may be filled only by a majority of directors then in office, even though less than a quorum.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the market price of our common stock to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provisions in the indenture governing the Notes may make it more difficult or expensive for a third party to acquire us. For example, the indenture governing the Notes will require us, except as described therein, to repurchase the Notes for cash upon the occurrence of a fundamental change and, in certain circumstances, to increase the conversion rate for a holder that converts its notes in connection with a make-whole fundamental change. A takeover of us may trigger the requirement that we repurchase the Notes, increase the conversion rate, or both, which could make it costlier for a potential acquirer to engage in such takeover. Such additional costs may have the effect of delaying or preventing a takeover of us that would otherwise be beneficial to investors.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any action asserting a breach of fiduciary duty;</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any action asserting a claim against us arising under the Delaware General Corporation Law,</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amended and restated certificate of incorporation, or our amended and restated bylaws;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pPr>
      <w:r>
        <w:rPr>
          <w:rFonts w:ascii="Times New Roman;serif" w:hAnsi="Times New Roman;serif"/>
          <w:b/>
          <w:color w:val="000000"/>
          <w:sz w:val="20"/>
        </w:rPr>
        <w:t>Item 2. Unregistered Sales of Equity Securities and Use of Proceeds</w:t>
      </w:r>
      <w:r>
        <w:rPr>
          <w:color w:val="000000"/>
        </w:rPr>
        <w:t>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24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Trading Arrangements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Company’s last fiscal quarter, the Company’s directors and officers (as defined in Rule 16a-1(f) under the Exchange Act) adopted, terminated, or modified the contracts, instructions or written plans for the purchase or sale of the Company’s securities set forth in the table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8"/>
        <w:gridCol w:w="379"/>
        <w:gridCol w:w="380"/>
        <w:gridCol w:w="294"/>
        <w:gridCol w:w="294"/>
        <w:gridCol w:w="298"/>
        <w:gridCol w:w="417"/>
        <w:gridCol w:w="417"/>
        <w:gridCol w:w="418"/>
        <w:gridCol w:w="272"/>
        <w:gridCol w:w="272"/>
        <w:gridCol w:w="272"/>
        <w:gridCol w:w="272"/>
        <w:gridCol w:w="272"/>
        <w:gridCol w:w="277"/>
        <w:gridCol w:w="603"/>
        <w:gridCol w:w="603"/>
        <w:gridCol w:w="605"/>
        <w:gridCol w:w="675"/>
        <w:gridCol w:w="675"/>
        <w:gridCol w:w="677"/>
        <w:gridCol w:w="350"/>
        <w:gridCol w:w="350"/>
        <w:gridCol w:w="505"/>
      </w:tblGrid>
      <w:tr>
        <w:trPr/>
        <w:tc>
          <w:tcPr>
            <w:tcW w:w="62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Type of Trading Arrangement</w:t>
            </w:r>
          </w:p>
        </w:tc>
        <w:tc>
          <w:tcPr>
            <w:tcW w:w="181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Name and Position</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Action</w:t>
            </w:r>
          </w:p>
        </w:tc>
        <w:tc>
          <w:tcPr>
            <w:tcW w:w="12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Adoption/ Termination</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Date</w:t>
            </w:r>
          </w:p>
        </w:tc>
        <w:tc>
          <w:tcPr>
            <w:tcW w:w="8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 10b5-1*</w:t>
            </w:r>
          </w:p>
        </w:tc>
        <w:tc>
          <w:tcPr>
            <w:tcW w:w="8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Non-</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 10b5-1**</w:t>
            </w:r>
          </w:p>
        </w:tc>
        <w:tc>
          <w:tcPr>
            <w:tcW w:w="1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 Shares of Class A Common Stock to be Sold</w:t>
            </w:r>
          </w:p>
        </w:tc>
        <w:tc>
          <w:tcPr>
            <w:tcW w:w="20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 Shares of Class A Common Stock to be Purchased</w:t>
            </w:r>
          </w:p>
        </w:tc>
        <w:tc>
          <w:tcPr>
            <w:tcW w:w="12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13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B. Paisley (1)</w:t>
            </w:r>
          </w:p>
        </w:tc>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2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2/26/2026</w:t>
            </w:r>
          </w:p>
        </w:tc>
        <w:tc>
          <w:tcPr>
            <w:tcW w:w="8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color w:val="000000"/>
              </w:rPr>
            </w:pPr>
            <w:r>
              <w:rPr>
                <w:color w:val="000000"/>
              </w:rPr>
              <w:t>—</w:t>
            </w:r>
          </w:p>
        </w:tc>
        <w:tc>
          <w:tcPr>
            <w:tcW w:w="1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c>
          <w:tcPr>
            <w:tcW w:w="20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color w:val="000000"/>
              </w:rPr>
            </w:pPr>
            <w:r>
              <w:rPr>
                <w:color w:val="000000"/>
              </w:rPr>
              <w:t>—</w:t>
            </w:r>
          </w:p>
        </w:tc>
        <w:tc>
          <w:tcPr>
            <w:tcW w:w="1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3/31/2027</w:t>
            </w:r>
          </w:p>
        </w:tc>
      </w:tr>
      <w:tr>
        <w:trPr/>
        <w:tc>
          <w:tcPr>
            <w:tcW w:w="10205" w:type="dxa"/>
            <w:gridSpan w:val="24"/>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Contract, instruction or written plan intended to satisfy the affirmative defense conditions of Rule 10b5-1(c) under the Exchange Act.</w:t>
            </w:r>
          </w:p>
        </w:tc>
      </w:tr>
      <w:tr>
        <w:trPr/>
        <w:tc>
          <w:tcPr>
            <w:tcW w:w="10205" w:type="dxa"/>
            <w:gridSpan w:val="24"/>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“Non-Rule 10b5-1 trading arrangement” as defined in Item 408(c) of Regulation S-K under the Exchange Act.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On February 26, 2026, Christopher B. Paisley, a member of the Company's Board of Directors entered into a 10b5-1 Plan, providing for the potential sale of up to 20,000 shares of the Company's Common Stock. The plan expires on March 31, 2027, or upon the earlier completion of all authorized transactions under the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2"/>
        <w:gridCol w:w="232"/>
        <w:gridCol w:w="233"/>
        <w:gridCol w:w="109"/>
        <w:gridCol w:w="109"/>
        <w:gridCol w:w="109"/>
        <w:gridCol w:w="1850"/>
        <w:gridCol w:w="1709"/>
        <w:gridCol w:w="1716"/>
        <w:gridCol w:w="170"/>
        <w:gridCol w:w="170"/>
        <w:gridCol w:w="171"/>
        <w:gridCol w:w="305"/>
        <w:gridCol w:w="262"/>
        <w:gridCol w:w="201"/>
        <w:gridCol w:w="210"/>
        <w:gridCol w:w="210"/>
        <w:gridCol w:w="211"/>
        <w:gridCol w:w="416"/>
        <w:gridCol w:w="284"/>
        <w:gridCol w:w="286"/>
        <w:gridCol w:w="286"/>
        <w:gridCol w:w="286"/>
        <w:gridCol w:w="408"/>
      </w:tblGrid>
      <w:tr>
        <w:trPr/>
        <w:tc>
          <w:tcPr>
            <w:tcW w:w="2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7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 </w:t>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6"/>
                  <w:u w:val="single"/>
                </w:rPr>
                <w:t>Amended and Restated Certificate of Incorporation</w:t>
              </w:r>
            </w:hyperlink>
            <w:r>
              <w:rPr>
                <w:rFonts w:ascii="Times New Roman;serif" w:hAnsi="Times New Roman;serif"/>
                <w:b w:val="false"/>
                <w:color w:val="000000"/>
                <w:sz w:val="16"/>
              </w:rPr>
              <w:t>.</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8-K</w:t>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001-38897</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21, 2019</w:t>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6"/>
                  <w:u w:val="single"/>
                </w:rPr>
                <w:t>Certificate of Amendment of Amended and Restated Certificate of Incorporation.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8-K</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001-38897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10, 2020</w:t>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6"/>
                  <w:u w:val="single"/>
                </w:rPr>
                <w:t>Amended and Restated Bylaws</w:t>
              </w:r>
            </w:hyperlink>
            <w:r>
              <w:rPr>
                <w:rFonts w:ascii="Times New Roman;serif" w:hAnsi="Times New Roman;serif"/>
                <w:b w:val="false"/>
                <w:color w:val="000000"/>
                <w:sz w:val="16"/>
              </w:rPr>
              <w: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8-K</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001-38897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August 15, 2024</w:t>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6"/>
                  <w:u w:val="single"/>
                </w:rPr>
                <w:t>Certificate of Retirement</w:t>
              </w:r>
            </w:hyperlink>
            <w:r>
              <w:rPr>
                <w:rFonts w:ascii="Times New Roman;serif" w:hAnsi="Times New Roman;serif"/>
                <w:b w:val="false"/>
                <w:color w:val="000000"/>
                <w:sz w:val="16"/>
              </w:rPr>
              <w: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8-K</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001-38897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July 13, 2021</w:t>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6"/>
                  <w:u w:val="single"/>
                </w:rPr>
                <w:t>Form of common stock certificate of Fastly, Inc.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S-1/A</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333-230953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4.1</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6, 2019</w:t>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Reference is made to Exhibits 3.1 through 3.4.</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10.1</w:t>
            </w:r>
            <w:r>
              <w:rPr>
                <w:rFonts w:ascii="Times New Roman;serif" w:hAnsi="Times New Roman;serif"/>
                <w:b w:val="false"/>
                <w:color w:val="000000"/>
                <w:sz w:val="16"/>
                <w:shd w:fill="FFFFFF" w:val="clea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6"/>
                  <w:u w:val="single"/>
                </w:rPr>
                <w:t>Amendment to Transition and Separation Agreement by and between Fastly, Inc. and Ronald Kisling, dated February 23, 2026.</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10-K</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001-38897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10.35</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25, 2026</w:t>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sly-33126x10qexhibit311.htm">
              <w:r>
                <w:rPr>
                  <w:rStyle w:val="InternetLink"/>
                  <w:rFonts w:ascii="Times New Roman;serif" w:hAnsi="Times New Roman;serif"/>
                  <w:b w:val="false"/>
                  <w:color w:val="0000FF"/>
                  <w:sz w:val="16"/>
                  <w:u w:val="single"/>
                </w:rPr>
                <w:t>Certification of the Chief Executive Officer pursuant to Exchange Act Rule 13a-14 as adopted pursuant to Section 302 of the Sarbanes-Oxley Act of 2002</w:t>
              </w:r>
            </w:hyperlink>
            <w:r>
              <w:rPr>
                <w:rFonts w:ascii="Times New Roman;serif" w:hAnsi="Times New Roman;serif"/>
                <w:b w:val="false"/>
                <w:color w:val="000000"/>
                <w:sz w:val="16"/>
              </w:rPr>
              <w: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sly-33126x10qexhibit312.htm">
              <w:r>
                <w:rPr>
                  <w:rStyle w:val="InternetLink"/>
                  <w:rFonts w:ascii="Times New Roman;serif" w:hAnsi="Times New Roman;serif"/>
                  <w:b w:val="false"/>
                  <w:color w:val="0000FF"/>
                  <w:sz w:val="16"/>
                  <w:u w:val="single"/>
                </w:rPr>
                <w:t>Certification of the Chief Financial Officer pursuant to Exchange Act Rule 13a-14 as adopted pursuant to Section 302 of the Sarbanes-Oxley Act of 2002</w:t>
              </w:r>
            </w:hyperlink>
            <w:r>
              <w:rPr>
                <w:rFonts w:ascii="Times New Roman;serif" w:hAnsi="Times New Roman;serif"/>
                <w:b w:val="false"/>
                <w:color w:val="000000"/>
                <w:sz w:val="16"/>
              </w:rPr>
              <w: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sly-33126x10qexhibit321.htm">
              <w:r>
                <w:rPr>
                  <w:rStyle w:val="InternetLink"/>
                  <w:rFonts w:ascii="Times New Roman;serif" w:hAnsi="Times New Roman;serif"/>
                  <w:b w:val="false"/>
                  <w:color w:val="0000FF"/>
                  <w:sz w:val="16"/>
                  <w:u w:val="single"/>
                </w:rPr>
                <w:t>Certification of the Chief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sly-33126x10qexhibit322.htm">
              <w:r>
                <w:rPr>
                  <w:rStyle w:val="InternetLink"/>
                  <w:rFonts w:ascii="Times New Roman;serif" w:hAnsi="Times New Roman;serif"/>
                  <w:b w:val="false"/>
                  <w:color w:val="0000FF"/>
                  <w:sz w:val="16"/>
                  <w:u w:val="single"/>
                </w:rPr>
                <w:t>Certification of the Chief Financial Officer pursuant to 18 U.S.C. Section 1350, as adopted pursuant to Section 906 of the Sarbanes-Oxley Act of 2002</w:t>
              </w:r>
            </w:hyperlink>
            <w:r>
              <w:rPr>
                <w:rFonts w:ascii="Times New Roman;serif" w:hAnsi="Times New Roman;serif"/>
                <w:b w:val="false"/>
                <w:color w:val="000000"/>
                <w:sz w:val="16"/>
              </w:rPr>
              <w: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Schema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Labels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68" w:before="0" w:after="0"/>
        <w:ind w:left="0" w:right="0" w:hanging="720"/>
        <w:jc w:val="left"/>
        <w:rPr/>
      </w:pP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Indicates management contract or compensatory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The certifications furnished in Exhibit 32.1 and 32.2 hereto are deemed to be furnished with this Quarterly Report on Form 10-Q and will not be deemed to be “filed” for purposes of Section 18 of the Exchange Act,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Fastly, Inc. has duly caused this report to be signed on its behalf by the undersigned, thereunto duly authorized. </w:t>
      </w:r>
    </w:p>
    <w:tbl>
      <w:tblPr>
        <w:tblW w:w="8046" w:type="dxa"/>
        <w:jc w:val="righ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09"/>
        <w:gridCol w:w="134"/>
        <w:gridCol w:w="134"/>
        <w:gridCol w:w="136"/>
        <w:gridCol w:w="1710"/>
        <w:gridCol w:w="1710"/>
        <w:gridCol w:w="24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FASTLY,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Charles Compton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Compton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Richard Wong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Richard Wong</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Charles Compton,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Fastly,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5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379"/>
        <w:gridCol w:w="379"/>
        <w:gridCol w:w="381"/>
        <w:gridCol w:w="109"/>
        <w:gridCol w:w="109"/>
        <w:gridCol w:w="109"/>
        <w:gridCol w:w="134"/>
        <w:gridCol w:w="134"/>
        <w:gridCol w:w="136"/>
        <w:gridCol w:w="674"/>
        <w:gridCol w:w="674"/>
        <w:gridCol w:w="6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Compton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Compton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Richard Wong,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Fastly,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5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379"/>
        <w:gridCol w:w="379"/>
        <w:gridCol w:w="381"/>
        <w:gridCol w:w="109"/>
        <w:gridCol w:w="109"/>
        <w:gridCol w:w="109"/>
        <w:gridCol w:w="134"/>
        <w:gridCol w:w="134"/>
        <w:gridCol w:w="136"/>
        <w:gridCol w:w="654"/>
        <w:gridCol w:w="654"/>
        <w:gridCol w:w="6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Wong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Wong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Fastly, Inc. (the "Company”) on Form 10-Q for the period ended March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9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79"/>
        <w:gridCol w:w="379"/>
        <w:gridCol w:w="381"/>
        <w:gridCol w:w="109"/>
        <w:gridCol w:w="109"/>
        <w:gridCol w:w="109"/>
        <w:gridCol w:w="134"/>
        <w:gridCol w:w="134"/>
        <w:gridCol w:w="136"/>
        <w:gridCol w:w="674"/>
        <w:gridCol w:w="674"/>
        <w:gridCol w:w="6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Compton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Compton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Fastly, Inc. (the “Company”) on Form 10-Q for the period ended March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8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79"/>
        <w:gridCol w:w="379"/>
        <w:gridCol w:w="381"/>
        <w:gridCol w:w="109"/>
        <w:gridCol w:w="109"/>
        <w:gridCol w:w="109"/>
        <w:gridCol w:w="134"/>
        <w:gridCol w:w="134"/>
        <w:gridCol w:w="136"/>
        <w:gridCol w:w="654"/>
        <w:gridCol w:w="654"/>
        <w:gridCol w:w="6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Wong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Wong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7413/000119312519152823/d752396dex31.htm" TargetMode="External"/><Relationship Id="rId3" Type="http://schemas.openxmlformats.org/officeDocument/2006/relationships/hyperlink" Target="https://www.sec.gov/Archives/edgar/data/1517413/000119312520165805/d890035dex31.htm" TargetMode="External"/><Relationship Id="rId4" Type="http://schemas.openxmlformats.org/officeDocument/2006/relationships/hyperlink" Target="https://www.sec.gov/Archives/edgar/data/1517413/000151741324000188/fastly-amendedandrestatedb.htm" TargetMode="External"/><Relationship Id="rId5" Type="http://schemas.openxmlformats.org/officeDocument/2006/relationships/hyperlink" Target="https://www.sec.gov/Archives/edgar/data/1517413/000151741321000128/fastly-certificateofretire.htm" TargetMode="External"/><Relationship Id="rId6" Type="http://schemas.openxmlformats.org/officeDocument/2006/relationships/hyperlink" Target="https://www.sec.gov/Archives/edgar/data/0001517413/000119312519130754/d702138dex41.htm" TargetMode="External"/><Relationship Id="rId7" Type="http://schemas.openxmlformats.org/officeDocument/2006/relationships/hyperlink" Target="https://www.sec.gov/Archives/edgar/data/1517413/000151741326000053/amendmenttotransitionsepar.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54116</Words>
  <Characters>299635</Characters>
  <CharactersWithSpaces>352090</CharactersWithSpaces>
  <Paragraphs>2651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