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59697.xml.htm"/>
      <w:bookmarkStart w:id="1" w:name="kswkform4_17872596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Compton Charles Lacey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34,552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996,040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24.08</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990,942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25.08</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985,542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26.05</w:t>
            </w:r>
            <w:r>
              <w:rPr>
                <w:rFonts w:ascii="Times;serif" w:hAnsi="Times;serif"/>
                <w:color w:val="008000"/>
                <w:position w:val="7"/>
                <w:sz w:val="16"/>
                <w:sz w:val="20"/>
                <w:shd w:fill="FFFFFF" w:val="clear"/>
              </w:rPr>
              <w:t>(6)</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984,842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satisfy tax obligations in connection with the vesting of previously granted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$28.60 to $29.11, inclusive. The reporting person undertakes to provide to the Issuer, any security holder of the Issuer, or the staff of the SEC, upon request, full information regarding the number of shares sold at each separate price within the ranges set forth in footnotes (2), (4), (5) and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sales reported in this Form 4 were effected pursuant to a Rule 10b5-1 trading plan adopted by the reporting person on August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$23.63 to $24.62,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$24.64 to $25.57,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$25.70 to $26.30,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4428"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805</Words>
  <Characters>4255</Characters>
  <CharactersWithSpaces>4962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