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5, 2026 </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FASTLY,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left"/>
        <w:rPr>
          <w:color w:val="000000"/>
        </w:rPr>
      </w:pPr>
      <w:r>
        <w:rPr>
          <w:color w:val="000000"/>
        </w:rPr>
        <w:t> </w:t>
      </w:r>
    </w:p>
    <w:tbl>
      <w:tblPr>
        <w:tblW w:w="5893" w:type="dxa"/>
        <w:jc w:val="center"/>
        <w:tblInd w:w="0" w:type="dxa"/>
        <w:tblLayout w:type="fixed"/>
        <w:tblCellMar>
          <w:top w:w="28" w:type="dxa"/>
          <w:left w:w="28" w:type="dxa"/>
          <w:bottom w:w="28" w:type="dxa"/>
          <w:right w:w="28" w:type="dxa"/>
        </w:tblCellMar>
      </w:tblPr>
      <w:tblGrid>
        <w:gridCol w:w="859"/>
        <w:gridCol w:w="753"/>
        <w:gridCol w:w="758"/>
        <w:gridCol w:w="677"/>
        <w:gridCol w:w="677"/>
        <w:gridCol w:w="685"/>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001-38897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475 Brannan Street, Suite 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 94107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(844) 432-7859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w:t>
      </w:r>
    </w:p>
    <w:p>
      <w:pPr>
        <w:pStyle w:val="TextBody"/>
        <w:bidi w:val="0"/>
        <w:spacing w:lineRule="auto" w:line="288" w:before="200" w:after="283"/>
        <w:jc w:val="left"/>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18"/>
          <w:u w:val="single"/>
        </w:rPr>
        <w:t>see</w:t>
      </w:r>
      <w:r>
        <w:rPr>
          <w:color w:val="000000"/>
        </w:rPr>
        <w:t xml:space="preserve"> </w:t>
      </w:r>
      <w:r>
        <w:rPr>
          <w:rFonts w:ascii="Times New Roman;serif" w:hAnsi="Times New Roman;serif"/>
          <w:b w:val="false"/>
          <w:color w:val="000000"/>
          <w:sz w:val="18"/>
        </w:rPr>
        <w:t>General Instructions A.2. below):</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206" w:type="dxa"/>
        <w:jc w:val="left"/>
        <w:tblInd w:w="0" w:type="dxa"/>
        <w:tblLayout w:type="fixed"/>
        <w:tblCellMar>
          <w:top w:w="28" w:type="dxa"/>
          <w:left w:w="28" w:type="dxa"/>
          <w:bottom w:w="28" w:type="dxa"/>
          <w:right w:w="28" w:type="dxa"/>
        </w:tblCellMar>
      </w:tblPr>
      <w:tblGrid>
        <w:gridCol w:w="1198"/>
        <w:gridCol w:w="1051"/>
        <w:gridCol w:w="1065"/>
        <w:gridCol w:w="109"/>
        <w:gridCol w:w="109"/>
        <w:gridCol w:w="109"/>
        <w:gridCol w:w="274"/>
        <w:gridCol w:w="274"/>
        <w:gridCol w:w="276"/>
        <w:gridCol w:w="109"/>
        <w:gridCol w:w="109"/>
        <w:gridCol w:w="109"/>
        <w:gridCol w:w="706"/>
        <w:gridCol w:w="706"/>
        <w:gridCol w:w="1002"/>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5, 2026, Fastly, Inc. (the "Company") announced its financial results for the quarter ended June 30, 2026 by issuing a press release.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Attached hereto as Exhibit 99.2 and incorporated by reference herein is the Company’s investor supplement, regarding results of the quarter ended June 30, 2026 (the “Investor Supplement”). The Investor Supplement will be posted to http://investors.fastly.com immediately after the filing of this Form 8-K.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on this Form 8-K, including the exhibits attached,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posted supplemental financial and other information to http://investors.fastly.com.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may announce material business and financial information to its investors using its investor relations website (http://investors.fastly.com), its filings with the Securities and Exchange Commission, its corporate X (formerly known as Twitter) account (@Fastly), its blog (http://www.fastly.com/blog), its corporate LinkedIn account (http://www.linkedin.com/company/fastly), webcasts, press releases, and conference calls. The Company uses these mediums, including its website, to communicate with investors and the general public about the Company, its products, and other issues. It is possible that the information that we make available on these mediums may be deemed to be material information. Therefore, the Company encourages investors and others interested in the Company to review the information that it makes available through these channels.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content of the Company’s websites and information that the Company may post on or provide to online and social media channels, including those mentioned above, and information that can be accessed through the Company’s websites or these online and social media channels are not incorporated by reference into this Current Report on Form 8-K or in any other report or document the Company files with the Securities and Exchange Commission, and any references to the Company’s websites or these online and social media channels are intended to be inactive textual references only.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5593" w:type="dxa"/>
        <w:jc w:val="left"/>
        <w:tblInd w:w="0" w:type="dxa"/>
        <w:tblLayout w:type="fixed"/>
        <w:tblCellMar>
          <w:top w:w="28" w:type="dxa"/>
          <w:left w:w="28" w:type="dxa"/>
          <w:bottom w:w="28" w:type="dxa"/>
          <w:right w:w="28" w:type="dxa"/>
        </w:tblCellMar>
      </w:tblPr>
      <w:tblGrid>
        <w:gridCol w:w="279"/>
        <w:gridCol w:w="247"/>
        <w:gridCol w:w="240"/>
        <w:gridCol w:w="109"/>
        <w:gridCol w:w="109"/>
        <w:gridCol w:w="109"/>
        <w:gridCol w:w="1315"/>
        <w:gridCol w:w="1315"/>
        <w:gridCol w:w="1870"/>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fslypressrelease63026.htm">
              <w:r>
                <w:rPr>
                  <w:rStyle w:val="InternetLink"/>
                  <w:rFonts w:ascii="Times New Roman;serif" w:hAnsi="Times New Roman;serif"/>
                  <w:b w:val="false"/>
                  <w:color w:val="0000FF"/>
                  <w:sz w:val="20"/>
                  <w:u w:val="single"/>
                </w:rPr>
                <w:t>Press Release dated August 5, 2026</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investorsupplement63.htm">
              <w:r>
                <w:rPr>
                  <w:rStyle w:val="InternetLink"/>
                  <w:rFonts w:ascii="Times New Roman;serif" w:hAnsi="Times New Roman;serif"/>
                  <w:b w:val="false"/>
                  <w:color w:val="0000FF"/>
                  <w:sz w:val="20"/>
                  <w:u w:val="single"/>
                </w:rPr>
                <w:t>Investor Supplement for Second Quarter 2026 Results</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Indicates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403"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09"/>
        <w:gridCol w:w="109"/>
        <w:gridCol w:w="109"/>
        <w:gridCol w:w="134"/>
        <w:gridCol w:w="134"/>
        <w:gridCol w:w="136"/>
        <w:gridCol w:w="109"/>
        <w:gridCol w:w="109"/>
        <w:gridCol w:w="109"/>
        <w:gridCol w:w="588"/>
        <w:gridCol w:w="588"/>
        <w:gridCol w:w="83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95" w:before="0" w:after="0"/>
        <w:jc w:val="center"/>
        <w:rPr>
          <w:rFonts w:ascii="Arial;sans-serif" w:hAnsi="Arial;sans-serif"/>
          <w:b/>
          <w:color w:val="000000"/>
          <w:sz w:val="20"/>
        </w:rPr>
      </w:pPr>
      <w:r>
        <w:rPr>
          <w:rFonts w:ascii="Arial;sans-serif" w:hAnsi="Arial;sans-serif"/>
          <w:b/>
          <w:color w:val="000000"/>
          <w:sz w:val="20"/>
        </w:rPr>
        <w:t>Fastly Announces Second Quarter 2026 Financial Results</w:t>
      </w:r>
    </w:p>
    <w:p>
      <w:pPr>
        <w:pStyle w:val="TextBody"/>
        <w:bidi w:val="0"/>
        <w:spacing w:before="0" w:after="0"/>
        <w:jc w:val="center"/>
        <w:rPr/>
      </w:pPr>
      <w:r>
        <w:rPr/>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 xml:space="preserve">Record second quarter revenue of $183.3 million grew 23% year-over-year </w:t>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Record second quarter gross margin of 63.3% and record non-GAAP gross margin of 65.8%</w:t>
      </w:r>
    </w:p>
    <w:p>
      <w:pPr>
        <w:pStyle w:val="TextBody"/>
        <w:bidi w:val="0"/>
        <w:spacing w:lineRule="auto" w:line="276" w:before="0" w:after="120"/>
        <w:jc w:val="center"/>
        <w:rPr/>
      </w:pPr>
      <w:r>
        <w:rPr>
          <w:rFonts w:ascii="sans-serif" w:hAnsi="sans-serif"/>
          <w:b w:val="false"/>
          <w:i/>
          <w:color w:val="000000"/>
          <w:sz w:val="22"/>
        </w:rPr>
        <w:t xml:space="preserve">LTM NRR of </w:t>
      </w:r>
      <w:r>
        <w:rPr>
          <w:rFonts w:ascii="sans-serif" w:hAnsi="sans-serif"/>
          <w:b w:val="false"/>
          <w:i/>
          <w:color w:val="000000"/>
          <w:sz w:val="20"/>
        </w:rPr>
        <w:t>117%</w:t>
      </w:r>
      <w:r>
        <w:rPr>
          <w:color w:val="000000"/>
        </w:rPr>
        <w:t xml:space="preserve"> </w:t>
      </w:r>
      <w:r>
        <w:rPr>
          <w:rFonts w:ascii="sans-serif" w:hAnsi="sans-serif"/>
          <w:b w:val="false"/>
          <w:i/>
          <w:color w:val="000000"/>
          <w:sz w:val="22"/>
        </w:rPr>
        <w:t xml:space="preserve">reaches highest level in over three years </w:t>
      </w:r>
    </w:p>
    <w:p>
      <w:pPr>
        <w:pStyle w:val="TextBody"/>
        <w:bidi w:val="0"/>
        <w:spacing w:before="0" w:after="120"/>
        <w:jc w:val="center"/>
        <w:rPr/>
      </w:pPr>
      <w:r>
        <w:rPr/>
      </w:r>
    </w:p>
    <w:p>
      <w:pPr>
        <w:pStyle w:val="TextBody"/>
        <w:bidi w:val="0"/>
        <w:spacing w:lineRule="auto" w:line="276" w:before="0" w:after="120"/>
        <w:jc w:val="left"/>
        <w:rPr/>
      </w:pPr>
      <w:r>
        <w:rPr>
          <w:rFonts w:ascii="sans-serif" w:hAnsi="sans-serif"/>
          <w:b/>
          <w:color w:val="000000"/>
          <w:sz w:val="20"/>
        </w:rPr>
        <w:t>SAN FRANCISCO — August 5, 2026 —</w:t>
      </w:r>
      <w:r>
        <w:rPr>
          <w:color w:val="000000"/>
        </w:rPr>
        <w:t xml:space="preserve"> </w:t>
      </w:r>
      <w:r>
        <w:rPr>
          <w:rFonts w:ascii="sans-serif" w:hAnsi="sans-serif"/>
          <w:b w:val="false"/>
          <w:color w:val="000000"/>
          <w:sz w:val="20"/>
        </w:rPr>
        <w:t xml:space="preserve">Fastly, Inc. (NASDAQ: FSLY), a leader in global edge cloud platforms, today announced financial results for its second quarter ended June 30, 2026. </w:t>
      </w:r>
    </w:p>
    <w:p>
      <w:pPr>
        <w:pStyle w:val="TextBody"/>
        <w:bidi w:val="0"/>
        <w:spacing w:lineRule="auto" w:line="276" w:before="0" w:after="120"/>
        <w:jc w:val="left"/>
        <w:rPr>
          <w:rFonts w:ascii="sans-serif" w:hAnsi="sans-serif"/>
          <w:b w:val="false"/>
          <w:color w:val="000000"/>
          <w:sz w:val="20"/>
        </w:rPr>
      </w:pPr>
      <w:r>
        <w:rPr>
          <w:rFonts w:ascii="sans-serif" w:hAnsi="sans-serif"/>
          <w:b w:val="false"/>
          <w:color w:val="000000"/>
          <w:sz w:val="20"/>
        </w:rPr>
        <w:t>"Record second quarter results reflect strong execution and the deep trust customers place in our technology and our teams," said Kip Compton, CEO of Fastly. "Our platform strategy is driving business momentum, giving us the confidence to raise our full-year outlook."</w:t>
      </w:r>
    </w:p>
    <w:tbl>
      <w:tblPr>
        <w:tblW w:w="10205" w:type="dxa"/>
        <w:jc w:val="left"/>
        <w:tblInd w:w="0" w:type="dxa"/>
        <w:tblLayout w:type="fixed"/>
        <w:tblCellMar>
          <w:top w:w="28" w:type="dxa"/>
          <w:left w:w="28" w:type="dxa"/>
          <w:bottom w:w="28" w:type="dxa"/>
          <w:right w:w="28" w:type="dxa"/>
        </w:tblCellMar>
      </w:tblPr>
      <w:tblGrid>
        <w:gridCol w:w="1334"/>
        <w:gridCol w:w="1170"/>
        <w:gridCol w:w="1175"/>
        <w:gridCol w:w="109"/>
        <w:gridCol w:w="109"/>
        <w:gridCol w:w="109"/>
        <w:gridCol w:w="211"/>
        <w:gridCol w:w="826"/>
        <w:gridCol w:w="256"/>
        <w:gridCol w:w="109"/>
        <w:gridCol w:w="109"/>
        <w:gridCol w:w="109"/>
        <w:gridCol w:w="211"/>
        <w:gridCol w:w="826"/>
        <w:gridCol w:w="256"/>
        <w:gridCol w:w="109"/>
        <w:gridCol w:w="109"/>
        <w:gridCol w:w="109"/>
        <w:gridCol w:w="211"/>
        <w:gridCol w:w="826"/>
        <w:gridCol w:w="256"/>
        <w:gridCol w:w="109"/>
        <w:gridCol w:w="109"/>
        <w:gridCol w:w="109"/>
        <w:gridCol w:w="211"/>
        <w:gridCol w:w="826"/>
        <w:gridCol w:w="302"/>
      </w:tblGrid>
      <w:tr>
        <w:trPr/>
        <w:tc>
          <w:tcPr>
            <w:tcW w:w="133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 in thousands, except per share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183,317 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356,338 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293,183 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gross margin</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58.2 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(36,943)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(75,122)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operating income (loss)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(10,439)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(0.53)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net income (loss) per common share — basic</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net income (loss) per common share — diluted</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sans-serif" w:hAnsi="sans-serif"/>
          <w:b w:val="false"/>
          <w:color w:val="000000"/>
          <w:sz w:val="20"/>
        </w:rPr>
      </w:pPr>
      <w:r>
        <w:rPr>
          <w:rFonts w:ascii="sans-serif" w:hAnsi="sans-serif"/>
          <w:b w:val="false"/>
          <w:color w:val="000000"/>
          <w:sz w:val="20"/>
        </w:rPr>
        <w:t>For a reconciliation of non-GAAP financial measures to their corresponding GAAP measures, please refer to the reconciliation table at the end of this press release.</w:t>
      </w:r>
    </w:p>
    <w:p>
      <w:pPr>
        <w:pStyle w:val="TextBody"/>
        <w:bidi w:val="0"/>
        <w:spacing w:lineRule="auto" w:line="295" w:before="240" w:after="120"/>
        <w:jc w:val="left"/>
        <w:rPr/>
      </w:pPr>
      <w:r>
        <w:rPr>
          <w:rFonts w:ascii="sans-serif" w:hAnsi="sans-serif"/>
          <w:b/>
          <w:color w:val="000000"/>
          <w:sz w:val="22"/>
        </w:rPr>
        <w:t>Second Quarter 2026 Financial Summary</w:t>
      </w:r>
      <w:r>
        <w:rPr>
          <w:color w:val="000000"/>
        </w:rPr>
        <w:t xml:space="preserve">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Total revenue of $183.3 million, representing 23% year-over-year growth. Network Services revenue of $133.9 million, representing 17% year-over-year growth. Security revenue of $41.7 million, representing 43% year-over-year growth. Other revenue of $7.7 million, representing 69% year-over-year growth. Network Services revenue includes solutions designed to improve performance of websites, apps, APIs, and digital media. Security revenue includes products designed to protect websites, apps, APIs, and users. Other revenue includes Compute and Observability solutions.</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Generated $39.3 million of operating cash flow compared to $25.8 million of operating cash flow in the second quarter of 2025. Generated $3.6 million of positive free cash flow compared to $10.9 million in the second quarter of 2025.</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gross margin of 63.3%, compared to 54.5% in the second quarter of 2025. Non-GAAP gross margin</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65.8%, compared to 59.0% in the second quarter of 2025.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net loss of $15.6 million, compared to $37.5 million in the second quarter of 2025. Non-GAAP net income</w:t>
      </w:r>
      <w:r>
        <w:rPr>
          <w:rFonts w:ascii="sans-serif" w:hAnsi="sans-serif"/>
          <w:b w:val="false"/>
          <w:color w:val="000000"/>
          <w:sz w:val="13"/>
        </w:rPr>
        <w:t>1</w:t>
      </w:r>
      <w:r>
        <w:rPr>
          <w:color w:val="000000"/>
        </w:rPr>
        <w:t xml:space="preserve"> </w:t>
      </w:r>
      <w:r>
        <w:rPr>
          <w:rFonts w:ascii="sans-serif" w:hAnsi="sans-serif"/>
          <w:b w:val="false"/>
          <w:color w:val="000000"/>
          <w:sz w:val="20"/>
        </w:rPr>
        <w:t>of $26.2 million, compared to non-GAAP net loss</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$5.0 million in the second quarter of 2025.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net loss per basic and diluted share of $0.10, compared to $0.26 in the second quarter of 2025. Non-GAAP net income per basic share</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w:t>
      </w:r>
      <w:r>
        <w:rPr>
          <w:rFonts w:ascii="sans-serif" w:hAnsi="sans-serif"/>
          <w:b w:val="false"/>
          <w:color w:val="000000"/>
          <w:sz w:val="20"/>
          <w:shd w:fill="FFFFFF" w:val="clear"/>
        </w:rPr>
        <w:t>$0.17, c</w:t>
      </w:r>
      <w:r>
        <w:rPr>
          <w:rFonts w:ascii="sans-serif" w:hAnsi="sans-serif"/>
          <w:b w:val="false"/>
          <w:color w:val="000000"/>
          <w:sz w:val="20"/>
        </w:rPr>
        <w:t>ompared to non-GAAP net loss per basic share</w:t>
      </w:r>
      <w:r>
        <w:rPr>
          <w:rFonts w:ascii="sans-serif" w:hAnsi="sans-serif"/>
          <w:b w:val="false"/>
          <w:color w:val="000000"/>
          <w:sz w:val="13"/>
        </w:rPr>
        <w:t xml:space="preserve">1 </w:t>
      </w:r>
      <w:r>
        <w:rPr>
          <w:rFonts w:ascii="sans-serif" w:hAnsi="sans-serif"/>
          <w:b w:val="false"/>
          <w:color w:val="000000"/>
          <w:sz w:val="20"/>
        </w:rPr>
        <w:t>of $0.03 in the second quarter of 2025. Non-GAAP net income per diluted share</w:t>
      </w:r>
      <w:r>
        <w:rPr>
          <w:rFonts w:ascii="sans-serif" w:hAnsi="sans-serif"/>
          <w:b w:val="false"/>
          <w:color w:val="000000"/>
          <w:sz w:val="13"/>
        </w:rPr>
        <w:t xml:space="preserve">1 </w:t>
      </w:r>
      <w:r>
        <w:rPr>
          <w:rFonts w:ascii="sans-serif" w:hAnsi="sans-serif"/>
          <w:b w:val="false"/>
          <w:color w:val="000000"/>
          <w:sz w:val="20"/>
        </w:rPr>
        <w:t>of $0.15, compared to non-GAAP net loss per diluted share</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$0.03 in the second quarter of 2025. </w:t>
      </w:r>
    </w:p>
    <w:p>
      <w:pPr>
        <w:pStyle w:val="TextBody"/>
        <w:bidi w:val="0"/>
        <w:spacing w:lineRule="auto" w:line="276" w:before="240" w:after="120"/>
        <w:jc w:val="left"/>
        <w:rPr>
          <w:rFonts w:ascii="sans-serif" w:hAnsi="sans-serif"/>
          <w:b/>
          <w:color w:val="000000"/>
          <w:sz w:val="22"/>
        </w:rPr>
      </w:pPr>
      <w:r>
        <w:rPr>
          <w:rFonts w:ascii="sans-serif" w:hAnsi="sans-serif"/>
          <w:b/>
          <w:color w:val="000000"/>
          <w:sz w:val="22"/>
        </w:rPr>
        <w:t xml:space="preserve">Key Metrics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Remaining Performance Obligations (RPO)</w:t>
      </w:r>
      <w:r>
        <w:rPr>
          <w:rFonts w:ascii="sans-serif" w:hAnsi="sans-serif"/>
          <w:b w:val="false"/>
          <w:color w:val="000000"/>
          <w:sz w:val="13"/>
        </w:rPr>
        <w:t xml:space="preserve">2 </w:t>
      </w:r>
      <w:r>
        <w:rPr>
          <w:rFonts w:ascii="sans-serif" w:hAnsi="sans-serif"/>
          <w:b w:val="false"/>
          <w:color w:val="000000"/>
          <w:sz w:val="20"/>
        </w:rPr>
        <w:t>were $341 million, up 38% from $247 million in the second quarter of 2025.</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 xml:space="preserve">Fastly's top ten customers accounted for 37% of revenue in the second quarter of 2026 compared to 31% in the second quarter of 2025.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Last 12-month net retention rate (LTM NRR)</w:t>
      </w:r>
      <w:r>
        <w:rPr>
          <w:rFonts w:ascii="sans-serif" w:hAnsi="sans-serif"/>
          <w:b w:val="false"/>
          <w:color w:val="000000"/>
          <w:sz w:val="13"/>
        </w:rPr>
        <w:t>3</w:t>
      </w:r>
      <w:r>
        <w:rPr>
          <w:color w:val="000000"/>
        </w:rPr>
        <w:t xml:space="preserve"> </w:t>
      </w:r>
      <w:r>
        <w:rPr>
          <w:rFonts w:ascii="sans-serif" w:hAnsi="sans-serif"/>
          <w:b w:val="false"/>
          <w:color w:val="000000"/>
          <w:sz w:val="20"/>
        </w:rPr>
        <w:t>increased to 117% in the second quarter from 113% in the first quarter of 2026.</w:t>
      </w:r>
    </w:p>
    <w:p>
      <w:pPr>
        <w:pStyle w:val="TextBody"/>
        <w:bidi w:val="0"/>
        <w:spacing w:lineRule="auto" w:line="276" w:before="240" w:after="120"/>
        <w:jc w:val="left"/>
        <w:rPr>
          <w:rFonts w:ascii="sans-serif" w:hAnsi="sans-serif"/>
          <w:b/>
          <w:color w:val="000000"/>
          <w:sz w:val="22"/>
        </w:rPr>
      </w:pPr>
      <w:r>
        <w:rPr>
          <w:rFonts w:ascii="sans-serif" w:hAnsi="sans-serif"/>
          <w:b/>
          <w:color w:val="000000"/>
          <w:sz w:val="22"/>
        </w:rPr>
        <w:t>Second Quarter Business and Product Highlights</w:t>
      </w:r>
    </w:p>
    <w:p>
      <w:pPr>
        <w:pStyle w:val="TextBody"/>
        <w:bidi w:val="0"/>
        <w:spacing w:lineRule="auto" w:line="288" w:before="120" w:after="40"/>
        <w:ind w:left="0" w:right="0" w:hanging="360"/>
        <w:jc w:val="left"/>
        <w:rPr/>
      </w:pPr>
      <w:r>
        <w:rPr>
          <w:color w:val="000000"/>
        </w:rPr>
        <w:t>•</w:t>
      </w:r>
      <w:r>
        <w:rPr>
          <w:rFonts w:ascii="sans-serif" w:hAnsi="sans-serif"/>
          <w:b w:val="false"/>
          <w:color w:val="000000"/>
          <w:sz w:val="20"/>
        </w:rPr>
        <w:t>Announced new research showing how rapidly growing AI traffic is reshaping the internet, growing 6.5x faster than human traffic this year, and why organizations need new strategies to manage machine traffic.</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Released a joint announcement with LALIGA on the collaboration of anti-piracy solutions that are designed to address illegal streaming of live sports and help rights holders prevent lost revenue.</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Announced a new partnership with Skyfire, enabling trusted commerce at the edge so enterprises can now securely identify, verify, and transact with AI agents in real time and at global scale, without re-architecting existing infrastructure.</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Released C++ SDK for Fastly Compute, enabling enterprises to secure, scale, and accelerate their C++ AI workloads, gaming features, and other low-latency applications.</w:t>
      </w:r>
    </w:p>
    <w:p>
      <w:pPr>
        <w:pStyle w:val="TextBody"/>
        <w:bidi w:val="0"/>
        <w:spacing w:before="120" w:after="283"/>
        <w:jc w:val="left"/>
        <w:rPr/>
      </w:pPr>
      <w:r>
        <w:rPr/>
      </w:r>
    </w:p>
    <w:p>
      <w:pPr>
        <w:pStyle w:val="TextBody"/>
        <w:bidi w:val="0"/>
        <w:spacing w:lineRule="auto" w:line="252" w:before="120" w:after="120"/>
        <w:jc w:val="left"/>
        <w:rPr>
          <w:rFonts w:ascii="sans-serif" w:hAnsi="sans-serif"/>
          <w:b/>
          <w:color w:val="182931"/>
          <w:sz w:val="22"/>
        </w:rPr>
      </w:pPr>
      <w:r>
        <w:rPr>
          <w:rFonts w:ascii="sans-serif" w:hAnsi="sans-serif"/>
          <w:b/>
          <w:color w:val="182931"/>
          <w:sz w:val="22"/>
        </w:rPr>
        <w:t xml:space="preserve">Third Quarter and Full Year 2026 Guidance </w:t>
      </w:r>
    </w:p>
    <w:tbl>
      <w:tblPr>
        <w:tblW w:w="7329" w:type="dxa"/>
        <w:jc w:val="left"/>
        <w:tblInd w:w="0" w:type="dxa"/>
        <w:tblLayout w:type="fixed"/>
        <w:tblCellMar>
          <w:top w:w="28" w:type="dxa"/>
          <w:left w:w="28" w:type="dxa"/>
          <w:bottom w:w="28" w:type="dxa"/>
          <w:right w:w="28" w:type="dxa"/>
        </w:tblCellMar>
      </w:tblPr>
      <w:tblGrid>
        <w:gridCol w:w="1362"/>
        <w:gridCol w:w="1197"/>
        <w:gridCol w:w="1206"/>
        <w:gridCol w:w="109"/>
        <w:gridCol w:w="109"/>
        <w:gridCol w:w="109"/>
        <w:gridCol w:w="464"/>
        <w:gridCol w:w="464"/>
        <w:gridCol w:w="467"/>
        <w:gridCol w:w="109"/>
        <w:gridCol w:w="109"/>
        <w:gridCol w:w="109"/>
        <w:gridCol w:w="442"/>
        <w:gridCol w:w="442"/>
        <w:gridCol w:w="631"/>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Full Year 2026</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Revenue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$184.0 - $190.0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$732.0 - $746.0</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Non-GAAP Operating Income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$20.0 - $24.0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$88.0 - $96.0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Non-GAAP Net Income per share</w:t>
            </w:r>
            <w:r>
              <w:rPr>
                <w:rFonts w:ascii="Open Sans;sans-serif" w:hAnsi="Open Sans;sans-serif"/>
                <w:b/>
                <w:color w:val="000000"/>
                <w:sz w:val="1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$0.11 - $0.13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$0.50 - $0.54</w:t>
            </w:r>
          </w:p>
        </w:tc>
      </w:tr>
    </w:tbl>
    <w:p>
      <w:pPr>
        <w:pStyle w:val="TextBody"/>
        <w:bidi w:val="0"/>
        <w:spacing w:lineRule="auto" w:line="288" w:before="180" w:after="120"/>
        <w:jc w:val="left"/>
        <w:rPr>
          <w:rFonts w:ascii="sans-serif" w:hAnsi="sans-serif"/>
          <w:b w:val="false"/>
          <w:color w:val="000000"/>
          <w:sz w:val="20"/>
        </w:rPr>
      </w:pPr>
      <w:r>
        <w:rPr>
          <w:rFonts w:ascii="sans-serif" w:hAnsi="sans-serif"/>
          <w:b w:val="false"/>
          <w:color w:val="000000"/>
          <w:sz w:val="20"/>
        </w:rPr>
        <w:t>A reconciliation of non-GAAP guidance measures to corresponding GAAP measures is not available on a forward-looking basis without unreasonable effort due to the uncertainty of expenses that may be incurred in the future and cannot be reasonably determined or predicted at this time, although it is important to note that these factors could be material to Fastly’s future GAAP financial results.</w:t>
      </w:r>
    </w:p>
    <w:p>
      <w:pPr>
        <w:pStyle w:val="TextBody"/>
        <w:bidi w:val="0"/>
        <w:spacing w:lineRule="auto" w:line="276" w:before="180" w:after="120"/>
        <w:jc w:val="left"/>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76" w:before="180" w:after="120"/>
        <w:jc w:val="left"/>
        <w:rPr>
          <w:rFonts w:ascii="sans-serif" w:hAnsi="sans-serif"/>
          <w:b w:val="false"/>
          <w:color w:val="000000"/>
          <w:sz w:val="20"/>
        </w:rPr>
      </w:pPr>
      <w:r>
        <w:rPr>
          <w:rFonts w:ascii="sans-serif" w:hAnsi="sans-serif"/>
          <w:b w:val="false"/>
          <w:color w:val="000000"/>
          <w:sz w:val="20"/>
        </w:rPr>
        <w:t xml:space="preserve">Fastly will host an investor conference call to discuss its results at 1:30 p.m. PT / 4:30 p.m. ET on Wednesday, August 5, 2026. </w:t>
      </w:r>
    </w:p>
    <w:p>
      <w:pPr>
        <w:pStyle w:val="TextBody"/>
        <w:bidi w:val="0"/>
        <w:spacing w:lineRule="auto" w:line="276" w:before="120" w:after="120"/>
        <w:jc w:val="left"/>
        <w:rPr>
          <w:rFonts w:ascii="sans-serif" w:hAnsi="sans-serif"/>
          <w:b w:val="false"/>
          <w:color w:val="000000"/>
          <w:sz w:val="20"/>
        </w:rPr>
      </w:pPr>
      <w:r>
        <w:rPr>
          <w:rFonts w:ascii="sans-serif" w:hAnsi="sans-serif"/>
          <w:b w:val="false"/>
          <w:color w:val="000000"/>
          <w:sz w:val="20"/>
        </w:rPr>
        <w:t>To access the conference call, please pre-register and dial-in using this link at least 15 minutes prior to the 1:30 p.m. PT start time. Registrants will receive an email confirmation with dial-in details.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live webcast of the event can be accessed using this link. A replay of the webcast will be available on https://investors.fastly.com starting approximately two hours after the event and archived on the site for one quarter.</w:t>
      </w:r>
    </w:p>
    <w:p>
      <w:pPr>
        <w:pStyle w:val="TextBody"/>
        <w:bidi w:val="0"/>
        <w:spacing w:before="60" w:after="120"/>
        <w:jc w:val="left"/>
        <w:rPr/>
      </w:pPr>
      <w:r>
        <w:rPr/>
      </w:r>
    </w:p>
    <w:p>
      <w:pPr>
        <w:pStyle w:val="TextBody"/>
        <w:bidi w:val="0"/>
        <w:spacing w:lineRule="auto" w:line="288" w:before="0" w:after="120"/>
        <w:jc w:val="left"/>
        <w:rPr>
          <w:rFonts w:ascii="sans-serif" w:hAnsi="sans-serif"/>
          <w:b/>
          <w:color w:val="000000"/>
          <w:sz w:val="22"/>
        </w:rPr>
      </w:pPr>
      <w:r>
        <w:rPr>
          <w:rFonts w:ascii="sans-serif" w:hAnsi="sans-serif"/>
          <w:b/>
          <w:color w:val="000000"/>
          <w:sz w:val="22"/>
        </w:rPr>
        <w:t>About Fastly, Inc.</w:t>
      </w:r>
    </w:p>
    <w:p>
      <w:pPr>
        <w:pStyle w:val="TextBody"/>
        <w:bidi w:val="0"/>
        <w:spacing w:lineRule="auto" w:line="276" w:before="0" w:after="120"/>
        <w:jc w:val="left"/>
        <w:rPr>
          <w:rFonts w:ascii="sans-serif" w:hAnsi="sans-serif"/>
          <w:b w:val="false"/>
          <w:color w:val="000000"/>
          <w:sz w:val="20"/>
          <w:shd w:fill="FFFFFF" w:val="clear"/>
        </w:rPr>
      </w:pPr>
      <w:r>
        <w:rPr>
          <w:rFonts w:ascii="sans-serif" w:hAnsi="sans-serif"/>
          <w:b w:val="false"/>
          <w:color w:val="000000"/>
          <w:sz w:val="20"/>
          <w:shd w:fill="FFFFFF" w:val="clear"/>
        </w:rPr>
        <w:t>Fastly’s powerful and programmable edge cloud platform helps the world’s top brands deliver online experiences that are fast, safe, and engaging through edge compute, delivery, security, and observability offerings that improve site performance, enhance security, and empower innovation at global scale. Compared to other providers, Fastly’s powerful, high-performance, and modern platform architecture empowers developers to deliver secure websites and apps with rapid time-to-market and demonstrated, industry-leading cost savings. Organizations around the world trust Fastly to help them upgrade the internet experience, including Reddit, Universal Music Group, and SeatGeek. Learn more about Fastly at https://www.fastly.com, and follow us @fastly.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12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276" w:before="60" w:after="12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This press release contains “forward-looking” statements that are based on our beliefs and assumptions and on information currently available to us.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statements regarding our future financial and operating performance and shareholder returns, including our outlook and guidance and ability to maintain and strengthen our liquidity position; our ability to acquire new customers, expand cross-sell opportunities, and grow market share; our ability to enrich our revenue mix with platform enhancements; the performance of our existing and new platform enhancements; our ability to accelerate global growth; our partnerships and collaborations; the performance, capabilities, and expectations regarding customer experiences with Fastly Compute, including its C++ SDK, Bot Management and DDoS Protection, and Next-Gen WAF; and Fastly's strategies, platform, and business plans. Except as required by law, we assume no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60" w:after="120"/>
        <w:jc w:val="left"/>
        <w:rPr/>
      </w:pPr>
      <w:r>
        <w:rPr>
          <w:rFonts w:ascii="sans-serif" w:hAnsi="sans-serif"/>
          <w:b w:val="false"/>
          <w:color w:val="000000"/>
          <w:sz w:val="20"/>
          <w:shd w:fill="FFFFFF" w:val="clear"/>
        </w:rPr>
        <w:t xml:space="preserve">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those more fully described in Fastly’s Annual Report on Form 10-K for the year ended </w:t>
      </w:r>
      <w:r>
        <w:rPr>
          <w:rFonts w:ascii="sans-serif" w:hAnsi="sans-serif"/>
          <w:b w:val="false"/>
          <w:color w:val="000000"/>
          <w:sz w:val="20"/>
        </w:rPr>
        <w:t>December 31, 2025</w:t>
      </w:r>
      <w:r>
        <w:rPr>
          <w:rFonts w:ascii="sans-serif" w:hAnsi="sans-serif"/>
          <w:b w:val="false"/>
          <w:color w:val="000000"/>
          <w:sz w:val="20"/>
          <w:shd w:fill="FFFFFF" w:val="clear"/>
        </w:rPr>
        <w:t xml:space="preserve">. Additional information will also be set forth in Fastly’s Quarterly Report on Form 10-Q for the quarter ended June 30, 2026, </w:t>
      </w:r>
      <w:r>
        <w:rPr>
          <w:rFonts w:ascii="sans-serif" w:hAnsi="sans-serif"/>
          <w:b w:val="false"/>
          <w:color w:val="000000"/>
          <w:sz w:val="20"/>
        </w:rPr>
        <w:t>and other filings and reports that Fastly may file from time to time with the SEC</w:t>
      </w:r>
      <w:r>
        <w:rPr>
          <w:rFonts w:ascii="sans-serif" w:hAnsi="sans-serif"/>
          <w:b w:val="false"/>
          <w:color w:val="000000"/>
          <w:sz w:val="20"/>
          <w:shd w:fill="FFFFFF" w:val="clear"/>
        </w:rPr>
        <w:t>. Copies of reports filed with the SEC are posted on Fastly’s website and are available from Fastly without charge.</w:t>
      </w:r>
    </w:p>
    <w:p>
      <w:pPr>
        <w:pStyle w:val="TextBody"/>
        <w:bidi w:val="0"/>
        <w:spacing w:lineRule="auto" w:line="276" w:before="60" w:after="120"/>
        <w:jc w:val="left"/>
        <w:rPr>
          <w:rFonts w:ascii="sans-serif" w:hAnsi="sans-serif"/>
          <w:b/>
          <w:color w:val="000000"/>
          <w:sz w:val="22"/>
        </w:rPr>
      </w:pPr>
      <w:r>
        <w:rPr>
          <w:rFonts w:ascii="sans-serif" w:hAnsi="sans-serif"/>
          <w:b/>
          <w:color w:val="000000"/>
          <w:sz w:val="22"/>
        </w:rPr>
        <w:t>Use of Non-GAAP Financial Measures</w:t>
      </w:r>
    </w:p>
    <w:p>
      <w:pPr>
        <w:pStyle w:val="TextBody"/>
        <w:bidi w:val="0"/>
        <w:spacing w:lineRule="auto" w:line="276" w:before="60" w:after="120"/>
        <w:jc w:val="left"/>
        <w:rPr/>
      </w:pPr>
      <w:r>
        <w:rPr>
          <w:rFonts w:ascii="sans-serif" w:hAnsi="sans-serif"/>
          <w:b w:val="false"/>
          <w:color w:val="000000"/>
          <w:sz w:val="20"/>
        </w:rPr>
        <w:t>To supplement our condensed consolidated financial statements, which are prepared and presented in accordance with accounting principles generally accepted in the United States (</w:t>
      </w:r>
      <w:r>
        <w:rPr>
          <w:color w:val="000000"/>
          <w:shd w:fill="FFFFFF" w:val="clear"/>
        </w:rPr>
        <w:t>“</w:t>
      </w:r>
      <w:r>
        <w:rPr>
          <w:rFonts w:ascii="sans-serif" w:hAnsi="sans-serif"/>
          <w:b w:val="false"/>
          <w:color w:val="000000"/>
          <w:sz w:val="20"/>
        </w:rPr>
        <w:t>GAAP</w:t>
      </w:r>
      <w:r>
        <w:rPr>
          <w:color w:val="000000"/>
          <w:shd w:fill="FFFFFF" w:val="clear"/>
        </w:rPr>
        <w:t>”</w:t>
      </w:r>
      <w:r>
        <w:rPr>
          <w:rFonts w:ascii="sans-serif" w:hAnsi="sans-serif"/>
          <w:b w:val="false"/>
          <w:color w:val="000000"/>
          <w:sz w:val="20"/>
        </w:rPr>
        <w:t>), the Company uses the following non-GAAP measures of financial performance: non-GAAP gross profit, non-GAAP gross margin, non-GAAP operating income (loss), non-GAAP net income (loss), non-GAAP basic and diluted net income (loss) per common share, non-GAAP research and development, non-GAAP sales and marketing, non-GAAP general and administrative, free cash flow and adjusted EBITDA. The presentation of this additional financial information is not intended to be considered in isolation from, as a substitute for, or superior to, the financial information prepared and presented in accordance with GAAP. These non-GAAP measures have limitations in that they do not reflect all of the amounts associated with our results of operations as determined in accordance with GAAP. In addition, these non-GAAP financial measures may be different from the non-GAAP financial measures used by other companies. These non-GAAP measures should only be used to evaluate our results of operations in conjunction with the corresponding GAAP measures. Management compensates for these limitations by reconciling these non-GAAP financial measures to the most comparable GAAP financial measures within our earnings releases.</w:t>
      </w:r>
    </w:p>
    <w:p>
      <w:pPr>
        <w:pStyle w:val="TextBody"/>
        <w:bidi w:val="0"/>
        <w:spacing w:lineRule="auto" w:line="276" w:before="60" w:after="120"/>
        <w:jc w:val="left"/>
        <w:rPr/>
      </w:pPr>
      <w:r>
        <w:rPr>
          <w:rFonts w:ascii="sans-serif" w:hAnsi="sans-serif"/>
          <w:b w:val="false"/>
          <w:color w:val="000000"/>
          <w:sz w:val="20"/>
        </w:rPr>
        <w:t>Non-GAAP gross profit, non-GAAP gross margin, non-GAAP operating income (loss), non-GAAP net income (loss) and non-GAAP basic and diluted net income (loss) per common share, non-GAAP research and development, non-GAAP sales and marketing, and non-GAAP general and administrative differ from GAAP in that they exclude stock-based compensation expense and related employer payroll taxes, amortization of capitalized stock-based compensation - cost of revenue</w:t>
      </w:r>
      <w:r>
        <w:rPr>
          <w:rFonts w:ascii="sans-serif" w:hAnsi="sans-serif"/>
          <w:b/>
          <w:color w:val="000000"/>
          <w:sz w:val="20"/>
        </w:rPr>
        <w:t xml:space="preserve">, </w:t>
      </w:r>
      <w:r>
        <w:rPr>
          <w:rFonts w:ascii="sans-serif" w:hAnsi="sans-serif"/>
          <w:b w:val="false"/>
          <w:color w:val="000000"/>
          <w:sz w:val="20"/>
        </w:rPr>
        <w:t xml:space="preserve">amortization of acquired intangible assets, </w:t>
      </w:r>
      <w:r>
        <w:rPr>
          <w:rFonts w:ascii="Inter;sans-serif" w:hAnsi="Inter;sans-serif"/>
          <w:b w:val="false"/>
          <w:color w:val="000000"/>
          <w:sz w:val="18"/>
        </w:rPr>
        <w:t xml:space="preserve">executive transition costs, </w:t>
      </w:r>
      <w:r>
        <w:rPr>
          <w:rFonts w:ascii="sans-serif" w:hAnsi="sans-serif"/>
          <w:b w:val="false"/>
          <w:color w:val="000000"/>
          <w:sz w:val="20"/>
        </w:rPr>
        <w:t>and amortization of debt discount and issuance costs.</w:t>
      </w:r>
    </w:p>
    <w:p>
      <w:pPr>
        <w:pStyle w:val="TextBody"/>
        <w:bidi w:val="0"/>
        <w:spacing w:lineRule="auto" w:line="276" w:before="60" w:after="120"/>
        <w:jc w:val="left"/>
        <w:rPr/>
      </w:pPr>
      <w:r>
        <w:rPr>
          <w:rFonts w:ascii="sans-serif" w:hAnsi="sans-serif"/>
          <w:b/>
          <w:color w:val="000000"/>
          <w:sz w:val="20"/>
        </w:rPr>
        <w:t>Adjusted EBITDA</w:t>
      </w:r>
      <w:r>
        <w:rPr>
          <w:rFonts w:ascii="sans-serif" w:hAnsi="sans-serif"/>
          <w:b w:val="false"/>
          <w:color w:val="000000"/>
          <w:sz w:val="20"/>
        </w:rPr>
        <w:t>: excludes stock-based compensation expense and related employer payroll taxes, amortization of capitalized stock-based compensation - cost of revenue, gain on modification of lease, depreciation and other amortization expenses, amortization of acquired intangible assets, impairment expense, executive transition costs, interest income, interest expense, including amortization of debt discount and issuance costs, other expense (income), net, and income taxes.</w:t>
      </w:r>
    </w:p>
    <w:p>
      <w:pPr>
        <w:pStyle w:val="TextBody"/>
        <w:bidi w:val="0"/>
        <w:spacing w:lineRule="auto" w:line="276" w:before="60" w:after="120"/>
        <w:jc w:val="left"/>
        <w:rPr/>
      </w:pPr>
      <w:r>
        <w:rPr>
          <w:rFonts w:ascii="sans-serif" w:hAnsi="sans-serif"/>
          <w:b/>
          <w:color w:val="000000"/>
          <w:sz w:val="20"/>
        </w:rPr>
        <w:t>Amortization of Acquired Intangible Assets</w:t>
      </w:r>
      <w:r>
        <w:rPr>
          <w:rFonts w:ascii="sans-serif" w:hAnsi="sans-serif"/>
          <w:b w:val="false"/>
          <w:color w:val="000000"/>
          <w:sz w:val="20"/>
        </w:rPr>
        <w:t>: consists of non-cash charges that can be affected by the timing and magnitude of asset purchases and acquisitions. Management considers its operating results without this activity when evaluating its ongoing non-GAAP performance and its adjusted EBITDA performance because these charges are non-cash expenses that can be affected by the timing and magnitude of asset purchases and acquisitions and may not be reflective of our core business, ongoing operating results, or future outlook</w:t>
      </w:r>
      <w:r>
        <w:rPr>
          <w:rFonts w:ascii="sans-serif" w:hAnsi="sans-serif"/>
          <w:b w:val="false"/>
          <w:color w:val="000000"/>
          <w:sz w:val="24"/>
        </w:rPr>
        <w:t>.</w:t>
      </w:r>
    </w:p>
    <w:p>
      <w:pPr>
        <w:pStyle w:val="TextBody"/>
        <w:bidi w:val="0"/>
        <w:spacing w:lineRule="auto" w:line="276" w:before="60" w:after="120"/>
        <w:jc w:val="left"/>
        <w:rPr/>
      </w:pPr>
      <w:r>
        <w:rPr>
          <w:rFonts w:ascii="sans-serif" w:hAnsi="sans-serif"/>
          <w:b/>
          <w:color w:val="000000"/>
          <w:sz w:val="20"/>
        </w:rPr>
        <w:t>Amortization of Debt Discount and Issuance Costs</w:t>
      </w:r>
      <w:r>
        <w:rPr>
          <w:rFonts w:ascii="sans-serif" w:hAnsi="sans-serif"/>
          <w:b w:val="false"/>
          <w:color w:val="000000"/>
          <w:sz w:val="20"/>
        </w:rPr>
        <w:t xml:space="preserve">: consists primarily of amortization expense related to our debt obligations. Management considers its operating results without this activity when evaluating its ongoing non-GAAP net income (loss) performance and its adjusted EBITDA performance because it is not believed by management to be reflective of our core </w:t>
      </w:r>
      <w:r>
        <w:rPr>
          <w:rFonts w:ascii="sans-serif" w:hAnsi="sans-serif"/>
          <w:b w:val="false"/>
          <w:color w:val="000000"/>
          <w:sz w:val="20"/>
          <w:shd w:fill="FFFFFF" w:val="clear"/>
        </w:rPr>
        <w:t>business, ongoing operating results or future outlook. These are included in our total interest expense.</w:t>
      </w:r>
    </w:p>
    <w:p>
      <w:pPr>
        <w:pStyle w:val="TextBody"/>
        <w:bidi w:val="0"/>
        <w:spacing w:lineRule="auto" w:line="276" w:before="60" w:after="120"/>
        <w:jc w:val="left"/>
        <w:rPr/>
      </w:pPr>
      <w:r>
        <w:rPr>
          <w:rFonts w:ascii="sans-serif" w:hAnsi="sans-serif"/>
          <w:b/>
          <w:color w:val="000000"/>
          <w:sz w:val="20"/>
          <w:shd w:fill="FFFFFF" w:val="clear"/>
        </w:rPr>
        <w:t>Capital Expenditures</w:t>
      </w:r>
      <w:r>
        <w:rPr>
          <w:rFonts w:ascii="sans-serif" w:hAnsi="sans-serif"/>
          <w:b w:val="false"/>
          <w:color w:val="000000"/>
          <w:sz w:val="20"/>
          <w:shd w:fill="FFFFFF" w:val="clear"/>
        </w:rPr>
        <w:t>: consists of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lineRule="auto" w:line="276" w:before="60" w:after="120"/>
        <w:jc w:val="left"/>
        <w:rPr/>
      </w:pPr>
      <w:r>
        <w:rPr>
          <w:rFonts w:ascii="sans-serif" w:hAnsi="sans-serif"/>
          <w:b/>
          <w:color w:val="000000"/>
          <w:sz w:val="20"/>
          <w:shd w:fill="FFFFFF" w:val="clear"/>
        </w:rPr>
        <w:t>Depreciation a</w:t>
      </w:r>
      <w:r>
        <w:rPr>
          <w:rFonts w:ascii="sans-serif" w:hAnsi="sans-serif"/>
          <w:b/>
          <w:color w:val="000000"/>
          <w:sz w:val="20"/>
        </w:rPr>
        <w:t>nd Other Amortization Expense</w:t>
      </w:r>
      <w:r>
        <w:rPr>
          <w:rFonts w:ascii="sans-serif" w:hAnsi="sans-serif"/>
          <w:b w:val="false"/>
          <w:color w:val="000000"/>
          <w:sz w:val="20"/>
        </w:rPr>
        <w:t>: consists of non-cash charges that can be affected by the timing and magnitude of asset purchases. Management considers its operating results without this activity when evaluating its ongoing adjusted EBITDA performance because these charges are non-cash expenses that can be affected by the timing and magnitude of asset purchases and may not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Executive Transition Costs</w:t>
      </w:r>
      <w:r>
        <w:rPr>
          <w:rFonts w:ascii="sans-serif" w:hAnsi="sans-serif"/>
          <w:b w:val="false"/>
          <w:color w:val="000000"/>
          <w:sz w:val="20"/>
        </w:rPr>
        <w:t>: consists of one-time cash charges recognized with respect to changes in our executive’s employment status.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Free Cash Flow</w:t>
      </w:r>
      <w:r>
        <w:rPr>
          <w:rFonts w:ascii="sans-serif" w:hAnsi="sans-serif"/>
          <w:b w:val="false"/>
          <w:color w:val="000000"/>
          <w:sz w:val="20"/>
        </w:rPr>
        <w:t xml:space="preserve">: calculated as net cash used in operating activities less purchases of property and equipment, net of proceeds from sale of property and equipment, and capitalized internal-use software costs. Management specifically identifies adjusting items in the reconciliation of GAAP to non-GAAP financial measures. Management considers non-GAAP free cash flow to be a profitability and liquidity measure that provides useful information to management and investors about the amount of cash generated by the business that can possibly be used for investing in Fastly's business and strengthening its balance sheet, but it is not intended to represent the residual cash flow available for discretionary expenditures. The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presentation of non-GAAP free cash flow is also not meant to be considered in isolation or as an alternative to cash flows from operating activities as a measure of liquidity.</w:t>
      </w:r>
    </w:p>
    <w:p>
      <w:pPr>
        <w:pStyle w:val="TextBody"/>
        <w:bidi w:val="0"/>
        <w:spacing w:lineRule="auto" w:line="276" w:before="60" w:after="120"/>
        <w:jc w:val="left"/>
        <w:rPr/>
      </w:pPr>
      <w:r>
        <w:rPr>
          <w:rFonts w:ascii="sans-serif" w:hAnsi="sans-serif"/>
          <w:b/>
          <w:color w:val="000000"/>
          <w:sz w:val="20"/>
        </w:rPr>
        <w:t>Gain on Modification of Lease</w:t>
      </w:r>
      <w:r>
        <w:rPr>
          <w:rFonts w:ascii="sans-serif" w:hAnsi="sans-serif"/>
          <w:b w:val="false"/>
          <w:color w:val="000000"/>
          <w:sz w:val="20"/>
        </w:rPr>
        <w:t>: consists of a one-time non-cash charge recognized with respect to the modification of our leases.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sans-serif" w:hAnsi="sans-serif"/>
          <w:b/>
          <w:color w:val="000000"/>
          <w:sz w:val="20"/>
        </w:rPr>
        <w:t xml:space="preserve">Impairment Expense: </w:t>
      </w:r>
      <w:r>
        <w:rPr>
          <w:rFonts w:ascii="sans-serif" w:hAnsi="sans-serif"/>
          <w:b w:val="false"/>
          <w:color w:val="000000"/>
          <w:sz w:val="20"/>
        </w:rPr>
        <w:t>consists of charges related to our long-lived assets.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Income Taxes</w:t>
      </w:r>
      <w:r>
        <w:rPr>
          <w:rFonts w:ascii="sans-serif" w:hAnsi="sans-serif"/>
          <w:b w:val="false"/>
          <w:color w:val="000000"/>
          <w:sz w:val="20"/>
        </w:rPr>
        <w:t>: consists primarily of expenses recognized related to state and foreign income taxes.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Interest Expense</w:t>
      </w:r>
      <w:r>
        <w:rPr>
          <w:rFonts w:ascii="sans-serif" w:hAnsi="sans-serif"/>
          <w:b w:val="false"/>
          <w:color w:val="000000"/>
          <w:sz w:val="20"/>
        </w:rPr>
        <w:t>: consists primarily of interest expense related to our debt instruments, including amortization of debt discount and issuance costs.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Interest Income</w:t>
      </w:r>
      <w:r>
        <w:rPr>
          <w:rFonts w:ascii="sans-serif" w:hAnsi="sans-serif"/>
          <w:b w:val="false"/>
          <w:color w:val="000000"/>
          <w:sz w:val="20"/>
        </w:rPr>
        <w:t>: consists primarily of interest income related to our marketable securities.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Other (Expense) Income, Net</w:t>
      </w:r>
      <w:r>
        <w:rPr>
          <w:rFonts w:ascii="sans-serif" w:hAnsi="sans-serif"/>
          <w:b w:val="false"/>
          <w:color w:val="000000"/>
          <w:sz w:val="20"/>
        </w:rPr>
        <w:t>: consists primarily of foreign currency transaction gains and losses.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60" w:after="120"/>
        <w:jc w:val="left"/>
        <w:rPr/>
      </w:pPr>
      <w:r>
        <w:rPr>
          <w:rFonts w:ascii="sans-serif" w:hAnsi="sans-serif"/>
          <w:b/>
          <w:color w:val="000000"/>
          <w:sz w:val="20"/>
        </w:rPr>
        <w:t>Stock-Based Compensation Expense and Related Employer Payroll Taxes</w:t>
      </w:r>
      <w:r>
        <w:rPr>
          <w:rFonts w:ascii="sans-serif" w:hAnsi="sans-serif"/>
          <w:b w:val="false"/>
          <w:color w:val="000000"/>
          <w:sz w:val="20"/>
        </w:rPr>
        <w:t>: consists of expenses for stock options, restricted stock units, performance awards and other shares issued under our equity incentive plans or our Employee Stock Purchase Plan ("ESPP"), as applicable, and the related employer payroll taxes. Although stock-based compensation and its related employer payroll taxes are expenses for the Company, management considers its operating results without this activity when evaluating its ongoing non-GAAP net income (loss) performance and its adjusted EBITDA performance, primarily because they are expenses not believed by management to be reflective of our core business, ongoing operating results, or future outlook. In addition, the value of some stock-based instruments is determined using formulas that incorporate variables, such as market volatility, that are beyond our control.</w:t>
      </w:r>
    </w:p>
    <w:p>
      <w:pPr>
        <w:pStyle w:val="TextBody"/>
        <w:bidi w:val="0"/>
        <w:spacing w:lineRule="auto" w:line="276" w:before="60" w:after="120"/>
        <w:jc w:val="left"/>
        <w:rPr/>
      </w:pPr>
      <w:r>
        <w:rPr>
          <w:rFonts w:ascii="sans-serif" w:hAnsi="sans-serif"/>
          <w:b/>
          <w:color w:val="000000"/>
          <w:sz w:val="20"/>
        </w:rPr>
        <w:t>Amortization of Capitalized Stock-Based Compensation - Cost of Revenue</w:t>
      </w:r>
      <w:r>
        <w:rPr>
          <w:rFonts w:ascii="sans-serif" w:hAnsi="sans-serif"/>
          <w:b w:val="false"/>
          <w:color w:val="000000"/>
          <w:sz w:val="20"/>
        </w:rPr>
        <w:t>:</w:t>
      </w:r>
      <w:r>
        <w:rPr>
          <w:color w:val="000000"/>
        </w:rPr>
        <w:t xml:space="preserve"> </w:t>
      </w:r>
      <w:r>
        <w:rPr>
          <w:rFonts w:ascii="sans-serif" w:hAnsi="sans-serif"/>
          <w:b w:val="false"/>
          <w:color w:val="000000"/>
          <w:sz w:val="20"/>
        </w:rPr>
        <w:t>in order to reflect the performance of our core business, ongoing operating results, or future outlook, and to be consistent with the way many investors evaluate our performance and compare our operating results to peer companies, similar to stock-based compensation, management considers it appropriate to exclude amortization of capitalized stock-based compensation from our non-GAAP financial measures.</w:t>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Management believes these non-GAAP financial measures and adjusted EBITDA serve as useful metrics for our management and investors because they enable a better understanding of the long-term performance of our core business and facilitate comparisons of our operating results over multiple periods and to those of peer companies, and when taken together with the corresponding GAAP financial measures and our reconciliations, enhance investors' overall understanding of our current financial performance.</w:t>
      </w:r>
    </w:p>
    <w:p>
      <w:pPr>
        <w:pStyle w:val="TextBody"/>
        <w:bidi w:val="0"/>
        <w:spacing w:lineRule="auto" w:line="276" w:before="60" w:after="120"/>
        <w:jc w:val="left"/>
        <w:rPr>
          <w:rFonts w:ascii="sans-serif" w:hAnsi="sans-serif"/>
          <w:b w:val="false"/>
          <w:color w:val="000000"/>
          <w:sz w:val="20"/>
        </w:rPr>
      </w:pPr>
      <w:r>
        <w:rPr>
          <w:rFonts w:ascii="sans-serif" w:hAnsi="sans-serif"/>
          <w:b w:val="false"/>
          <w:color w:val="000000"/>
          <w:sz w:val="20"/>
        </w:rPr>
        <w:t>In the financial tables below, the Company provides a reconciliation of the most comparable GAAP financial measure to the historical non-GAAP financial measures used in this press release.</w:t>
      </w:r>
    </w:p>
    <w:p>
      <w:pPr>
        <w:pStyle w:val="TextBody"/>
        <w:bidi w:val="0"/>
        <w:spacing w:lineRule="auto" w:line="276" w:before="60" w:after="120"/>
        <w:jc w:val="left"/>
        <w:rPr>
          <w:rFonts w:ascii="sans-serif" w:hAnsi="sans-serif"/>
          <w:b/>
          <w:color w:val="000000"/>
          <w:sz w:val="22"/>
        </w:rPr>
      </w:pPr>
      <w:r>
        <w:rPr>
          <w:rFonts w:ascii="sans-serif" w:hAnsi="sans-serif"/>
          <w:b/>
          <w:color w:val="000000"/>
          <w:sz w:val="22"/>
        </w:rPr>
        <w:t>Key Metrics</w:t>
      </w:r>
    </w:p>
    <w:p>
      <w:pPr>
        <w:pStyle w:val="TextBody"/>
        <w:bidi w:val="0"/>
        <w:spacing w:lineRule="auto" w:line="276" w:before="60" w:after="120"/>
        <w:jc w:val="left"/>
        <w:rPr/>
      </w:pPr>
      <w:r>
        <w:rPr>
          <w:rFonts w:ascii="sans-serif" w:hAnsi="sans-serif"/>
          <w:b w:val="false"/>
          <w:color w:val="000000"/>
          <w:sz w:val="13"/>
        </w:rPr>
        <w:t xml:space="preserve">1 </w:t>
      </w:r>
      <w:r>
        <w:rPr>
          <w:rFonts w:ascii="sans-serif" w:hAnsi="sans-serif"/>
          <w:b w:val="false"/>
          <w:color w:val="000000"/>
          <w:sz w:val="20"/>
        </w:rPr>
        <w:t xml:space="preserve">Beginning with the quarter ended March 31, 2026, we are excluding stock-based compensation related employer payroll taxes from our non-GAAP gross margin, non-GAAP operating income (loss), non-GAAP net income (loss) per common share — basic and non-GAAP net income (loss) per common share — diluted, because we consider our operating results without this activity when evaluating our ongoing non-GAAP net income (loss) performance and our adjusted EBITDA performance. We did not recast the presentation for all prior periods presented due to the immaterial amount of such payroll taxes. </w:t>
      </w:r>
    </w:p>
    <w:p>
      <w:pPr>
        <w:pStyle w:val="TextBody"/>
        <w:bidi w:val="0"/>
        <w:spacing w:lineRule="auto" w:line="276" w:before="60" w:after="120"/>
        <w:jc w:val="left"/>
        <w:rPr/>
      </w:pPr>
      <w:r>
        <w:rPr>
          <w:rFonts w:ascii="sans-serif" w:hAnsi="sans-serif"/>
          <w:b w:val="false"/>
          <w:color w:val="000000"/>
          <w:sz w:val="13"/>
        </w:rPr>
        <w:t xml:space="preserve">2 </w:t>
      </w:r>
      <w:r>
        <w:rPr>
          <w:rFonts w:ascii="sans-serif" w:hAnsi="sans-serif"/>
          <w:b w:val="false"/>
          <w:color w:val="000000"/>
          <w:sz w:val="20"/>
        </w:rPr>
        <w:t>Remaining Performance Obligations include future committed revenue for periods within current contracts with customers, as well as deferred revenue arising from consideration invoiced for which the related performance obligations have not been satisfied. During the third quarter of 2025, we identified an error in RPO calculations from certain contracts with a termination-for-convenience clause. We recast the presentation of RPO for all prior periods presented to reflect the correction of this error.</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60" w:after="120"/>
        <w:jc w:val="left"/>
        <w:rPr/>
      </w:pPr>
      <w:r>
        <w:rPr>
          <w:rFonts w:ascii="sans-serif" w:hAnsi="sans-serif"/>
          <w:b w:val="false"/>
          <w:color w:val="000000"/>
          <w:sz w:val="13"/>
        </w:rPr>
        <w:t xml:space="preserve">3 </w:t>
      </w:r>
      <w:r>
        <w:rPr>
          <w:rFonts w:ascii="sans-serif" w:hAnsi="sans-serif"/>
          <w:b w:val="false"/>
          <w:color w:val="000000"/>
          <w:sz w:val="20"/>
        </w:rPr>
        <w:t>We calculate LTM Net Retention Rate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We believe the LTM Net Retention Rate is supplemental as it removes some of the volatility that is inherent in a usage-based business model.</w:t>
      </w:r>
    </w:p>
    <w:p>
      <w:pPr>
        <w:pStyle w:val="TextBody"/>
        <w:bidi w:val="0"/>
        <w:spacing w:lineRule="auto" w:line="276" w:before="60" w:after="120"/>
        <w:jc w:val="left"/>
        <w:rPr/>
      </w:pPr>
      <w:r>
        <w:rPr>
          <w:rFonts w:ascii="sans-serif" w:hAnsi="sans-serif"/>
          <w:b w:val="false"/>
          <w:color w:val="000000"/>
          <w:sz w:val="13"/>
        </w:rPr>
        <w:t xml:space="preserve">4 </w:t>
      </w:r>
      <w:r>
        <w:rPr>
          <w:rFonts w:ascii="sans-serif" w:hAnsi="sans-serif"/>
          <w:b w:val="false"/>
          <w:color w:val="000000"/>
          <w:sz w:val="20"/>
        </w:rPr>
        <w:t xml:space="preserve">Non-GAAP net income per share is calculated as Non-GAAP net income divided by weighted average diluted shares for 2026. </w:t>
      </w:r>
    </w:p>
    <w:p>
      <w:pPr>
        <w:pStyle w:val="TextBody"/>
        <w:bidi w:val="0"/>
        <w:spacing w:lineRule="auto" w:line="276" w:before="60" w:after="120"/>
        <w:jc w:val="left"/>
        <w:rPr/>
      </w:pPr>
      <w:r>
        <w:rPr>
          <w:rFonts w:ascii="sans-serif" w:hAnsi="sans-serif"/>
          <w:b w:val="false"/>
          <w:color w:val="000000"/>
          <w:sz w:val="13"/>
        </w:rPr>
        <w:t xml:space="preserve">5 </w:t>
      </w:r>
      <w:r>
        <w:rPr>
          <w:rFonts w:ascii="sans-serif" w:hAnsi="sans-serif"/>
          <w:b w:val="false"/>
          <w:color w:val="000000"/>
          <w:sz w:val="20"/>
        </w:rPr>
        <w:t>Assumes weighted average diluted shares outstanding of 181.4 million in Q3 2026 and 180.3 million for the full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240" w:after="283"/>
        <w:jc w:val="left"/>
        <w:rPr>
          <w:rFonts w:ascii="sans-serif" w:hAnsi="sans-serif"/>
          <w:b/>
          <w:color w:val="182931"/>
          <w:sz w:val="20"/>
        </w:rPr>
      </w:pPr>
      <w:r>
        <w:rPr>
          <w:rFonts w:ascii="sans-serif" w:hAnsi="sans-serif"/>
          <w:b/>
          <w:color w:val="182931"/>
          <w:sz w:val="20"/>
        </w:rPr>
        <w:t>Condensed Consolidated Statements of Operations</w:t>
      </w:r>
    </w:p>
    <w:p>
      <w:pPr>
        <w:pStyle w:val="TextBody"/>
        <w:bidi w:val="0"/>
        <w:spacing w:lineRule="auto" w:line="276" w:before="0" w:after="120"/>
        <w:jc w:val="left"/>
        <w:rPr>
          <w:rFonts w:ascii="sans-serif" w:hAnsi="sans-serif"/>
          <w:b/>
          <w:color w:val="182931"/>
          <w:sz w:val="20"/>
        </w:rPr>
      </w:pPr>
      <w:r>
        <w:rPr>
          <w:rFonts w:ascii="sans-serif" w:hAnsi="sans-serif"/>
          <w:b/>
          <w:color w:val="182931"/>
          <w:sz w:val="20"/>
        </w:rPr>
        <w:t>(unaudited, in thousands, except per share amounts)</w:t>
      </w:r>
    </w:p>
    <w:tbl>
      <w:tblPr>
        <w:tblW w:w="10205" w:type="dxa"/>
        <w:jc w:val="center"/>
        <w:tblInd w:w="0" w:type="dxa"/>
        <w:tblLayout w:type="fixed"/>
        <w:tblCellMar>
          <w:top w:w="28" w:type="dxa"/>
          <w:left w:w="28" w:type="dxa"/>
          <w:bottom w:w="28" w:type="dxa"/>
          <w:right w:w="28" w:type="dxa"/>
        </w:tblCellMar>
      </w:tblPr>
      <w:tblGrid>
        <w:gridCol w:w="1924"/>
        <w:gridCol w:w="1071"/>
        <w:gridCol w:w="1080"/>
        <w:gridCol w:w="109"/>
        <w:gridCol w:w="109"/>
        <w:gridCol w:w="109"/>
        <w:gridCol w:w="226"/>
        <w:gridCol w:w="858"/>
        <w:gridCol w:w="109"/>
        <w:gridCol w:w="109"/>
        <w:gridCol w:w="109"/>
        <w:gridCol w:w="109"/>
        <w:gridCol w:w="226"/>
        <w:gridCol w:w="858"/>
        <w:gridCol w:w="109"/>
        <w:gridCol w:w="109"/>
        <w:gridCol w:w="109"/>
        <w:gridCol w:w="109"/>
        <w:gridCol w:w="226"/>
        <w:gridCol w:w="858"/>
        <w:gridCol w:w="109"/>
        <w:gridCol w:w="109"/>
        <w:gridCol w:w="109"/>
        <w:gridCol w:w="109"/>
        <w:gridCol w:w="226"/>
        <w:gridCol w:w="858"/>
        <w:gridCol w:w="159"/>
      </w:tblGrid>
      <w:tr>
        <w:trPr/>
        <w:tc>
          <w:tcPr>
            <w:tcW w:w="192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293,183 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115,951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224,132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157,914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79,650 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100,413 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52,558 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130,384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118,059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262,460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233,036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(75,122)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(6,337)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(75,441)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 xml:space="preserve">Income tax expense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(76,689)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(0.53)</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157,596</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155,598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(1)Includes stock-based compensation expense as follows:</w:t>
      </w:r>
    </w:p>
    <w:tbl>
      <w:tblPr>
        <w:tblW w:w="8426" w:type="dxa"/>
        <w:jc w:val="center"/>
        <w:tblInd w:w="0" w:type="dxa"/>
        <w:tblLayout w:type="fixed"/>
        <w:tblCellMar>
          <w:top w:w="28" w:type="dxa"/>
          <w:left w:w="28" w:type="dxa"/>
          <w:bottom w:w="28" w:type="dxa"/>
          <w:right w:w="28" w:type="dxa"/>
        </w:tblCellMar>
      </w:tblPr>
      <w:tblGrid>
        <w:gridCol w:w="880"/>
        <w:gridCol w:w="773"/>
        <w:gridCol w:w="776"/>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35,172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26,335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70,153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51,917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Reconciliation of GAAP to Non-GAAP Financial Measures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(unaudited, in thousands, except per share data)</w:t>
      </w:r>
    </w:p>
    <w:tbl>
      <w:tblPr>
        <w:tblW w:w="10205" w:type="dxa"/>
        <w:jc w:val="left"/>
        <w:tblInd w:w="0" w:type="dxa"/>
        <w:tblLayout w:type="fixed"/>
        <w:tblCellMar>
          <w:top w:w="28" w:type="dxa"/>
          <w:left w:w="28" w:type="dxa"/>
          <w:bottom w:w="28" w:type="dxa"/>
          <w:right w:w="28" w:type="dxa"/>
        </w:tblCellMar>
      </w:tblPr>
      <w:tblGrid>
        <w:gridCol w:w="1289"/>
        <w:gridCol w:w="1047"/>
        <w:gridCol w:w="863"/>
        <w:gridCol w:w="109"/>
        <w:gridCol w:w="109"/>
        <w:gridCol w:w="109"/>
        <w:gridCol w:w="226"/>
        <w:gridCol w:w="946"/>
        <w:gridCol w:w="271"/>
        <w:gridCol w:w="109"/>
        <w:gridCol w:w="109"/>
        <w:gridCol w:w="109"/>
        <w:gridCol w:w="226"/>
        <w:gridCol w:w="826"/>
        <w:gridCol w:w="271"/>
        <w:gridCol w:w="109"/>
        <w:gridCol w:w="109"/>
        <w:gridCol w:w="109"/>
        <w:gridCol w:w="226"/>
        <w:gridCol w:w="946"/>
        <w:gridCol w:w="271"/>
        <w:gridCol w:w="109"/>
        <w:gridCol w:w="109"/>
        <w:gridCol w:w="109"/>
        <w:gridCol w:w="226"/>
        <w:gridCol w:w="946"/>
        <w:gridCol w:w="317"/>
      </w:tblGrid>
      <w:tr>
        <w:trPr/>
        <w:tc>
          <w:tcPr>
            <w:tcW w:w="12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3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224,132 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157,914 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4,512 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120,671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87,745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233,288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170,598</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63.3</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54.5</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62.9</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53.9</w:t>
            </w:r>
            <w:r>
              <w:rPr>
                <w:color w:val="000000"/>
              </w:rPr>
              <w:t>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65.8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65.5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58.2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79,650 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(12,967)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(20,648)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29,104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30,466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59,688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59,002</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100,413 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(14,869)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43,706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40,645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86,259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80,964</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52,558 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(11,888)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20,868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21,228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41,205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41,071</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(75,122)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26,993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46,136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(10,439)</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(36,115)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(76,689)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9,530 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26,201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49,116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(11,572)</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0.17</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0.32</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(0.08)</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0.28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 average basic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157,596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155,598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 average diluted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180,304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178,410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 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pStyle w:val="TextBody"/>
        <w:bidi w:val="0"/>
        <w:spacing w:lineRule="auto" w:line="288" w:before="160" w:after="283"/>
        <w:ind w:left="0" w:right="0" w:hanging="360"/>
        <w:jc w:val="left"/>
        <w:rPr>
          <w:rFonts w:ascii="sans-serif" w:hAnsi="sans-serif"/>
          <w:b/>
          <w:color w:val="182931"/>
          <w:sz w:val="20"/>
        </w:rPr>
      </w:pPr>
      <w:r>
        <w:rPr>
          <w:rFonts w:ascii="sans-serif" w:hAnsi="sans-serif"/>
          <w:b/>
          <w:color w:val="182931"/>
          <w:sz w:val="20"/>
        </w:rPr>
        <w:t>Reconciliation of GAAP to Non-GAAP Financial Measures (continued)</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 xml:space="preserve">(unaudited, in thousands, except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6"/>
        <w:gridCol w:w="1476"/>
        <w:gridCol w:w="1479"/>
        <w:gridCol w:w="109"/>
        <w:gridCol w:w="109"/>
        <w:gridCol w:w="109"/>
        <w:gridCol w:w="263"/>
        <w:gridCol w:w="683"/>
        <w:gridCol w:w="109"/>
        <w:gridCol w:w="109"/>
        <w:gridCol w:w="109"/>
        <w:gridCol w:w="109"/>
        <w:gridCol w:w="258"/>
        <w:gridCol w:w="688"/>
        <w:gridCol w:w="109"/>
        <w:gridCol w:w="109"/>
        <w:gridCol w:w="109"/>
        <w:gridCol w:w="109"/>
        <w:gridCol w:w="263"/>
        <w:gridCol w:w="683"/>
        <w:gridCol w:w="109"/>
        <w:gridCol w:w="109"/>
        <w:gridCol w:w="109"/>
        <w:gridCol w:w="109"/>
        <w:gridCol w:w="258"/>
        <w:gridCol w:w="688"/>
        <w:gridCol w:w="155"/>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Reconciliation of GAAP to Non-GAAP 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157,596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155,598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dilutive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180,304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178,410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3"/>
        <w:gridCol w:w="1342"/>
        <w:gridCol w:w="1317"/>
        <w:gridCol w:w="109"/>
        <w:gridCol w:w="109"/>
        <w:gridCol w:w="109"/>
        <w:gridCol w:w="226"/>
        <w:gridCol w:w="826"/>
        <w:gridCol w:w="109"/>
        <w:gridCol w:w="109"/>
        <w:gridCol w:w="109"/>
        <w:gridCol w:w="109"/>
        <w:gridCol w:w="226"/>
        <w:gridCol w:w="771"/>
        <w:gridCol w:w="109"/>
        <w:gridCol w:w="109"/>
        <w:gridCol w:w="109"/>
        <w:gridCol w:w="109"/>
        <w:gridCol w:w="226"/>
        <w:gridCol w:w="826"/>
        <w:gridCol w:w="109"/>
        <w:gridCol w:w="109"/>
        <w:gridCol w:w="109"/>
        <w:gridCol w:w="109"/>
        <w:gridCol w:w="226"/>
        <w:gridCol w:w="826"/>
        <w:gridCol w:w="155"/>
      </w:tblGrid>
      <w:tr>
        <w:trPr/>
        <w:tc>
          <w:tcPr>
            <w:tcW w:w="160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(76,689)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38,122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67,585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16,716</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Condensed Consolidated Balance Sheets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 xml:space="preserve">(unaudited, in thousands) </w:t>
      </w:r>
    </w:p>
    <w:tbl>
      <w:tblPr>
        <w:tblW w:w="8730" w:type="dxa"/>
        <w:jc w:val="center"/>
        <w:tblInd w:w="0" w:type="dxa"/>
        <w:tblLayout w:type="fixed"/>
        <w:tblCellMar>
          <w:top w:w="28" w:type="dxa"/>
          <w:left w:w="28" w:type="dxa"/>
          <w:bottom w:w="28" w:type="dxa"/>
          <w:right w:w="28" w:type="dxa"/>
        </w:tblCellMar>
      </w:tblPr>
      <w:tblGrid>
        <w:gridCol w:w="1684"/>
        <w:gridCol w:w="1477"/>
        <w:gridCol w:w="1489"/>
        <w:gridCol w:w="109"/>
        <w:gridCol w:w="109"/>
        <w:gridCol w:w="109"/>
        <w:gridCol w:w="226"/>
        <w:gridCol w:w="1126"/>
        <w:gridCol w:w="109"/>
        <w:gridCol w:w="109"/>
        <w:gridCol w:w="109"/>
        <w:gridCol w:w="109"/>
        <w:gridCol w:w="295"/>
        <w:gridCol w:w="1469"/>
        <w:gridCol w:w="201"/>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w:t>
              <w:br/>
              <w:t>December 31, 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180,563 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181,196 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118,029 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479,047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506,709</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186,785 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52,067 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57,789 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70,669 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24,427 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35,234 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142,523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193,998</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323,282 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512,826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569,899</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2,141,909 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2,044,103 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(1,150,602)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(1,114,487)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990,817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929,578</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1,503,643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Condensed Consolidated Statements of Cash Flows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(unaudited, in thousands)</w:t>
      </w:r>
    </w:p>
    <w:tbl>
      <w:tblPr>
        <w:tblW w:w="10205" w:type="dxa"/>
        <w:jc w:val="left"/>
        <w:tblInd w:w="0" w:type="dxa"/>
        <w:tblLayout w:type="fixed"/>
        <w:tblCellMar>
          <w:top w:w="28" w:type="dxa"/>
          <w:left w:w="28" w:type="dxa"/>
          <w:bottom w:w="28" w:type="dxa"/>
          <w:right w:w="28" w:type="dxa"/>
        </w:tblCellMar>
      </w:tblPr>
      <w:tblGrid>
        <w:gridCol w:w="1607"/>
        <w:gridCol w:w="1297"/>
        <w:gridCol w:w="1302"/>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160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(76,689)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Accretion of discounts and amortization of premiums,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39,334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68,200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43,086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(266,602)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(272,926)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(98,694)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(69,954)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(125,648)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(248,839)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Payments of other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exercise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2,489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(33,284)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1,810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Effects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(203,688)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89,798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82,487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89,798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82,487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52" w:before="0" w:after="0"/>
        <w:jc w:val="left"/>
        <w:rPr>
          <w:rFonts w:ascii="sans-serif" w:hAnsi="sans-serif"/>
          <w:b/>
          <w:color w:val="182931"/>
          <w:sz w:val="20"/>
          <w:shd w:fill="FFFFFF" w:val="clear"/>
        </w:rPr>
      </w:pPr>
      <w:r>
        <w:rPr>
          <w:rFonts w:ascii="sans-serif" w:hAnsi="sans-serif"/>
          <w:b/>
          <w:color w:val="182931"/>
          <w:sz w:val="20"/>
          <w:shd w:fill="FFFFFF" w:val="clear"/>
        </w:rPr>
        <w:t>Free Cash Flow</w:t>
      </w:r>
    </w:p>
    <w:p>
      <w:pPr>
        <w:pStyle w:val="TextBody"/>
        <w:bidi w:val="0"/>
        <w:spacing w:lineRule="auto" w:line="252" w:before="0" w:after="0"/>
        <w:jc w:val="left"/>
        <w:rPr/>
      </w:pPr>
      <w:r>
        <w:rPr>
          <w:rFonts w:ascii="sans-serif" w:hAnsi="sans-serif"/>
          <w:b/>
          <w:color w:val="182931"/>
          <w:sz w:val="20"/>
          <w:shd w:fill="FFFFFF" w:val="clear"/>
        </w:rPr>
        <w:t>(</w:t>
      </w:r>
      <w:r>
        <w:rPr>
          <w:rFonts w:ascii="sans-serif" w:hAnsi="sans-serif"/>
          <w:b/>
          <w:color w:val="182931"/>
          <w:sz w:val="20"/>
        </w:rPr>
        <w:t xml:space="preserve">unaudited, </w:t>
      </w:r>
      <w:r>
        <w:rPr>
          <w:rFonts w:ascii="sans-serif" w:hAnsi="sans-serif"/>
          <w:b/>
          <w:color w:val="182931"/>
          <w:sz w:val="20"/>
          <w:shd w:fill="FFFFFF" w:val="clear"/>
        </w:rPr>
        <w:t>in thousands)</w:t>
      </w:r>
    </w:p>
    <w:tbl>
      <w:tblPr>
        <w:tblW w:w="9761"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226"/>
        <w:gridCol w:w="721"/>
        <w:gridCol w:w="109"/>
        <w:gridCol w:w="109"/>
        <w:gridCol w:w="109"/>
        <w:gridCol w:w="109"/>
        <w:gridCol w:w="226"/>
        <w:gridCol w:w="826"/>
        <w:gridCol w:w="109"/>
        <w:gridCol w:w="109"/>
        <w:gridCol w:w="109"/>
        <w:gridCol w:w="109"/>
        <w:gridCol w:w="226"/>
        <w:gridCol w:w="721"/>
        <w:gridCol w:w="109"/>
        <w:gridCol w:w="109"/>
        <w:gridCol w:w="109"/>
        <w:gridCol w:w="109"/>
        <w:gridCol w:w="226"/>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shd w:fill="FFFFFF" w:val="clear"/>
              </w:rPr>
            </w:pPr>
            <w:r>
              <w:rPr>
                <w:rFonts w:ascii="Open Sans;sans-serif" w:hAnsi="Open Sans;sans-serif"/>
                <w:b/>
                <w:color w:val="000000"/>
                <w:sz w:val="16"/>
                <w:shd w:fill="FFFFFF" w:val="clear"/>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shd w:fill="FFFFFF" w:val="clear"/>
              </w:rPr>
            </w:pPr>
            <w:r>
              <w:rPr>
                <w:rFonts w:ascii="Open Sans;sans-serif" w:hAnsi="Open Sans;sans-serif"/>
                <w:b/>
                <w:color w:val="000000"/>
                <w:sz w:val="16"/>
                <w:shd w:fill="FFFFFF" w:val="clear"/>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shd w:fill="FFFFFF" w:val="clear"/>
              </w:rPr>
            </w:pPr>
            <w:r>
              <w:rPr>
                <w:rFonts w:ascii="Open Sans;sans-serif" w:hAnsi="Open Sans;sans-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shd w:fill="FFFFFF" w:val="clear"/>
              </w:rPr>
            </w:pPr>
            <w:r>
              <w:rPr>
                <w:rFonts w:ascii="Open Sans;sans-serif" w:hAnsi="Open Sans;sans-serif"/>
                <w:b/>
                <w:color w:val="000000"/>
                <w:sz w:val="16"/>
                <w:shd w:fill="FFFFFF" w:val="clear"/>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shd w:fill="FFFFFF" w:val="clear"/>
              </w:rPr>
            </w:pPr>
            <w:r>
              <w:rPr>
                <w:rFonts w:ascii="Open Sans;sans-serif" w:hAnsi="Open Sans;sans-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shd w:fill="FFFFFF" w:val="clear"/>
              </w:rPr>
            </w:pPr>
            <w:r>
              <w:rPr>
                <w:rFonts w:ascii="Open Sans;sans-serif" w:hAnsi="Open Sans;sans-serif"/>
                <w:b/>
                <w:color w:val="000000"/>
                <w:sz w:val="16"/>
                <w:shd w:fill="FFFFFF" w:val="clear"/>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Capital expenditures</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3,573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19,120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Open Sans;sans-serif" w:hAnsi="Open Sans;sans-serif"/>
          <w:b w:val="false"/>
          <w:color w:val="000000"/>
          <w:sz w:val="16"/>
          <w:shd w:fill="FFFFFF" w:val="clear"/>
        </w:rPr>
      </w:pPr>
      <w:r>
        <w:rPr>
          <w:rFonts w:ascii="Open Sans;sans-serif" w:hAnsi="Open Sans;sans-serif"/>
          <w:b w:val="false"/>
          <w:color w:val="000000"/>
          <w:sz w:val="16"/>
          <w:shd w:fill="FFFFFF" w:val="clear"/>
        </w:rPr>
        <w:t>__________</w:t>
      </w:r>
    </w:p>
    <w:p>
      <w:pPr>
        <w:pStyle w:val="TextBody"/>
        <w:bidi w:val="0"/>
        <w:spacing w:lineRule="auto" w:line="276" w:before="0" w:after="120"/>
        <w:ind w:left="0" w:right="0" w:hanging="360"/>
        <w:jc w:val="left"/>
        <w:rPr>
          <w:rFonts w:ascii="Open Sans;sans-serif" w:hAnsi="Open Sans;sans-serif"/>
          <w:b w:val="false"/>
          <w:color w:val="000000"/>
          <w:sz w:val="16"/>
          <w:shd w:fill="FFFFFF" w:val="clear"/>
        </w:rPr>
      </w:pPr>
      <w:r>
        <w:rPr>
          <w:rFonts w:ascii="Open Sans;sans-serif" w:hAnsi="Open Sans;sans-serif"/>
          <w:b w:val="false"/>
          <w:color w:val="000000"/>
          <w:sz w:val="16"/>
          <w:shd w:fill="FFFFFF" w:val="clear"/>
        </w:rPr>
        <w:t>(1)Capital expenditures are defined as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before="160" w:after="240"/>
        <w:jc w:val="left"/>
        <w:rPr/>
      </w:pPr>
      <w:r>
        <w:rPr/>
      </w:r>
    </w:p>
    <w:p>
      <w:pPr>
        <w:pStyle w:val="TextBody"/>
        <w:bidi w:val="0"/>
        <w:spacing w:before="160" w:after="240"/>
        <w:jc w:val="left"/>
        <w:rPr/>
      </w:pPr>
      <w:r>
        <w:rPr/>
      </w:r>
    </w:p>
    <w:p>
      <w:pPr>
        <w:pStyle w:val="TextBody"/>
        <w:bidi w:val="0"/>
        <w:spacing w:before="160" w:after="24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Contacts</w:t>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Investor Contact</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Vernon Essi, Jr. </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ir@fastly.com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Media Contact</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Stacey Hurwitz</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press@fastly.com</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0"/>
        </w:rPr>
      </w:pPr>
      <w:r>
        <w:rPr>
          <w:rFonts w:ascii="sans-serif" w:hAnsi="sans-serif"/>
          <w:b w:val="false"/>
          <w:color w:val="000000"/>
          <w:sz w:val="20"/>
        </w:rPr>
        <w:t>Source: Fastly,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838200" cy="32385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838200" cy="3238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240"/>
        <w:jc w:val="left"/>
        <w:rPr>
          <w:rFonts w:ascii="Inter;sans-serif" w:hAnsi="Inter;sans-serif"/>
          <w:b/>
          <w:color w:val="00759C"/>
          <w:sz w:val="22"/>
        </w:rPr>
      </w:pPr>
      <w:r>
        <w:rPr>
          <w:rFonts w:ascii="Inter;sans-serif" w:hAnsi="Inter;sans-serif"/>
          <w:b/>
          <w:color w:val="00759C"/>
          <w:sz w:val="22"/>
        </w:rPr>
        <w:t>Second Quarter 2026 Investor Supplement</w:t>
      </w:r>
    </w:p>
    <w:p>
      <w:pPr>
        <w:pStyle w:val="TextBody"/>
        <w:bidi w:val="0"/>
        <w:spacing w:lineRule="auto" w:line="288" w:before="360" w:after="120"/>
        <w:jc w:val="left"/>
        <w:rPr/>
      </w:pPr>
      <w:r>
        <w:rPr>
          <w:rFonts w:ascii="Inter;sans-serif" w:hAnsi="Inter;sans-serif"/>
          <w:b/>
          <w:color w:val="00759C"/>
          <w:sz w:val="20"/>
        </w:rPr>
        <w:t>Product Innovation and Developments</w:t>
      </w:r>
      <w:r>
        <w:rPr>
          <w:color w:val="00759C"/>
        </w:rPr>
        <w:t xml:space="preserve"> </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Released a joint announcement with LALIGA on the collaboration of anti-piracy solutions that are designed to address illegal streaming of live sports and help rights holders prevent lost revenue.</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Released C++ SDK for Fastly Compute, enabling enterprises to secure, scale, and accelerate their C++ AI workloads, gaming features, and other low-latency applications.</w:t>
      </w:r>
    </w:p>
    <w:p>
      <w:pPr>
        <w:pStyle w:val="TextBody"/>
        <w:bidi w:val="0"/>
        <w:spacing w:lineRule="auto" w:line="288" w:before="240" w:after="120"/>
        <w:jc w:val="left"/>
        <w:rPr>
          <w:rFonts w:ascii="Inter;sans-serif" w:hAnsi="Inter;sans-serif"/>
          <w:b/>
          <w:color w:val="00759C"/>
          <w:sz w:val="20"/>
        </w:rPr>
      </w:pPr>
      <w:r>
        <w:rPr>
          <w:rFonts w:ascii="Inter;sans-serif" w:hAnsi="Inter;sans-serif"/>
          <w:b/>
          <w:color w:val="00759C"/>
          <w:sz w:val="20"/>
        </w:rPr>
        <w:t>Customer Highlights</w:t>
      </w:r>
    </w:p>
    <w:p>
      <w:pPr>
        <w:pStyle w:val="TextBody"/>
        <w:bidi w:val="0"/>
        <w:spacing w:lineRule="auto" w:line="268" w:before="60" w:after="240"/>
        <w:ind w:left="0" w:right="0" w:hanging="180"/>
        <w:jc w:val="left"/>
        <w:rPr/>
      </w:pPr>
      <w:r>
        <w:rPr>
          <w:color w:val="000000"/>
        </w:rPr>
        <w:t>•</w:t>
      </w:r>
      <w:r>
        <w:rPr>
          <w:rFonts w:ascii="Inter;sans-serif" w:hAnsi="Inter;sans-serif"/>
          <w:b w:val="false"/>
          <w:color w:val="000000"/>
          <w:sz w:val="18"/>
        </w:rPr>
        <w:t xml:space="preserve">A leading UK health and beauty retailer expanded its use of Fastly’s platform with a multi-year, multi-million dollar commitment, replacing a long-time incumbent security vendor as part of a broader platform modernization. </w:t>
      </w:r>
    </w:p>
    <w:p>
      <w:pPr>
        <w:pStyle w:val="TextBody"/>
        <w:bidi w:val="0"/>
        <w:spacing w:lineRule="auto" w:line="288" w:before="60" w:after="240"/>
        <w:ind w:left="0" w:right="0" w:hanging="180"/>
        <w:jc w:val="left"/>
        <w:rPr/>
      </w:pPr>
      <w:r>
        <w:rPr>
          <w:color w:val="000000"/>
        </w:rPr>
        <w:t>•</w:t>
      </w:r>
      <w:r>
        <w:rPr>
          <w:rFonts w:ascii="Inter;sans-serif" w:hAnsi="Inter;sans-serif"/>
          <w:b w:val="false"/>
          <w:color w:val="000000"/>
          <w:sz w:val="18"/>
        </w:rPr>
        <w:t>Le Monde is using Fastly’s Bot Management solution to set the terms for how their content gets accessed, transforming a scraping problem into controlled, licensed, revenue-generating relationships.</w:t>
      </w:r>
    </w:p>
    <w:p>
      <w:pPr>
        <w:pStyle w:val="TextBody"/>
        <w:bidi w:val="0"/>
        <w:spacing w:lineRule="auto" w:line="288" w:before="60" w:after="240"/>
        <w:ind w:left="0" w:right="0" w:hanging="180"/>
        <w:jc w:val="left"/>
        <w:rPr/>
      </w:pPr>
      <w:r>
        <w:rPr>
          <w:color w:val="000000"/>
        </w:rPr>
        <w:t>•</w:t>
      </w:r>
      <w:r>
        <w:rPr>
          <w:rFonts w:ascii="Inter;sans-serif" w:hAnsi="Inter;sans-serif"/>
          <w:b w:val="false"/>
          <w:color w:val="000000"/>
          <w:sz w:val="18"/>
        </w:rPr>
        <w:t>A global education technology firm chose Fastly’s Next-Gen WAF after suffering a significant data breach when its prior WAF failed to adequately mitigate attacks.</w:t>
      </w:r>
    </w:p>
    <w:p>
      <w:pPr>
        <w:pStyle w:val="TextBody"/>
        <w:bidi w:val="0"/>
        <w:spacing w:lineRule="auto" w:line="288" w:before="60" w:after="240"/>
        <w:ind w:left="0" w:right="0" w:hanging="180"/>
        <w:jc w:val="left"/>
        <w:rPr/>
      </w:pPr>
      <w:r>
        <w:rPr>
          <w:color w:val="000000"/>
        </w:rPr>
        <w:t>•</w:t>
      </w:r>
      <w:r>
        <w:rPr>
          <w:rFonts w:ascii="Inter;sans-serif" w:hAnsi="Inter;sans-serif"/>
          <w:b w:val="false"/>
          <w:color w:val="000000"/>
          <w:sz w:val="18"/>
        </w:rPr>
        <w:t>A leading fintech company selected Fastly after a rigorous evaluation, leveraging its resiliency and security capabilities to overcome a history of service disruptions with alternative solutions.</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A major auto-shopping platform added Fastly’s Bot Management and DDoS Protection to gain visibility and control over automated traffic, giving them the governance capabilities they need to run their business.</w:t>
      </w:r>
    </w:p>
    <w:p>
      <w:pPr>
        <w:pStyle w:val="TextBody"/>
        <w:bidi w:val="0"/>
        <w:spacing w:before="60" w:after="160"/>
        <w:ind w:left="0" w:right="0" w:firstLine="180"/>
        <w:jc w:val="left"/>
        <w:rPr/>
      </w:pPr>
      <w:r>
        <w:rPr/>
      </w:r>
    </w:p>
    <w:tbl>
      <w:tblPr>
        <w:tblW w:w="12171" w:type="dxa"/>
        <w:jc w:val="left"/>
        <w:tblInd w:w="0" w:type="dxa"/>
        <w:tblLayout w:type="fixed"/>
        <w:tblCellMar>
          <w:top w:w="28" w:type="dxa"/>
          <w:left w:w="28" w:type="dxa"/>
          <w:bottom w:w="28" w:type="dxa"/>
          <w:right w:w="28" w:type="dxa"/>
        </w:tblCellMar>
      </w:tblPr>
      <w:tblGrid>
        <w:gridCol w:w="551"/>
        <w:gridCol w:w="287"/>
        <w:gridCol w:w="288"/>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79"/>
        <w:gridCol w:w="207"/>
        <w:gridCol w:w="461"/>
        <w:gridCol w:w="109"/>
        <w:gridCol w:w="109"/>
        <w:gridCol w:w="109"/>
        <w:gridCol w:w="327"/>
        <w:gridCol w:w="259"/>
        <w:gridCol w:w="514"/>
      </w:tblGrid>
      <w:tr>
        <w:trPr/>
        <w:tc>
          <w:tcPr>
            <w:tcW w:w="5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744"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Inter;sans-serif" w:hAnsi="Inter;sans-serif"/>
                <w:b/>
                <w:color w:val="00759C"/>
                <w:sz w:val="20"/>
              </w:rPr>
            </w:pPr>
            <w:r>
              <w:rPr>
                <w:rFonts w:ascii="Inter;sans-serif" w:hAnsi="Inter;sans-serif"/>
                <w:b/>
                <w:color w:val="00759C"/>
                <w:sz w:val="20"/>
              </w:rPr>
              <w:t>Calculations of Key and Other Selected Metrics – Quarterly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2026</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u w:val="single"/>
              </w:rPr>
            </w:pPr>
            <w:r>
              <w:rPr>
                <w:rFonts w:ascii="sans-serif" w:hAnsi="sans-serif"/>
                <w:b w:val="false"/>
                <w:color w:val="000000"/>
                <w:sz w:val="18"/>
                <w:u w:val="single"/>
              </w:rPr>
              <w:t>Revenue by Product ($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Network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133.9</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Security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41.7</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sans-serif" w:hAnsi="sans-serif"/>
                <w:b w:val="false"/>
                <w:color w:val="000000"/>
                <w:sz w:val="18"/>
              </w:rPr>
            </w:pPr>
            <w:r>
              <w:rPr>
                <w:rFonts w:ascii="sans-serif" w:hAnsi="sans-serif"/>
                <w:b w:val="false"/>
                <w:color w:val="000000"/>
                <w:sz w:val="18"/>
              </w:rPr>
              <w:t>7.7</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183.3</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u w:val="single"/>
              </w:rPr>
            </w:pPr>
            <w:r>
              <w:rPr>
                <w:rFonts w:ascii="sans-serif" w:hAnsi="sans-serif"/>
                <w:b w:val="false"/>
                <w:color w:val="000000"/>
                <w:sz w:val="18"/>
                <w:u w:val="single"/>
              </w:rPr>
              <w:t>Key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Large Customer Count</w:t>
            </w:r>
            <w:r>
              <w:rPr>
                <w:rFonts w:ascii="sans-serif" w:hAnsi="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624 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Large Customer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Top Ten Customer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LTM Net Retention Rate </w:t>
            </w:r>
            <w:r>
              <w:rPr>
                <w:rFonts w:ascii="sans-serif" w:hAnsi="sans-serif"/>
                <w:b w:val="false"/>
                <w:color w:val="000000"/>
                <w:sz w:val="17"/>
              </w:rPr>
              <w:t>(NRR)</w:t>
            </w:r>
            <w:r>
              <w:rPr>
                <w:rFonts w:ascii="sans-serif" w:hAnsi="sans-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val="false"/>
                <w:color w:val="000000"/>
                <w:sz w:val="17"/>
              </w:rPr>
              <w:t xml:space="preserve">Remaining Performance Obligations </w:t>
            </w:r>
            <w:r>
              <w:rPr>
                <w:rFonts w:ascii="sans-serif" w:hAnsi="sans-serif"/>
                <w:b w:val="false"/>
                <w:color w:val="000000"/>
                <w:sz w:val="16"/>
              </w:rPr>
              <w:t>(RPO)</w:t>
            </w:r>
            <w:r>
              <w:rPr>
                <w:rFonts w:ascii="sans-serif" w:hAnsi="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340.9</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Current RPO %</w:t>
            </w:r>
            <w:r>
              <w:rPr>
                <w:rFonts w:ascii="sans-serif" w:hAnsi="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75.0 </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79.0 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360" w:after="120"/>
        <w:ind w:left="0" w:right="0" w:hanging="360"/>
        <w:jc w:val="right"/>
        <w:rPr>
          <w:rFonts w:ascii="sans-serif" w:hAnsi="sans-serif"/>
          <w:b/>
          <w:color w:val="000000"/>
          <w:sz w:val="22"/>
        </w:rPr>
      </w:pPr>
      <w:r>
        <w:rPr>
          <w:rFonts w:ascii="sans-serif" w:hAnsi="sans-serif"/>
          <w:b/>
          <w:color w:val="000000"/>
          <w:sz w:val="22"/>
        </w:rPr>
        <w:t>Exhibit 99.2</w:t>
      </w:r>
    </w:p>
    <w:p>
      <w:pPr>
        <w:pStyle w:val="TextBody"/>
        <w:bidi w:val="0"/>
        <w:spacing w:lineRule="auto" w:line="288" w:before="360" w:after="120"/>
        <w:ind w:left="0" w:right="0" w:hanging="360"/>
        <w:jc w:val="left"/>
        <w:rPr>
          <w:rFonts w:ascii="Inter;sans-serif" w:hAnsi="Inter;sans-serif"/>
          <w:b/>
          <w:color w:val="00759C"/>
          <w:sz w:val="20"/>
        </w:rPr>
      </w:pPr>
      <w:r>
        <w:rPr>
          <w:rFonts w:ascii="Inter;sans-serif" w:hAnsi="Inter;sans-serif"/>
          <w:b/>
          <w:color w:val="00759C"/>
          <w:sz w:val="20"/>
        </w:rPr>
        <w:t>Corporate Highlights</w:t>
      </w:r>
    </w:p>
    <w:p>
      <w:pPr>
        <w:pStyle w:val="TextBody"/>
        <w:bidi w:val="0"/>
        <w:spacing w:lineRule="auto" w:line="268" w:before="60" w:after="60"/>
        <w:ind w:left="0" w:right="0" w:hanging="180"/>
        <w:jc w:val="left"/>
        <w:rPr/>
      </w:pPr>
      <w:r>
        <w:rPr>
          <w:color w:val="000000"/>
        </w:rPr>
        <w:t>•</w:t>
      </w:r>
      <w:r>
        <w:rPr>
          <w:rFonts w:ascii="Inter;sans-serif" w:hAnsi="Inter;sans-serif"/>
          <w:b w:val="false"/>
          <w:color w:val="000000"/>
          <w:sz w:val="18"/>
        </w:rPr>
        <w:t>Announced new research showing how rapidly growing AI traffic is reshaping the internet, growing 6.5x faster than human traffic this year, and why organizations need new strategies to manage machine traffic.</w:t>
      </w:r>
    </w:p>
    <w:p>
      <w:pPr>
        <w:pStyle w:val="TextBody"/>
        <w:bidi w:val="0"/>
        <w:spacing w:lineRule="auto" w:line="288" w:before="60" w:after="160"/>
        <w:ind w:left="0" w:right="0" w:hanging="180"/>
        <w:jc w:val="left"/>
        <w:rPr/>
      </w:pPr>
      <w:r>
        <w:rPr>
          <w:color w:val="000000"/>
        </w:rPr>
        <w:t>•</w:t>
      </w:r>
      <w:r>
        <w:rPr>
          <w:rFonts w:ascii="Inter;sans-serif" w:hAnsi="Inter;sans-serif"/>
          <w:b w:val="false"/>
          <w:color w:val="000000"/>
          <w:sz w:val="18"/>
        </w:rPr>
        <w:t>Announced a new partnership with Skyfire enabling trusted commerce at the edge so enterprises can now securely identify, verify, and transact with AI agents in real time and at global scale, without re-architecting existing infrastructure.</w:t>
      </w:r>
    </w:p>
    <w:p>
      <w:pPr>
        <w:pStyle w:val="TextBody"/>
        <w:bidi w:val="0"/>
        <w:spacing w:lineRule="auto" w:line="288" w:before="240" w:after="120"/>
        <w:ind w:left="0" w:right="0" w:hanging="360"/>
        <w:jc w:val="left"/>
        <w:rPr>
          <w:rFonts w:ascii="Inter;sans-serif" w:hAnsi="Inter;sans-serif"/>
          <w:b/>
          <w:color w:val="00759C"/>
          <w:sz w:val="20"/>
        </w:rPr>
      </w:pPr>
      <w:r>
        <w:rPr>
          <w:rFonts w:ascii="Inter;sans-serif" w:hAnsi="Inter;sans-serif"/>
          <w:b/>
          <w:color w:val="00759C"/>
          <w:sz w:val="20"/>
        </w:rPr>
        <w:t>Key Financial &amp; Metrics Highlights</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 xml:space="preserve">Total revenue of $183.3 million, representing 23% year-over-year growth highlighted by Security revenue growing 43% year-over-year and representing 23% of total revenue. </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Generated $39.3 million of operating cash flow compared to $25.8 million of operating cash flow in the second quarter of 2025. Generated $3.6 million of positive free cash flow compared to $10.9 million in the second quarter of 2025.</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Remaining Performance Obligations (RPO)</w:t>
      </w:r>
      <w:r>
        <w:rPr>
          <w:rFonts w:ascii="Inter;sans-serif" w:hAnsi="Inter;sans-serif"/>
          <w:b w:val="false"/>
          <w:color w:val="000000"/>
          <w:sz w:val="12"/>
        </w:rPr>
        <w:t>1</w:t>
      </w:r>
      <w:r>
        <w:rPr>
          <w:color w:val="000000"/>
        </w:rPr>
        <w:t xml:space="preserve"> </w:t>
      </w:r>
      <w:r>
        <w:rPr>
          <w:rFonts w:ascii="Inter;sans-serif" w:hAnsi="Inter;sans-serif"/>
          <w:b w:val="false"/>
          <w:color w:val="000000"/>
          <w:sz w:val="18"/>
        </w:rPr>
        <w:t xml:space="preserve">were $341 million, up 38% from </w:t>
      </w:r>
      <w:r>
        <w:rPr>
          <w:rFonts w:ascii="sans-serif" w:hAnsi="sans-serif"/>
          <w:b w:val="false"/>
          <w:color w:val="000000"/>
          <w:sz w:val="20"/>
        </w:rPr>
        <w:t>$247 million</w:t>
      </w:r>
      <w:r>
        <w:rPr>
          <w:color w:val="000000"/>
        </w:rPr>
        <w:t xml:space="preserve"> </w:t>
      </w:r>
      <w:r>
        <w:rPr>
          <w:rFonts w:ascii="Inter;sans-serif" w:hAnsi="Inter;sans-serif"/>
          <w:b w:val="false"/>
          <w:color w:val="000000"/>
          <w:sz w:val="18"/>
        </w:rPr>
        <w:t>in the second quarter of 2025.</w:t>
      </w:r>
    </w:p>
    <w:p>
      <w:pPr>
        <w:pStyle w:val="TextBody"/>
        <w:bidi w:val="0"/>
        <w:spacing w:lineRule="auto" w:line="268" w:before="60" w:after="160"/>
        <w:ind w:left="0" w:right="0" w:hanging="180"/>
        <w:jc w:val="left"/>
        <w:rPr/>
      </w:pPr>
      <w:r>
        <w:rPr>
          <w:color w:val="000000"/>
        </w:rPr>
        <w:t>•</w:t>
      </w:r>
      <w:r>
        <w:rPr>
          <w:rFonts w:ascii="Inter;sans-serif" w:hAnsi="Inter;sans-serif"/>
          <w:b w:val="false"/>
          <w:color w:val="000000"/>
          <w:sz w:val="18"/>
        </w:rPr>
        <w:t>Last 12-month net retention rate (LTM NRR)</w:t>
      </w:r>
      <w:r>
        <w:rPr>
          <w:rFonts w:ascii="Inter;sans-serif" w:hAnsi="Inter;sans-serif"/>
          <w:b w:val="false"/>
          <w:color w:val="000000"/>
          <w:sz w:val="12"/>
        </w:rPr>
        <w:t>2</w:t>
      </w:r>
      <w:r>
        <w:rPr>
          <w:color w:val="000000"/>
        </w:rPr>
        <w:t xml:space="preserve"> </w:t>
      </w:r>
      <w:r>
        <w:rPr>
          <w:rFonts w:ascii="Inter;sans-serif" w:hAnsi="Inter;sans-serif"/>
          <w:b w:val="false"/>
          <w:color w:val="000000"/>
          <w:sz w:val="18"/>
        </w:rPr>
        <w:t>increased to 117% in the second quarter from 113% in the first quarter of 2026.</w:t>
      </w:r>
    </w:p>
    <w:p>
      <w:pPr>
        <w:pStyle w:val="TextBody"/>
        <w:bidi w:val="0"/>
        <w:spacing w:lineRule="auto" w:line="288" w:before="240" w:after="100"/>
        <w:jc w:val="left"/>
        <w:rPr>
          <w:rFonts w:ascii="Inter;sans-serif" w:hAnsi="Inter;sans-serif"/>
          <w:b/>
          <w:color w:val="00759C"/>
          <w:sz w:val="20"/>
        </w:rPr>
      </w:pPr>
      <w:r>
        <w:rPr>
          <w:rFonts w:ascii="Inter;sans-serif" w:hAnsi="Inter;sans-serif"/>
          <w:b/>
          <w:color w:val="00759C"/>
          <w:sz w:val="20"/>
        </w:rPr>
        <w:t xml:space="preserve">Third Quarter and Full Year 2026 Guidance </w:t>
      </w:r>
    </w:p>
    <w:tbl>
      <w:tblPr>
        <w:tblW w:w="7567" w:type="dxa"/>
        <w:jc w:val="left"/>
        <w:tblInd w:w="0" w:type="dxa"/>
        <w:tblLayout w:type="fixed"/>
        <w:tblCellMar>
          <w:top w:w="28" w:type="dxa"/>
          <w:left w:w="28" w:type="dxa"/>
          <w:bottom w:w="28" w:type="dxa"/>
          <w:right w:w="28" w:type="dxa"/>
        </w:tblCellMar>
      </w:tblPr>
      <w:tblGrid>
        <w:gridCol w:w="1421"/>
        <w:gridCol w:w="1249"/>
        <w:gridCol w:w="1259"/>
        <w:gridCol w:w="109"/>
        <w:gridCol w:w="109"/>
        <w:gridCol w:w="109"/>
        <w:gridCol w:w="464"/>
        <w:gridCol w:w="464"/>
        <w:gridCol w:w="467"/>
        <w:gridCol w:w="109"/>
        <w:gridCol w:w="109"/>
        <w:gridCol w:w="109"/>
        <w:gridCol w:w="463"/>
        <w:gridCol w:w="463"/>
        <w:gridCol w:w="663"/>
      </w:tblGrid>
      <w:tr>
        <w:trPr/>
        <w:tc>
          <w:tcPr>
            <w:tcW w:w="142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Full Year 2026</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Total Revenue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$184.0 - $190.0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$732.0 - $746.0</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color w:val="000000"/>
                <w:sz w:val="17"/>
              </w:rPr>
              <w:t>Non-GAAP Operating Income (millions)</w:t>
            </w:r>
            <w:r>
              <w:rPr>
                <w:rFonts w:ascii="sans-serif" w:hAnsi="sans-serif"/>
                <w:b/>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$20.0 - $24.0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$88.0 - $96.0</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color w:val="000000"/>
                <w:sz w:val="17"/>
              </w:rPr>
              <w:t>Non-GAAP Net Income per share</w:t>
            </w:r>
            <w:r>
              <w:rPr>
                <w:rFonts w:ascii="sans-serif" w:hAnsi="sans-serif"/>
                <w:b/>
                <w:color w:val="000000"/>
                <w:sz w:val="11"/>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$0.11 - $0.13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$0.50 - $0.54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838200" cy="32385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8900"/>
                <wp:effectExtent l="0" t="0" r="0" b="0"/>
                <wp:wrapNone/>
                <wp:docPr id="18" name="Frame16"/>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w:t>
                      </w:r>
                    </w:p>
                  </w:txbxContent>
                </v:textbox>
                <w10:wrap type="none"/>
              </v:rect>
            </w:pict>
          </mc:Fallback>
        </mc:AlternateContent>
      </w:r>
    </w:p>
    <w:p>
      <w:pPr>
        <w:pStyle w:val="TextBody"/>
        <w:bidi w:val="0"/>
        <w:spacing w:lineRule="auto" w:line="276" w:before="240" w:after="240"/>
        <w:ind w:left="0" w:right="0" w:firstLine="720"/>
        <w:jc w:val="left"/>
        <w:rPr>
          <w:rFonts w:ascii="Inter;sans-serif" w:hAnsi="Inter;sans-serif"/>
          <w:b/>
          <w:color w:val="000000"/>
          <w:sz w:val="18"/>
        </w:rPr>
      </w:pPr>
      <w:r>
        <w:rPr>
          <w:rFonts w:ascii="Inter;sans-serif" w:hAnsi="Inter;sans-serif"/>
          <w:b/>
          <w:color w:val="000000"/>
          <w:sz w:val="18"/>
        </w:rPr>
        <w:t>Key Metrics</w:t>
      </w:r>
    </w:p>
    <w:p>
      <w:pPr>
        <w:pStyle w:val="TextBody"/>
        <w:bidi w:val="0"/>
        <w:spacing w:lineRule="auto" w:line="268" w:before="60" w:after="160"/>
        <w:ind w:left="0" w:right="0" w:hanging="360"/>
        <w:jc w:val="left"/>
        <w:rPr/>
      </w:pPr>
      <w:r>
        <w:rPr>
          <w:rFonts w:ascii="Inter;sans-serif" w:hAnsi="Inter;sans-serif"/>
          <w:b w:val="false"/>
          <w:color w:val="000000"/>
          <w:sz w:val="12"/>
        </w:rPr>
        <w:t>1.</w:t>
      </w:r>
      <w:r>
        <w:rPr>
          <w:rFonts w:ascii="Inter;sans-serif" w:hAnsi="Inter;sans-serif"/>
          <w:b w:val="false"/>
          <w:color w:val="000000"/>
          <w:sz w:val="18"/>
        </w:rPr>
        <w:t>Remaining Performance Obligations include future committed revenue for periods within current contracts with customers, as well as deferred revenue arising from consideration invoiced for which the related performance obligations have not been satisfied. During the third quarter of 2025, we identified an error in RPO calculations from certain contracts with a termination-for-convenience clause. We recast the presentation of RPO for all prior periods presented to reflect the correction of this error.</w:t>
      </w:r>
    </w:p>
    <w:p>
      <w:pPr>
        <w:pStyle w:val="TextBody"/>
        <w:bidi w:val="0"/>
        <w:spacing w:lineRule="auto" w:line="268" w:before="60" w:after="160"/>
        <w:ind w:left="0" w:right="0" w:hanging="360"/>
        <w:jc w:val="left"/>
        <w:rPr/>
      </w:pPr>
      <w:r>
        <w:rPr>
          <w:rFonts w:ascii="Inter;sans-serif" w:hAnsi="Inter;sans-serif"/>
          <w:b w:val="false"/>
          <w:color w:val="000000"/>
          <w:sz w:val="13"/>
        </w:rPr>
        <w:t>2.</w:t>
      </w:r>
      <w:r>
        <w:rPr>
          <w:rFonts w:ascii="Inter;sans-serif" w:hAnsi="Inter;sans-serif"/>
          <w:b w:val="false"/>
          <w:color w:val="000000"/>
          <w:sz w:val="18"/>
        </w:rPr>
        <w:t>We calculate LTM Net Retention Rate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We believe the LTM Net Retention Rate is supplemental as it removes some of the volatility that is inherent in a usage-based business model.</w:t>
      </w:r>
    </w:p>
    <w:p>
      <w:pPr>
        <w:pStyle w:val="TextBody"/>
        <w:bidi w:val="0"/>
        <w:spacing w:lineRule="auto" w:line="268" w:before="60" w:after="160"/>
        <w:ind w:left="0" w:right="0" w:hanging="360"/>
        <w:jc w:val="left"/>
        <w:rPr/>
      </w:pPr>
      <w:r>
        <w:rPr>
          <w:rFonts w:ascii="Inter;sans-serif" w:hAnsi="Inter;sans-serif"/>
          <w:b w:val="false"/>
          <w:color w:val="000000"/>
          <w:sz w:val="13"/>
        </w:rPr>
        <w:t>3.</w:t>
      </w:r>
      <w:r>
        <w:rPr>
          <w:rFonts w:ascii="Inter;sans-serif" w:hAnsi="Inter;sans-serif"/>
          <w:b w:val="false"/>
          <w:color w:val="000000"/>
          <w:sz w:val="18"/>
        </w:rPr>
        <w:t>For a reconciliation of non-GAAP financial measures to their corresponding GAAP measures, please refer to the reconciliation table at the end of this supplement. A reconciliation of non-GAAP guidance measures to corresponding GAAP measures is not available on a forward-looking basis without unreasonable effort due to the uncertainty of expenses that may be incurred in the future and cannot be reasonably determined or predicted at this time, although it is important to note that these factors could be material to Fastly’s future GAAP financial results.</w:t>
      </w:r>
    </w:p>
    <w:p>
      <w:pPr>
        <w:pStyle w:val="TextBody"/>
        <w:bidi w:val="0"/>
        <w:spacing w:lineRule="auto" w:line="268" w:before="60" w:after="160"/>
        <w:ind w:left="0" w:right="0" w:hanging="360"/>
        <w:jc w:val="left"/>
        <w:rPr/>
      </w:pPr>
      <w:r>
        <w:rPr>
          <w:rFonts w:ascii="Inter;sans-serif" w:hAnsi="Inter;sans-serif"/>
          <w:b w:val="false"/>
          <w:color w:val="000000"/>
          <w:sz w:val="12"/>
        </w:rPr>
        <w:t>4.</w:t>
      </w:r>
      <w:r>
        <w:rPr>
          <w:rFonts w:ascii="Inter;sans-serif" w:hAnsi="Inter;sans-serif"/>
          <w:b w:val="false"/>
          <w:color w:val="000000"/>
          <w:sz w:val="18"/>
        </w:rPr>
        <w:t>Assumes weighted average diluted shares outstanding of 181.4 million in Q3 2026 and 180.3 million for the full year 2026.</w:t>
      </w:r>
    </w:p>
    <w:p>
      <w:pPr>
        <w:pStyle w:val="TextBody"/>
        <w:bidi w:val="0"/>
        <w:spacing w:lineRule="auto" w:line="268" w:before="60" w:after="160"/>
        <w:ind w:left="0" w:right="0" w:hanging="360"/>
        <w:jc w:val="left"/>
        <w:rPr/>
      </w:pPr>
      <w:r>
        <w:rPr>
          <w:rFonts w:ascii="Inter;sans-serif" w:hAnsi="Inter;sans-serif"/>
          <w:b w:val="false"/>
          <w:color w:val="000000"/>
          <w:sz w:val="13"/>
        </w:rPr>
        <w:t>5.</w:t>
      </w:r>
      <w:r>
        <w:rPr>
          <w:rFonts w:ascii="Inter;sans-serif" w:hAnsi="Inter;sans-serif"/>
          <w:b w:val="false"/>
          <w:color w:val="000000"/>
          <w:sz w:val="18"/>
        </w:rPr>
        <w:t>Non-GAAP net income per share is calculated as Non-GAAP net income divided by weighted average diluted shares for 2026.</w:t>
      </w:r>
    </w:p>
    <w:p>
      <w:pPr>
        <w:pStyle w:val="TextBody"/>
        <w:bidi w:val="0"/>
        <w:spacing w:lineRule="auto" w:line="268" w:before="60" w:after="160"/>
        <w:ind w:left="0" w:right="0" w:hanging="360"/>
        <w:jc w:val="left"/>
        <w:rPr/>
      </w:pPr>
      <w:r>
        <w:rPr>
          <w:rFonts w:ascii="Inter;sans-serif" w:hAnsi="Inter;sans-serif"/>
          <w:b w:val="false"/>
          <w:color w:val="000000"/>
          <w:sz w:val="12"/>
        </w:rPr>
        <w:t>6.</w:t>
      </w:r>
      <w:r>
        <w:rPr>
          <w:rFonts w:ascii="Inter;sans-serif" w:hAnsi="Inter;sans-serif"/>
          <w:b w:val="false"/>
          <w:color w:val="000000"/>
          <w:sz w:val="18"/>
        </w:rPr>
        <w:t xml:space="preserve">Our large customers are defined as those with annualized current quarter revenue in excess of $100,000. This is calculated by taking the revenue for each customer within the quarter and multiplying it by four. </w:t>
      </w:r>
    </w:p>
    <w:p>
      <w:pPr>
        <w:pStyle w:val="TextBody"/>
        <w:bidi w:val="0"/>
        <w:spacing w:lineRule="auto" w:line="268" w:before="60" w:after="160"/>
        <w:ind w:left="0" w:right="0" w:hanging="360"/>
        <w:jc w:val="left"/>
        <w:rPr/>
      </w:pPr>
      <w:r>
        <w:rPr>
          <w:rFonts w:ascii="Inter;sans-serif" w:hAnsi="Inter;sans-serif"/>
          <w:b w:val="false"/>
          <w:color w:val="000000"/>
          <w:sz w:val="13"/>
        </w:rPr>
        <w:t>7.</w:t>
      </w:r>
      <w:r>
        <w:rPr>
          <w:rFonts w:ascii="Inter;sans-serif" w:hAnsi="Inter;sans-serif"/>
          <w:b w:val="false"/>
          <w:color w:val="000000"/>
          <w:sz w:val="18"/>
        </w:rPr>
        <w:t>Current RPO % is calculated as RPO expected to be recognized over the next 12 months divided by total RPO.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838200" cy="32385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8900"/>
                <wp:effectExtent l="0" t="0" r="0" b="0"/>
                <wp:wrapNone/>
                <wp:docPr id="20" name="Frame17"/>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2</w:t>
                      </w:r>
                    </w:p>
                  </w:txbxContent>
                </v:textbox>
                <w10:wrap type="none"/>
              </v:rect>
            </w:pict>
          </mc:Fallback>
        </mc:AlternateContent>
      </w:r>
    </w:p>
    <w:p>
      <w:pPr>
        <w:pStyle w:val="TextBody"/>
        <w:bidi w:val="0"/>
        <w:spacing w:lineRule="auto" w:line="180" w:before="0" w:after="0"/>
        <w:jc w:val="left"/>
        <w:rPr>
          <w:rFonts w:ascii="Inter;sans-serif" w:hAnsi="Inter;sans-serif"/>
          <w:b/>
          <w:color w:val="00759C"/>
          <w:sz w:val="28"/>
        </w:rPr>
      </w:pPr>
      <w:r>
        <w:rPr>
          <w:rFonts w:ascii="Inter;sans-serif" w:hAnsi="Inter;sans-serif"/>
          <w:b/>
          <w:color w:val="00759C"/>
          <w:sz w:val="28"/>
        </w:rPr>
        <w:t>Forward-Looking Statements</w:t>
      </w:r>
    </w:p>
    <w:p>
      <w:pPr>
        <w:pStyle w:val="TextBody"/>
        <w:bidi w:val="0"/>
        <w:spacing w:before="0" w:after="0"/>
        <w:jc w:val="left"/>
        <w:rPr/>
      </w:pPr>
      <w:r>
        <w:rPr/>
      </w:r>
    </w:p>
    <w:p>
      <w:pPr>
        <w:pStyle w:val="TextBody"/>
        <w:bidi w:val="0"/>
        <w:spacing w:lineRule="auto" w:line="268" w:before="60" w:after="160"/>
        <w:jc w:val="left"/>
        <w:rPr/>
      </w:pPr>
      <w:r>
        <w:rPr>
          <w:rFonts w:ascii="Inter;sans-serif" w:hAnsi="Inter;sans-serif"/>
          <w:b w:val="false"/>
          <w:color w:val="000000"/>
          <w:sz w:val="18"/>
        </w:rPr>
        <w:t>This investor supplement contains “forward-looking” statements that are based on our beliefs and assumptions and on information currently available to us.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statements regarding our future financial and operating performance and shareholder returns, including our outlook and guidance and ability to maintain and strengthen our liquidity position; our ability to acquire new customers, expand cross-sell opportunities, and grow market share; our ability to enrich our revenue mix with platform enhancements; the performance of our existing and new platform enhancements; our ability to accelerate global growth; our partnerships and collaborations; the performance, capabilities, and expectations regarding customer experiences with Fastly Compute, including its C++ SDK, Bot Management and DDoS Protection, and Next-Gen WAF; and Fastly's strategies, platform, and business plans.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those more fully described in Fastly's Annual Report on Form 10-K for the year ended December 31, 2025. Additional information will also be set forth in Fastly’s Quarterly Report on Form 10-Q for the quarter ended</w:t>
      </w:r>
      <w:r>
        <w:rPr>
          <w:color w:val="000000"/>
          <w:shd w:fill="FFFFFF" w:val="clear"/>
        </w:rPr>
        <w:t xml:space="preserve"> </w:t>
      </w:r>
      <w:r>
        <w:rPr>
          <w:rFonts w:ascii="Inter;sans-serif" w:hAnsi="Inter;sans-serif"/>
          <w:b w:val="false"/>
          <w:color w:val="000000"/>
          <w:sz w:val="18"/>
          <w:shd w:fill="FFFFFF" w:val="clear"/>
        </w:rPr>
        <w:t>June 30, 2026,</w:t>
      </w:r>
      <w:r>
        <w:rPr>
          <w:color w:val="000000"/>
        </w:rPr>
        <w:t xml:space="preserve"> </w:t>
      </w:r>
      <w:r>
        <w:rPr>
          <w:rFonts w:ascii="Inter;sans-serif" w:hAnsi="Inter;sans-serif"/>
          <w:b w:val="false"/>
          <w:color w:val="000000"/>
          <w:sz w:val="18"/>
        </w:rPr>
        <w:t>and other filings and reports that Fastly may file from time to time with the SEC. Copies of reports filed with the SEC are posted on Fastly’s website and are available from Fastly without charge.</w:t>
      </w:r>
    </w:p>
    <w:p>
      <w:pPr>
        <w:pStyle w:val="TextBody"/>
        <w:bidi w:val="0"/>
        <w:spacing w:lineRule="auto" w:line="276" w:before="240" w:after="240"/>
        <w:jc w:val="left"/>
        <w:rPr>
          <w:rFonts w:ascii="Inter;sans-serif" w:hAnsi="Inter;sans-serif"/>
          <w:b/>
          <w:color w:val="000000"/>
          <w:sz w:val="18"/>
        </w:rPr>
      </w:pPr>
      <w:r>
        <w:rPr>
          <w:rFonts w:ascii="Inter;sans-serif" w:hAnsi="Inter;sans-serif"/>
          <w:b/>
          <w:color w:val="000000"/>
          <w:sz w:val="18"/>
        </w:rPr>
        <w:t>Non-GAAP Financial Measures</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To supplement our condensed consolidated financial statements, which are prepared and presented in accordance with accounting principles generally accepted in the United States ("GAAP"), the Company uses the following non-GAAP measures of financial performance: non-GAAP gross profit, non-GAAP gross margin, non-GAAP operating income (loss), non-GAAP net income (loss), non-GAAP basic and diluted net income (loss) per common share, non-GAAP research and development, non-GAAP sales and marketing, non-GAAP general and administrative, free cash flow and adjusted EBITDA. The presentation of this additional financial information is not intended to be considered in isolation from, as a substitute for, or superior to, the financial information prepared and presented in accordance with GAAP. These non-GAAP measures have limitations in that they do not reflect all of the amounts associated with our results of operations as determined in accordance with GAAP. In addition, these non-GAAP financial measures may be different from the non-GAAP financial measures used by other companies. These non-GAAP measures should only be used to evaluate our results of operations in conjunction with the corresponding GAAP measures. Management compensates for these limitations by reconciling these non-GAAP financial measures to the most comparable GAAP financial measures within our earnings releases.</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Non-GAAP gross profit, non-GAAP gross margin, non-GAAP operating income (loss), non-GAAP net income (loss) and non-GAAP basic and diluted net income (loss) per common share, non-GAAP research and development, non-GAAP sales and marketing, and non-GAAP general and administrative differ from GAAP in that they exclude stock-based compensation expense and related employer payroll taxes, amortization of capitalized stock-based compensation - cost of revenue, amortization of acquired intangible assets, executive transition costs, net gain on extinguishment of debt, impairment expense, restructuring charges, gain on modification of lease, and amortization of debt discount and issuance costs.</w:t>
      </w:r>
    </w:p>
    <w:p>
      <w:pPr>
        <w:pStyle w:val="TextBody"/>
        <w:bidi w:val="0"/>
        <w:spacing w:lineRule="auto" w:line="268" w:before="60" w:after="160"/>
        <w:jc w:val="left"/>
        <w:rPr/>
      </w:pPr>
      <w:r>
        <w:rPr>
          <w:rFonts w:ascii="Inter;sans-serif" w:hAnsi="Inter;sans-serif"/>
          <w:b/>
          <w:color w:val="000000"/>
          <w:sz w:val="18"/>
        </w:rPr>
        <w:t>Adjusted EBITDA</w:t>
      </w:r>
      <w:r>
        <w:rPr>
          <w:rFonts w:ascii="Inter;sans-serif" w:hAnsi="Inter;sans-serif"/>
          <w:b w:val="false"/>
          <w:color w:val="000000"/>
          <w:sz w:val="18"/>
        </w:rPr>
        <w:t xml:space="preserve">: excludes stock-based compensation expense and related employer payroll taxes, amortization of capitalized stock-based compensation - cost of revenue, gain on modification of lease, depreciation and other amortization expenses, amortization of acquired intangible assets, net gain on extinguishment of debt, impairment expense, executive transition costs, restructuring charges, interest income, interest expense, including amortization of debt discount and issuance costs, other </w:t>
      </w:r>
      <w:r>
        <w:rPr>
          <w:rFonts w:ascii="sans-serif" w:hAnsi="sans-serif"/>
          <w:b w:val="false"/>
          <w:color w:val="000000"/>
          <w:sz w:val="20"/>
        </w:rPr>
        <w:t>expense (income)</w:t>
      </w:r>
      <w:r>
        <w:rPr>
          <w:rFonts w:ascii="Inter;sans-serif" w:hAnsi="Inter;sans-serif"/>
          <w:b w:val="false"/>
          <w:color w:val="000000"/>
          <w:sz w:val="18"/>
        </w:rPr>
        <w:t>, net, and income taxes.</w:t>
      </w:r>
    </w:p>
    <w:p>
      <w:pPr>
        <w:pStyle w:val="TextBody"/>
        <w:bidi w:val="0"/>
        <w:spacing w:lineRule="auto" w:line="268" w:before="60" w:after="160"/>
        <w:jc w:val="left"/>
        <w:rPr/>
      </w:pPr>
      <w:r>
        <w:rPr>
          <w:rFonts w:ascii="Inter;sans-serif" w:hAnsi="Inter;sans-serif"/>
          <w:b/>
          <w:color w:val="000000"/>
          <w:sz w:val="18"/>
        </w:rPr>
        <w:t>Amortization of Acquired Intangible Assets</w:t>
      </w:r>
      <w:r>
        <w:rPr>
          <w:rFonts w:ascii="Inter;sans-serif" w:hAnsi="Inter;sans-serif"/>
          <w:b w:val="false"/>
          <w:color w:val="000000"/>
          <w:sz w:val="18"/>
        </w:rPr>
        <w:t>: consists of non-cash charges that can be affected by the timing and magnitude of asset purchases and acquisitions. Management considers its operating results without this activity when evaluating its ongoing non-GAAP performance and its adjusted EBITDA performance because these charges are non-cash expenses that can be affected by the timing and magnitude of asset purchases and acquisitions and may not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Amortization of Debt Discount and Issuance Costs</w:t>
      </w:r>
      <w:r>
        <w:rPr>
          <w:rFonts w:ascii="Inter;sans-serif" w:hAnsi="Inter;sans-serif"/>
          <w:b w:val="false"/>
          <w:color w:val="000000"/>
          <w:sz w:val="18"/>
        </w:rPr>
        <w:t>: consists primarily of amortization expense related to our debt obligations.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 These are included in our total interest expense.</w:t>
      </w:r>
    </w:p>
    <w:p>
      <w:pPr>
        <w:pStyle w:val="TextBody"/>
        <w:bidi w:val="0"/>
        <w:spacing w:lineRule="auto" w:line="268" w:before="60" w:after="160"/>
        <w:jc w:val="left"/>
        <w:rPr/>
      </w:pPr>
      <w:r>
        <w:rPr>
          <w:rFonts w:ascii="Inter;sans-serif" w:hAnsi="Inter;sans-serif"/>
          <w:b/>
          <w:color w:val="000000"/>
          <w:sz w:val="18"/>
        </w:rPr>
        <w:t>Capital Expenditures</w:t>
      </w:r>
      <w:r>
        <w:rPr>
          <w:rFonts w:ascii="Inter;sans-serif" w:hAnsi="Inter;sans-serif"/>
          <w:b w:val="false"/>
          <w:color w:val="000000"/>
          <w:sz w:val="18"/>
        </w:rPr>
        <w:t>: consists of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before="60" w:after="160"/>
        <w:jc w:val="left"/>
        <w:rPr/>
      </w:pPr>
      <w:r>
        <w:rPr/>
      </w:r>
    </w:p>
    <w:p>
      <w:pPr>
        <w:pStyle w:val="TextBody"/>
        <w:bidi w:val="0"/>
        <w:spacing w:before="0" w:after="0"/>
        <w:jc w:val="left"/>
        <w:rPr/>
      </w:pPr>
      <w:r>
        <w:rPr/>
        <w:drawing>
          <wp:inline distT="0" distB="0" distL="0" distR="0">
            <wp:extent cx="838200" cy="32385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8900"/>
                <wp:effectExtent l="0" t="0" r="0" b="0"/>
                <wp:wrapNone/>
                <wp:docPr id="22" name="Frame18"/>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3</w:t>
                      </w:r>
                    </w:p>
                  </w:txbxContent>
                </v:textbox>
                <w10:wrap type="none"/>
              </v:rect>
            </w:pict>
          </mc:Fallback>
        </mc:AlternateContent>
      </w:r>
    </w:p>
    <w:p>
      <w:pPr>
        <w:pStyle w:val="TextBody"/>
        <w:bidi w:val="0"/>
        <w:spacing w:before="60" w:after="160"/>
        <w:jc w:val="left"/>
        <w:rPr/>
      </w:pPr>
      <w:r>
        <w:rPr/>
      </w:r>
    </w:p>
    <w:p>
      <w:pPr>
        <w:pStyle w:val="TextBody"/>
        <w:bidi w:val="0"/>
        <w:spacing w:lineRule="auto" w:line="268" w:before="60" w:after="160"/>
        <w:jc w:val="left"/>
        <w:rPr/>
      </w:pPr>
      <w:r>
        <w:rPr>
          <w:rFonts w:ascii="Inter;sans-serif" w:hAnsi="Inter;sans-serif"/>
          <w:b/>
          <w:color w:val="000000"/>
          <w:sz w:val="18"/>
        </w:rPr>
        <w:t>Depreciation and Other Amortization Expense</w:t>
      </w:r>
      <w:r>
        <w:rPr>
          <w:rFonts w:ascii="Inter;sans-serif" w:hAnsi="Inter;sans-serif"/>
          <w:b w:val="false"/>
          <w:color w:val="000000"/>
          <w:sz w:val="18"/>
        </w:rPr>
        <w:t>: consists of non-cash charges that can be affected by the timing and magnitude of asset purchases. Management considers its operating results without this activity when evaluating its ongoing adjusted EBITDA performance because these charges are non-cash expenses that can be affected by the timing and magnitude of asset purchases and may not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Executive Transition Costs</w:t>
      </w:r>
      <w:r>
        <w:rPr>
          <w:rFonts w:ascii="Inter;sans-serif" w:hAnsi="Inter;sans-serif"/>
          <w:b w:val="false"/>
          <w:color w:val="000000"/>
          <w:sz w:val="18"/>
        </w:rPr>
        <w:t>: consists of one-time cash charges recognized with respect to changes in our executive’s employment status.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Free Cash Flow</w:t>
      </w:r>
      <w:r>
        <w:rPr>
          <w:rFonts w:ascii="Inter;sans-serif" w:hAnsi="Inter;sans-serif"/>
          <w:b w:val="false"/>
          <w:color w:val="000000"/>
          <w:sz w:val="18"/>
        </w:rPr>
        <w:t>: calculated as net cash used in operating activities less purchases of property and equipment, net of proceeds from sale of property and equipment, principal payments of finance lease liabilities, and capitalized internal-use software costs. Management specifically identifies adjusting items in the reconciliation of GAAP to non-GAAP financial measures. Management considers non-GAAP free cash flow to be a profitability and liquidity measure that provides useful information to management and investors about the amount of cash generated by the business that can possibly be used for investing in Fastly's business and strengthening its balance sheet, but it is not intended to represent the residual cash flow available for discretionary expenditures. The presentation of non-GAAP free cash flow is also not meant to be considered in isolation or as an alternative to cash flows from operating activities as a measure of liquidity.</w:t>
      </w:r>
    </w:p>
    <w:p>
      <w:pPr>
        <w:pStyle w:val="TextBody"/>
        <w:bidi w:val="0"/>
        <w:spacing w:lineRule="auto" w:line="268" w:before="60" w:after="160"/>
        <w:jc w:val="left"/>
        <w:rPr/>
      </w:pPr>
      <w:r>
        <w:rPr>
          <w:rFonts w:ascii="Inter;sans-serif" w:hAnsi="Inter;sans-serif"/>
          <w:b/>
          <w:color w:val="000000"/>
          <w:sz w:val="18"/>
        </w:rPr>
        <w:t>Gain on Modification of Lease</w:t>
      </w:r>
      <w:r>
        <w:rPr>
          <w:rFonts w:ascii="Inter;sans-serif" w:hAnsi="Inter;sans-serif"/>
          <w:b w:val="false"/>
          <w:color w:val="000000"/>
          <w:sz w:val="18"/>
        </w:rPr>
        <w:t>: consists of a one-time non-cash charge recognized with respect to the modification of our leases.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Impairment Expense</w:t>
      </w:r>
      <w:r>
        <w:rPr>
          <w:rFonts w:ascii="Inter;sans-serif" w:hAnsi="Inter;sans-serif"/>
          <w:b w:val="false"/>
          <w:color w:val="000000"/>
          <w:sz w:val="18"/>
        </w:rPr>
        <w:t>:</w:t>
      </w:r>
      <w:r>
        <w:rPr>
          <w:color w:val="000000"/>
        </w:rPr>
        <w:t xml:space="preserve"> </w:t>
      </w:r>
      <w:r>
        <w:rPr>
          <w:rFonts w:ascii="Inter;sans-serif" w:hAnsi="Inter;sans-serif"/>
          <w:b w:val="false"/>
          <w:color w:val="000000"/>
          <w:sz w:val="18"/>
        </w:rPr>
        <w:t>consists of charges related to our long-lived assets.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Income Taxes</w:t>
      </w:r>
      <w:r>
        <w:rPr>
          <w:rFonts w:ascii="Inter;sans-serif" w:hAnsi="Inter;sans-serif"/>
          <w:b w:val="false"/>
          <w:color w:val="000000"/>
          <w:sz w:val="18"/>
        </w:rPr>
        <w:t>: consists primarily of expenses recognized related to state and foreign income taxes.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Interest Expense</w:t>
      </w:r>
      <w:r>
        <w:rPr>
          <w:rFonts w:ascii="Inter;sans-serif" w:hAnsi="Inter;sans-serif"/>
          <w:b w:val="false"/>
          <w:color w:val="000000"/>
          <w:sz w:val="18"/>
        </w:rPr>
        <w:t>: consists primarily of interest expense related to our debt instruments, including amortization of debt discount and issuance costs.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Interest Income</w:t>
      </w:r>
      <w:r>
        <w:rPr>
          <w:rFonts w:ascii="Inter;sans-serif" w:hAnsi="Inter;sans-serif"/>
          <w:b w:val="false"/>
          <w:color w:val="000000"/>
          <w:sz w:val="18"/>
        </w:rPr>
        <w:t>: consists primarily of interest income related to our marketable securities. Management considers its operating results without this activity when evaluating its ongoing non-GAAP net income (loss) performance and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Net Gain on Debt Extinguishment</w:t>
      </w:r>
      <w:r>
        <w:rPr>
          <w:rFonts w:ascii="Inter;sans-serif" w:hAnsi="Inter;sans-serif"/>
          <w:b w:val="false"/>
          <w:color w:val="000000"/>
          <w:sz w:val="18"/>
        </w:rPr>
        <w:t>: relates to net gain on the partial repurchase of our outstanding convertible debt.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Other (Expense) Income, Net</w:t>
      </w:r>
      <w:r>
        <w:rPr>
          <w:rFonts w:ascii="Inter;sans-serif" w:hAnsi="Inter;sans-serif"/>
          <w:b w:val="false"/>
          <w:color w:val="000000"/>
          <w:sz w:val="18"/>
        </w:rPr>
        <w:t>: consists primarily of foreign currency transaction gains and losses.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Restructuring Charges</w:t>
      </w:r>
      <w:r>
        <w:rPr>
          <w:rFonts w:ascii="Inter;sans-serif" w:hAnsi="Inter;sans-serif"/>
          <w:b w:val="false"/>
          <w:color w:val="000000"/>
          <w:sz w:val="18"/>
        </w:rPr>
        <w:t>: consists primarily of employee-related severance and termination benefits related to management's restructuring plan that resulted in a reduction in our workforce.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68" w:before="60" w:after="160"/>
        <w:jc w:val="left"/>
        <w:rPr/>
      </w:pPr>
      <w:r>
        <w:rPr>
          <w:rFonts w:ascii="Inter;sans-serif" w:hAnsi="Inter;sans-serif"/>
          <w:b/>
          <w:color w:val="000000"/>
          <w:sz w:val="18"/>
        </w:rPr>
        <w:t>Stock-Based Compensation Expense and Related Employer Payroll Taxes</w:t>
      </w:r>
      <w:r>
        <w:rPr>
          <w:rFonts w:ascii="Inter;sans-serif" w:hAnsi="Inter;sans-serif"/>
          <w:b w:val="false"/>
          <w:color w:val="000000"/>
          <w:sz w:val="18"/>
        </w:rPr>
        <w:t>: consists of expenses for stock options, restricted stock units, performance awards and other shares issued under our equity incentive plans or our Employee Stock Purchase Plan ("ESPP"), as applicable, and the related employer payroll taxes. Although stock-based compensation and its related employer payroll taxes are expenses for the Company, management considers its operating results without this activity when evaluating its ongoing non-GAAP net income (loss) performance and its adjusted EBITDA performance, primarily because they are expenses not believed by management to be reflective of our core business, ongoing operating results, or future outlook. In addition, the value of some stock-based instruments is determined using formulas that incorporate variables, such as market volatility, that are beyond our control.</w:t>
      </w:r>
    </w:p>
    <w:p>
      <w:pPr>
        <w:pStyle w:val="TextBody"/>
        <w:bidi w:val="0"/>
        <w:spacing w:before="0" w:after="0"/>
        <w:jc w:val="left"/>
        <w:rPr/>
      </w:pPr>
      <w:r>
        <w:rPr/>
        <w:drawing>
          <wp:inline distT="0" distB="0" distL="0" distR="0">
            <wp:extent cx="838200" cy="32385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8900"/>
                <wp:effectExtent l="0" t="0" r="0" b="0"/>
                <wp:wrapNone/>
                <wp:docPr id="24" name="Frame19"/>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4</w:t>
                      </w:r>
                    </w:p>
                  </w:txbxContent>
                </v:textbox>
                <w10:wrap type="none"/>
              </v:rect>
            </w:pict>
          </mc:Fallback>
        </mc:AlternateContent>
      </w:r>
    </w:p>
    <w:p>
      <w:pPr>
        <w:pStyle w:val="TextBody"/>
        <w:bidi w:val="0"/>
        <w:spacing w:lineRule="auto" w:line="268" w:before="60" w:after="160"/>
        <w:jc w:val="left"/>
        <w:rPr/>
      </w:pPr>
      <w:r>
        <w:rPr>
          <w:rFonts w:ascii="Inter;sans-serif" w:hAnsi="Inter;sans-serif"/>
          <w:b/>
          <w:color w:val="000000"/>
          <w:sz w:val="18"/>
        </w:rPr>
        <w:t>Amortization of Capitalized Stock-Based Compensation - Cost of Revenue</w:t>
      </w:r>
      <w:r>
        <w:rPr>
          <w:rFonts w:ascii="Inter;sans-serif" w:hAnsi="Inter;sans-serif"/>
          <w:b w:val="false"/>
          <w:color w:val="000000"/>
          <w:sz w:val="18"/>
        </w:rPr>
        <w:t>:</w:t>
      </w:r>
      <w:r>
        <w:rPr>
          <w:color w:val="000000"/>
        </w:rPr>
        <w:t xml:space="preserve"> </w:t>
      </w:r>
      <w:r>
        <w:rPr>
          <w:rFonts w:ascii="Inter;sans-serif" w:hAnsi="Inter;sans-serif"/>
          <w:b w:val="false"/>
          <w:color w:val="000000"/>
          <w:sz w:val="18"/>
        </w:rPr>
        <w:t>in order to reflect the performance of our core business, ongoing operating results, or future outlook, and to be consistent with the way many investors evaluate our performance and compare our operating results to peer companies, similar to stock-based compensation, management considers it appropriate to exclude amortization of capitalized stock-based compensation from our non-GAAP financial measures.</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Management believes these non-GAAP financial measures and adjusted EBITDA serve as useful metrics for our management and investors because they enable a better understanding of the long-term performance of our core business and facilitate comparisons of our operating results over multiple periods and to those of peer companies, and when taken together with the corresponding GAAP financial measures and our reconciliations, enhance investors' overall understanding of our current financial performance.</w:t>
      </w:r>
    </w:p>
    <w:p>
      <w:pPr>
        <w:pStyle w:val="TextBody"/>
        <w:bidi w:val="0"/>
        <w:spacing w:lineRule="auto" w:line="268" w:before="60" w:after="160"/>
        <w:jc w:val="left"/>
        <w:rPr>
          <w:rFonts w:ascii="Inter;sans-serif" w:hAnsi="Inter;sans-serif"/>
          <w:b w:val="false"/>
          <w:color w:val="000000"/>
          <w:sz w:val="18"/>
        </w:rPr>
      </w:pPr>
      <w:r>
        <w:rPr>
          <w:rFonts w:ascii="Inter;sans-serif" w:hAnsi="Inter;sans-serif"/>
          <w:b w:val="false"/>
          <w:color w:val="000000"/>
          <w:sz w:val="18"/>
        </w:rPr>
        <w:t>In the financial tables below, the Company provides a reconciliation of the most comparable GAAP financial measure to the historical non-GAAP financial measures used in this investor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8900"/>
                <wp:effectExtent l="0" t="0" r="0" b="0"/>
                <wp:wrapNone/>
                <wp:docPr id="26" name="Frame20"/>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5</w:t>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Consolidated Statements of Operations – Quarterly</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data)</w:t>
      </w:r>
    </w:p>
    <w:p>
      <w:pPr>
        <w:pStyle w:val="TextBody"/>
        <w:bidi w:val="0"/>
        <w:spacing w:before="100" w:after="283"/>
        <w:jc w:val="left"/>
        <w:rPr/>
      </w:pPr>
      <w:r>
        <w:rPr/>
      </w:r>
    </w:p>
    <w:tbl>
      <w:tblPr>
        <w:tblW w:w="13870" w:type="dxa"/>
        <w:jc w:val="left"/>
        <w:tblInd w:w="0" w:type="dxa"/>
        <w:tblLayout w:type="fixed"/>
        <w:tblCellMar>
          <w:top w:w="28" w:type="dxa"/>
          <w:left w:w="28" w:type="dxa"/>
          <w:bottom w:w="28" w:type="dxa"/>
          <w:right w:w="28" w:type="dxa"/>
        </w:tblCellMar>
      </w:tblPr>
      <w:tblGrid>
        <w:gridCol w:w="1245"/>
        <w:gridCol w:w="277"/>
        <w:gridCol w:w="27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74,740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75,063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76,798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105,960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108,181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115,951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115,330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118,059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121,117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121,050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132,076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130,384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(28,788)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(14,433)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(31,745)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(28,924)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(15,339)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(32,886)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(20,524)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(15,591)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139,237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148,129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150,324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153,579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157,596</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(1)Includes stock-based compensation expense as follows:</w:t>
      </w:r>
    </w:p>
    <w:tbl>
      <w:tblPr>
        <w:tblW w:w="13285" w:type="dxa"/>
        <w:jc w:val="left"/>
        <w:tblInd w:w="0" w:type="dxa"/>
        <w:tblLayout w:type="fixed"/>
        <w:tblCellMar>
          <w:top w:w="28" w:type="dxa"/>
          <w:left w:w="28" w:type="dxa"/>
          <w:bottom w:w="28" w:type="dxa"/>
          <w:right w:w="28" w:type="dxa"/>
        </w:tblCellMar>
      </w:tblPr>
      <w:tblGrid>
        <w:gridCol w:w="632"/>
        <w:gridCol w:w="440"/>
        <w:gridCol w:w="264"/>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25,016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24,945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25,582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26,335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33,129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32,277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34,981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35,172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8900"/>
                <wp:effectExtent l="0" t="0" r="0" b="0"/>
                <wp:wrapNone/>
                <wp:docPr id="28" name="Frame21"/>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6</w:t>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 xml:space="preserve">Reconciliation of GAAP to Non-GAAP Financial Measures – Quarterly </w:t>
      </w:r>
    </w:p>
    <w:p>
      <w:pPr>
        <w:pStyle w:val="TextBody"/>
        <w:bidi w:val="0"/>
        <w:spacing w:lineRule="auto" w:line="288" w:before="0" w:after="10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data)</w:t>
      </w:r>
    </w:p>
    <w:tbl>
      <w:tblPr>
        <w:tblW w:w="12772" w:type="dxa"/>
        <w:jc w:val="left"/>
        <w:tblInd w:w="0" w:type="dxa"/>
        <w:tblLayout w:type="fixed"/>
        <w:tblCellMar>
          <w:top w:w="28" w:type="dxa"/>
          <w:left w:w="28" w:type="dxa"/>
          <w:bottom w:w="28" w:type="dxa"/>
          <w:right w:w="28" w:type="dxa"/>
        </w:tblCellMar>
      </w:tblPr>
      <w:tblGrid>
        <w:gridCol w:w="593"/>
        <w:gridCol w:w="428"/>
        <w:gridCol w:w="225"/>
        <w:gridCol w:w="109"/>
        <w:gridCol w:w="109"/>
        <w:gridCol w:w="109"/>
        <w:gridCol w:w="298"/>
        <w:gridCol w:w="379"/>
        <w:gridCol w:w="387"/>
        <w:gridCol w:w="109"/>
        <w:gridCol w:w="109"/>
        <w:gridCol w:w="109"/>
        <w:gridCol w:w="298"/>
        <w:gridCol w:w="379"/>
        <w:gridCol w:w="387"/>
        <w:gridCol w:w="109"/>
        <w:gridCol w:w="109"/>
        <w:gridCol w:w="109"/>
        <w:gridCol w:w="298"/>
        <w:gridCol w:w="379"/>
        <w:gridCol w:w="387"/>
        <w:gridCol w:w="109"/>
        <w:gridCol w:w="109"/>
        <w:gridCol w:w="109"/>
        <w:gridCol w:w="298"/>
        <w:gridCol w:w="379"/>
        <w:gridCol w:w="387"/>
        <w:gridCol w:w="109"/>
        <w:gridCol w:w="109"/>
        <w:gridCol w:w="109"/>
        <w:gridCol w:w="298"/>
        <w:gridCol w:w="379"/>
        <w:gridCol w:w="387"/>
        <w:gridCol w:w="109"/>
        <w:gridCol w:w="109"/>
        <w:gridCol w:w="109"/>
        <w:gridCol w:w="298"/>
        <w:gridCol w:w="439"/>
        <w:gridCol w:w="447"/>
        <w:gridCol w:w="109"/>
        <w:gridCol w:w="109"/>
        <w:gridCol w:w="109"/>
        <w:gridCol w:w="298"/>
        <w:gridCol w:w="439"/>
        <w:gridCol w:w="447"/>
        <w:gridCol w:w="109"/>
        <w:gridCol w:w="109"/>
        <w:gridCol w:w="109"/>
        <w:gridCol w:w="291"/>
        <w:gridCol w:w="383"/>
        <w:gridCol w:w="548"/>
      </w:tblGrid>
      <w:tr>
        <w:trPr/>
        <w:tc>
          <w:tcPr>
            <w:tcW w:w="59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105,960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115,951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3,026</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80,464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80,819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82,853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87,745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99,329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110,386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112,617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120,671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63.3%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65.8%</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42,071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(12,967)</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28,536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30,584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29,104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56,735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(10,869)</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42,553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43,706</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31,578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(10,710)</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21,228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20,868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(14,433)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37,572</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capitalized stock-based compensation -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26,993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(15,591)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Stock-based compensation expense and related employer payroll taxes</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37,572</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capitalized stock-based compensation -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20,130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22,915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26,201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GAAP net loss per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0.17</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Weighted average basic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139,237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148,129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150,324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153,579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157,596</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Weighted average diluted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164,074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176,494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180,304</w:t>
            </w:r>
          </w:p>
        </w:tc>
      </w:tr>
    </w:tbl>
    <w:p>
      <w:pPr>
        <w:pStyle w:val="TextBody"/>
        <w:bidi w:val="0"/>
        <w:spacing w:before="0" w:after="0"/>
        <w:jc w:val="left"/>
        <w:rPr/>
      </w:pPr>
      <w:r>
        <w:rPr/>
        <w:drawing>
          <wp:inline distT="0" distB="0" distL="0" distR="0">
            <wp:extent cx="838200" cy="32385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8900"/>
                <wp:effectExtent l="0" t="0" r="0" b="0"/>
                <wp:wrapNone/>
                <wp:docPr id="30" name="Frame22"/>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Reconciliation of GAAP to Non-GAAP Financial Measures – Quarterly (Continued)</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data)</w:t>
      </w:r>
    </w:p>
    <w:p>
      <w:pPr>
        <w:pStyle w:val="TextBody"/>
        <w:bidi w:val="0"/>
        <w:spacing w:before="0" w:after="0"/>
        <w:jc w:val="left"/>
        <w:rPr/>
      </w:pPr>
      <w:r>
        <w:rPr/>
      </w:r>
    </w:p>
    <w:tbl>
      <w:tblPr>
        <w:tblW w:w="12557" w:type="dxa"/>
        <w:jc w:val="left"/>
        <w:tblInd w:w="0" w:type="dxa"/>
        <w:tblLayout w:type="fixed"/>
        <w:tblCellMar>
          <w:top w:w="28" w:type="dxa"/>
          <w:left w:w="28" w:type="dxa"/>
          <w:bottom w:w="28" w:type="dxa"/>
          <w:right w:w="28" w:type="dxa"/>
        </w:tblCellMar>
      </w:tblPr>
      <w:tblGrid>
        <w:gridCol w:w="527"/>
        <w:gridCol w:w="464"/>
        <w:gridCol w:w="465"/>
        <w:gridCol w:w="109"/>
        <w:gridCol w:w="109"/>
        <w:gridCol w:w="109"/>
        <w:gridCol w:w="262"/>
        <w:gridCol w:w="684"/>
        <w:gridCol w:w="109"/>
        <w:gridCol w:w="109"/>
        <w:gridCol w:w="109"/>
        <w:gridCol w:w="109"/>
        <w:gridCol w:w="258"/>
        <w:gridCol w:w="688"/>
        <w:gridCol w:w="109"/>
        <w:gridCol w:w="109"/>
        <w:gridCol w:w="109"/>
        <w:gridCol w:w="109"/>
        <w:gridCol w:w="258"/>
        <w:gridCol w:w="688"/>
        <w:gridCol w:w="109"/>
        <w:gridCol w:w="109"/>
        <w:gridCol w:w="109"/>
        <w:gridCol w:w="109"/>
        <w:gridCol w:w="258"/>
        <w:gridCol w:w="688"/>
        <w:gridCol w:w="109"/>
        <w:gridCol w:w="109"/>
        <w:gridCol w:w="109"/>
        <w:gridCol w:w="109"/>
        <w:gridCol w:w="262"/>
        <w:gridCol w:w="684"/>
        <w:gridCol w:w="109"/>
        <w:gridCol w:w="109"/>
        <w:gridCol w:w="109"/>
        <w:gridCol w:w="109"/>
        <w:gridCol w:w="262"/>
        <w:gridCol w:w="684"/>
        <w:gridCol w:w="109"/>
        <w:gridCol w:w="109"/>
        <w:gridCol w:w="109"/>
        <w:gridCol w:w="109"/>
        <w:gridCol w:w="262"/>
        <w:gridCol w:w="684"/>
        <w:gridCol w:w="109"/>
        <w:gridCol w:w="109"/>
        <w:gridCol w:w="109"/>
        <w:gridCol w:w="109"/>
        <w:gridCol w:w="262"/>
        <w:gridCol w:w="684"/>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Reconciliation of GAAP to Non-GAAP 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dilutive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161,229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164,074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176,494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180,304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0.07</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0.12</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6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195" w:type="dxa"/>
        <w:jc w:val="left"/>
        <w:tblInd w:w="0" w:type="dxa"/>
        <w:tblLayout w:type="fixed"/>
        <w:tblCellMar>
          <w:top w:w="28" w:type="dxa"/>
          <w:left w:w="28" w:type="dxa"/>
          <w:bottom w:w="28" w:type="dxa"/>
          <w:right w:w="28" w:type="dxa"/>
        </w:tblCellMar>
      </w:tblPr>
      <w:tblGrid>
        <w:gridCol w:w="739"/>
        <w:gridCol w:w="380"/>
        <w:gridCol w:w="307"/>
        <w:gridCol w:w="109"/>
        <w:gridCol w:w="109"/>
        <w:gridCol w:w="109"/>
        <w:gridCol w:w="226"/>
        <w:gridCol w:w="826"/>
        <w:gridCol w:w="109"/>
        <w:gridCol w:w="109"/>
        <w:gridCol w:w="109"/>
        <w:gridCol w:w="109"/>
        <w:gridCol w:w="226"/>
        <w:gridCol w:w="826"/>
        <w:gridCol w:w="109"/>
        <w:gridCol w:w="109"/>
        <w:gridCol w:w="109"/>
        <w:gridCol w:w="109"/>
        <w:gridCol w:w="226"/>
        <w:gridCol w:w="736"/>
        <w:gridCol w:w="109"/>
        <w:gridCol w:w="109"/>
        <w:gridCol w:w="109"/>
        <w:gridCol w:w="109"/>
        <w:gridCol w:w="226"/>
        <w:gridCol w:w="73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Stock-based compensation expense and related employer payroll taxes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capitalized stock-based compensation -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11,118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25,709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34,954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29,463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38,122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employer payroll taxes related to stock-based compensation from our non-GAAP financial measures in order to reflect the performance of our core business and to be consistent with the way many investors evaluate our performance and compare our operating results to peer companies. In order to continue to improve the usefulness of our non-GAAP financial measures to the investors, starting with the quarter ended March 31, 2026, we are excluding stock-based compensation related employer payroll taxes from our non-GAAP financial measures. We did not recast the presentation for all prior periods presented due to the immaterial amount of such payroll taxes. Refer to Non-GAAP Financial Measures definition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left"/>
        <w:rPr/>
      </w:pPr>
      <w:r>
        <w:rPr/>
      </w:r>
    </w:p>
    <w:p>
      <w:pPr>
        <w:pStyle w:val="TextBody"/>
        <w:bidi w:val="0"/>
        <w:spacing w:before="0" w:after="0"/>
        <w:jc w:val="left"/>
        <w:rPr/>
      </w:pPr>
      <w:r>
        <w:rPr/>
        <w:drawing>
          <wp:inline distT="0" distB="0" distL="0" distR="0">
            <wp:extent cx="838200" cy="32385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8900"/>
                <wp:effectExtent l="0" t="0" r="0" b="0"/>
                <wp:wrapNone/>
                <wp:docPr id="32" name="Frame23"/>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Non-GAAP Consolidated Statements of Operations – Quarterly</w:t>
      </w:r>
    </w:p>
    <w:p>
      <w:pPr>
        <w:pStyle w:val="TextBody"/>
        <w:bidi w:val="0"/>
        <w:spacing w:lineRule="auto" w:line="288" w:before="0" w:after="24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data)</w:t>
      </w:r>
    </w:p>
    <w:tbl>
      <w:tblPr>
        <w:tblW w:w="13750" w:type="dxa"/>
        <w:jc w:val="left"/>
        <w:tblInd w:w="0" w:type="dxa"/>
        <w:tblLayout w:type="fixed"/>
        <w:tblCellMar>
          <w:top w:w="28" w:type="dxa"/>
          <w:left w:w="28" w:type="dxa"/>
          <w:bottom w:w="28" w:type="dxa"/>
          <w:right w:w="28" w:type="dxa"/>
        </w:tblCellMar>
      </w:tblPr>
      <w:tblGrid>
        <w:gridCol w:w="1245"/>
        <w:gridCol w:w="277"/>
        <w:gridCol w:w="27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Gross profit</w:t>
            </w:r>
            <w:r>
              <w:rPr>
                <w:rFonts w:ascii="Open Sans;sans-serif" w:hAnsi="Open Sans;sans-serif"/>
                <w:b/>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99,329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110,386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112,617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120,671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Total operating expenses</w:t>
            </w:r>
            <w:r>
              <w:rPr>
                <w:rFonts w:ascii="Open Sans;sans-serif" w:hAnsi="Open Sans;sans-serif"/>
                <w:b/>
                <w:color w:val="000000"/>
                <w:sz w:val="10"/>
              </w:rPr>
              <w:t>(1)(2)(3)(4)(5)(6)(7)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79,646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88,698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93,474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93,678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Income (loss) from operations</w:t>
            </w:r>
            <w:r>
              <w:rPr>
                <w:rFonts w:ascii="Open Sans;sans-serif" w:hAnsi="Open Sans;sans-serif"/>
                <w:b/>
                <w:color w:val="000000"/>
                <w:sz w:val="10"/>
              </w:rPr>
              <w:t>(1)(2)(3)(4)(5)(6)(7)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11,608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21,229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26,993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Interest expense</w:t>
            </w:r>
            <w:r>
              <w:rPr>
                <w:rFonts w:ascii="Open Sans;sans-serif" w:hAnsi="Open Sans;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Income (loss) before income taxes</w:t>
            </w:r>
            <w:r>
              <w:rPr>
                <w:rFonts w:ascii="Open Sans;sans-serif" w:hAnsi="Open Sans;sans-serif"/>
                <w:b/>
                <w:color w:val="000000"/>
                <w:sz w:val="10"/>
              </w:rPr>
              <w:t>(1)(2)(3)(4)(5)(6)(7)(8)(9)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20,811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18,785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26,453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Net income (loss)</w:t>
            </w:r>
            <w:r>
              <w:rPr>
                <w:rFonts w:ascii="Open Sans;sans-serif" w:hAnsi="Open Sans;sans-serif"/>
                <w:b/>
                <w:color w:val="000000"/>
                <w:sz w:val="10"/>
              </w:rPr>
              <w:t>(1)(2)(3)(4)(5)(6)(7)(8)(9)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20,130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22,915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26,201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income (loss) per share attributable to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0.17</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income (loss)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0.15</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income (loss) per share attributable to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139,237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148,129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150,324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153,579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157,596</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income (loss) per share attributable to common stockholders,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164,074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176,494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180,304</w:t>
            </w:r>
          </w:p>
        </w:tc>
      </w:tr>
    </w:tbl>
    <w:p>
      <w:pPr>
        <w:pStyle w:val="TextBody"/>
        <w:bidi w:val="0"/>
        <w:spacing w:before="100" w:after="283"/>
        <w:jc w:val="left"/>
        <w:rPr/>
      </w:pPr>
      <w:r>
        <w:rPr/>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(1)Excludes stock-based compensation expense and related employer payroll taxes.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(2)Excludes amortization of capitalized stock-based compensation - cost of revenue.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(3)Excludes amortization of acquired intangible assets.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(4)Excludes executive transition costs.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(5)Excludes gain on modification of lease.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(6)Excludes impairment expense.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(7)Excludes restructuring charges.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(8)Excludes amortization of debt discount and issuance costs.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(9)Excludes net gain on extinguishment of debt. See GAAP to Non-GAAP reconciliations.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1"/>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8900"/>
                <wp:effectExtent l="0" t="0" r="0" b="0"/>
                <wp:wrapNone/>
                <wp:docPr id="34" name="Frame24"/>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9</w:t>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Consolidated Balance Sheets – Quarterly</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w:t>
      </w:r>
    </w:p>
    <w:tbl>
      <w:tblPr>
        <w:tblW w:w="15775" w:type="dxa"/>
        <w:jc w:val="left"/>
        <w:tblInd w:w="0" w:type="dxa"/>
        <w:tblLayout w:type="fixed"/>
        <w:tblCellMar>
          <w:top w:w="28" w:type="dxa"/>
          <w:left w:w="28" w:type="dxa"/>
          <w:bottom w:w="28" w:type="dxa"/>
          <w:right w:w="28" w:type="dxa"/>
        </w:tblCellMar>
      </w:tblPr>
      <w:tblGrid>
        <w:gridCol w:w="883"/>
        <w:gridCol w:w="283"/>
        <w:gridCol w:w="260"/>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89,798 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453,058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440,195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452,570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464,663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479,784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506,709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490,086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479,047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220,354 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1,449,245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1,470,602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1,513,528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1,503,643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Finance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104,456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300,885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312,803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328,915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193,998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163,440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142,523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323,958 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502,300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486,109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492,222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520,530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533,637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569,899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536,382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512,826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1,929,397 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1,958,157 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2,035,956 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2,112,577 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2,141,909 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(1,031,958)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(1,098,982)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(1,114,487)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(1,150,602)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969,454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965,250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957,023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942,647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936,965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929,578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977,146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990,817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1,471,754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1,449,245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1,470,602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1,499,477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1,513,528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1,503,643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12"/>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8900"/>
                <wp:effectExtent l="0" t="0" r="0" b="0"/>
                <wp:wrapNone/>
                <wp:docPr id="36" name="Frame25"/>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10</w:t>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 xml:space="preserve">Consolidated Statements of Cash Flows – Quarterly </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w:t>
      </w:r>
    </w:p>
    <w:p>
      <w:pPr>
        <w:pStyle w:val="TextBody"/>
        <w:bidi w:val="0"/>
        <w:spacing w:before="0" w:after="0"/>
        <w:jc w:val="left"/>
        <w:rPr/>
      </w:pPr>
      <w:r>
        <w:rPr/>
      </w:r>
    </w:p>
    <w:tbl>
      <w:tblPr>
        <w:tblW w:w="12175" w:type="dxa"/>
        <w:jc w:val="left"/>
        <w:tblInd w:w="0" w:type="dxa"/>
        <w:tblLayout w:type="fixed"/>
        <w:tblCellMar>
          <w:top w:w="28" w:type="dxa"/>
          <w:left w:w="28" w:type="dxa"/>
          <w:bottom w:w="28" w:type="dxa"/>
          <w:right w:w="28" w:type="dxa"/>
        </w:tblCellMar>
      </w:tblPr>
      <w:tblGrid>
        <w:gridCol w:w="719"/>
        <w:gridCol w:w="263"/>
        <w:gridCol w:w="264"/>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2026</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(29,483)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Loss (gain)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Accretion of discounts and amortization of premiums,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5,002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5,220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17,288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25,798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22,434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28,866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39,334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(179,340)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(87,262)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Sales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66,316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70,909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(178,885)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(69,954)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36,151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(26,954)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(98,694)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Repayment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issuance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Payments of other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(148,875)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Payments for purchase of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exercise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(7,317)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8,854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(35,773)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2,489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Effects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30,644 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67,432 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(56,872)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217,514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286,175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125,484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82,487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113,131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180,563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146,670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89,798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838200" cy="32385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8900"/>
                <wp:effectExtent l="0" t="0" r="0" b="0"/>
                <wp:wrapNone/>
                <wp:docPr id="38" name="Frame26"/>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11</w:t>
                      </w:r>
                    </w:p>
                  </w:txbxContent>
                </v:textbox>
                <w10:wrap type="none"/>
              </v:rect>
            </w:pict>
          </mc:Fallback>
        </mc:AlternateConten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 xml:space="preserve">Free Cash Flow </w: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(unaudited, in thousands)</w:t>
      </w:r>
    </w:p>
    <w:tbl>
      <w:tblPr>
        <w:tblW w:w="12595" w:type="dxa"/>
        <w:jc w:val="center"/>
        <w:tblInd w:w="0" w:type="dxa"/>
        <w:tblLayout w:type="fixed"/>
        <w:tblCellMar>
          <w:top w:w="28" w:type="dxa"/>
          <w:left w:w="28" w:type="dxa"/>
          <w:bottom w:w="28" w:type="dxa"/>
          <w:right w:w="28" w:type="dxa"/>
        </w:tblCellMar>
      </w:tblPr>
      <w:tblGrid>
        <w:gridCol w:w="625"/>
        <w:gridCol w:w="325"/>
        <w:gridCol w:w="326"/>
        <w:gridCol w:w="109"/>
        <w:gridCol w:w="109"/>
        <w:gridCol w:w="109"/>
        <w:gridCol w:w="226"/>
        <w:gridCol w:w="721"/>
        <w:gridCol w:w="109"/>
        <w:gridCol w:w="109"/>
        <w:gridCol w:w="109"/>
        <w:gridCol w:w="109"/>
        <w:gridCol w:w="226"/>
        <w:gridCol w:w="721"/>
        <w:gridCol w:w="109"/>
        <w:gridCol w:w="109"/>
        <w:gridCol w:w="109"/>
        <w:gridCol w:w="109"/>
        <w:gridCol w:w="226"/>
        <w:gridCol w:w="721"/>
        <w:gridCol w:w="109"/>
        <w:gridCol w:w="109"/>
        <w:gridCol w:w="109"/>
        <w:gridCol w:w="109"/>
        <w:gridCol w:w="226"/>
        <w:gridCol w:w="826"/>
        <w:gridCol w:w="109"/>
        <w:gridCol w:w="109"/>
        <w:gridCol w:w="109"/>
        <w:gridCol w:w="109"/>
        <w:gridCol w:w="226"/>
        <w:gridCol w:w="826"/>
        <w:gridCol w:w="109"/>
        <w:gridCol w:w="109"/>
        <w:gridCol w:w="109"/>
        <w:gridCol w:w="109"/>
        <w:gridCol w:w="226"/>
        <w:gridCol w:w="721"/>
        <w:gridCol w:w="109"/>
        <w:gridCol w:w="109"/>
        <w:gridCol w:w="109"/>
        <w:gridCol w:w="109"/>
        <w:gridCol w:w="226"/>
        <w:gridCol w:w="721"/>
        <w:gridCol w:w="109"/>
        <w:gridCol w:w="109"/>
        <w:gridCol w:w="109"/>
        <w:gridCol w:w="109"/>
        <w:gridCol w:w="226"/>
        <w:gridCol w:w="72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2026</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Capital expenditures</w:t>
            </w:r>
            <w:r>
              <w:rPr>
                <w:rFonts w:ascii="Open Sans;sans-serif" w:hAnsi="Open Sans;sans-serif"/>
                <w:b w:val="false"/>
                <w:color w:val="000000"/>
                <w:sz w:val="10"/>
              </w:rPr>
              <w:t>(1)</w:t>
            </w: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(7,905)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18,091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8,598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3,573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68" w:before="60" w:after="16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(1)Capital expenditures are defined as cash used for purchases of property and equipment, net of proceeds from sale of property and equipment, capitalized internal-use software and payments on finance lease obligations, as reflected in our statement of cash flows. </w:t>
      </w:r>
    </w:p>
    <w:p>
      <w:pPr>
        <w:pStyle w:val="TextBody"/>
        <w:bidi w:val="0"/>
        <w:spacing w:before="60" w:after="1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8900"/>
                <wp:effectExtent l="0" t="0" r="0" b="0"/>
                <wp:wrapNone/>
                <wp:docPr id="39" name="Frame27"/>
                <a:graphic xmlns:a="http://schemas.openxmlformats.org/drawingml/2006/main">
                  <a:graphicData uri="http://schemas.microsoft.com/office/word/2010/wordprocessingShape">
                    <wps:wsp>
                      <wps:cNvSpPr txBox="1"/>
                      <wps:spPr>
                        <a:xfrm>
                          <a:off x="0" y="0"/>
                          <a:ext cx="6480175" cy="88900"/>
                        </a:xfrm>
                        <a:prstGeom prst="rect"/>
                        <a:solidFill>
                          <a:srgbClr val="FFFFFF"/>
                        </a:solidFill>
                      </wps:spPr>
                      <wps:txb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Inter;sans-serif" w:hAnsi="Inter;sans-serif"/>
                          <w:b w:val="false"/>
                          <w:color w:val="1C1816"/>
                          <w:sz w:val="12"/>
                        </w:rPr>
                        <w:t>Fastly Q2 2026 Earnings Investor Supplement (8/5/2026)                    </w:t>
                      </w:r>
                      <w:r>
                        <w:rPr>
                          <w:rFonts w:ascii="Inter;sans-serif" w:hAnsi="Inter;sans-serif"/>
                          <w:b w:val="false"/>
                          <w:color w:val="000000"/>
                          <w:sz w:val="12"/>
                        </w:rPr>
                        <w:t>Page 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Open Sans">
    <w:altName w:val="sans-serif"/>
    <w:charset w:val="01"/>
    <w:family w:val="auto"/>
    <w:pitch w:val="default"/>
  </w:font>
  <w:font w:name="Inter">
    <w:altName w:val="sans-serif"/>
    <w:charset w:val="01"/>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11617</Words>
  <Characters>66841</Characters>
  <CharactersWithSpaces>76971</CharactersWithSpaces>
  <Paragraphs>3460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