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May 6, 2026 </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FASTLY,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left"/>
        <w:rPr>
          <w:color w:val="000000"/>
        </w:rPr>
      </w:pPr>
      <w:r>
        <w:rPr>
          <w:color w:val="000000"/>
        </w:rPr>
        <w:t> </w:t>
      </w:r>
    </w:p>
    <w:tbl>
      <w:tblPr>
        <w:tblW w:w="5893" w:type="dxa"/>
        <w:jc w:val="center"/>
        <w:tblInd w:w="0" w:type="dxa"/>
        <w:tblLayout w:type="fixed"/>
        <w:tblCellMar>
          <w:top w:w="28" w:type="dxa"/>
          <w:left w:w="28" w:type="dxa"/>
          <w:bottom w:w="28" w:type="dxa"/>
          <w:right w:w="28" w:type="dxa"/>
        </w:tblCellMar>
      </w:tblPr>
      <w:tblGrid>
        <w:gridCol w:w="859"/>
        <w:gridCol w:w="753"/>
        <w:gridCol w:w="758"/>
        <w:gridCol w:w="677"/>
        <w:gridCol w:w="677"/>
        <w:gridCol w:w="685"/>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001-38897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475 Brannan Street, Suite 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 94107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(844) 432-7859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w:t>
      </w:r>
    </w:p>
    <w:p>
      <w:pPr>
        <w:pStyle w:val="TextBody"/>
        <w:bidi w:val="0"/>
        <w:spacing w:lineRule="auto" w:line="288" w:before="200" w:after="283"/>
        <w:jc w:val="left"/>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18"/>
          <w:u w:val="single"/>
        </w:rPr>
        <w:t>see</w:t>
      </w:r>
      <w:r>
        <w:rPr>
          <w:color w:val="000000"/>
        </w:rPr>
        <w:t xml:space="preserve"> </w:t>
      </w:r>
      <w:r>
        <w:rPr>
          <w:rFonts w:ascii="Times New Roman;serif" w:hAnsi="Times New Roman;serif"/>
          <w:b w:val="false"/>
          <w:color w:val="000000"/>
          <w:sz w:val="18"/>
        </w:rPr>
        <w:t>General Instructions A.2. below):</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06" w:type="dxa"/>
        <w:jc w:val="left"/>
        <w:tblInd w:w="0" w:type="dxa"/>
        <w:tblLayout w:type="fixed"/>
        <w:tblCellMar>
          <w:top w:w="28" w:type="dxa"/>
          <w:left w:w="28" w:type="dxa"/>
          <w:bottom w:w="28" w:type="dxa"/>
          <w:right w:w="28" w:type="dxa"/>
        </w:tblCellMar>
      </w:tblPr>
      <w:tblGrid>
        <w:gridCol w:w="1198"/>
        <w:gridCol w:w="1051"/>
        <w:gridCol w:w="1065"/>
        <w:gridCol w:w="109"/>
        <w:gridCol w:w="109"/>
        <w:gridCol w:w="109"/>
        <w:gridCol w:w="274"/>
        <w:gridCol w:w="274"/>
        <w:gridCol w:w="276"/>
        <w:gridCol w:w="109"/>
        <w:gridCol w:w="109"/>
        <w:gridCol w:w="109"/>
        <w:gridCol w:w="706"/>
        <w:gridCol w:w="706"/>
        <w:gridCol w:w="1002"/>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6, 2026, Fastly, Inc. (the "Company") announced its financial results for the quarter ended March 31, 2026 by issuing a press release.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99.2 and incorporated by reference herein is the Company’s investor supplement, regarding results of the quarter ended March 31, 2026 (the “Investor Supplement”). The Investor Supplement will be posted to http://investors.fastly.com immediately after the filing of this Form 8-K.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on this Form 8-K, including the exhibits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6, 2026, the Company posted supplemental financial and other information to http://investors.fastly.com.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may announce material business and financial information to its investors using its investor relations website (http://investors.fastly.com), its filings with the Securities and Exchange Commission, its corporate X (formerly known as Twitter) account (@Fastly), its blog (http://www.fastly.com/blog), its corporate LinkedIn account (http://www.linkedin.com/company/fastly), webcasts, press releases, and conference calls. The Company uses these mediums, including its website, to communicate with investors and the general public about the Company, its products, and other issues. It is possible that the information that we make available on these mediums may be deemed to be material information. Therefore, the Company encourages investors and others interested in the Company to review the information that it makes available through these channels.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content of the Company’s websites and information that the Company may post on or provide to online and social media channels, including those mentioned above, and information that can be accessed through the Company’s websites or these online and social media channels are not incorporated by reference into this Current Report on Form 8-K or in any other report or document the Company files with the Securities and Exchange Commission, and any references to the Company’s websites or these online and social media channels are intended to be inactive textual references only.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5352" w:type="dxa"/>
        <w:jc w:val="left"/>
        <w:tblInd w:w="0" w:type="dxa"/>
        <w:tblLayout w:type="fixed"/>
        <w:tblCellMar>
          <w:top w:w="28" w:type="dxa"/>
          <w:left w:w="28" w:type="dxa"/>
          <w:bottom w:w="28" w:type="dxa"/>
          <w:right w:w="28" w:type="dxa"/>
        </w:tblCellMar>
      </w:tblPr>
      <w:tblGrid>
        <w:gridCol w:w="279"/>
        <w:gridCol w:w="247"/>
        <w:gridCol w:w="240"/>
        <w:gridCol w:w="109"/>
        <w:gridCol w:w="109"/>
        <w:gridCol w:w="109"/>
        <w:gridCol w:w="1244"/>
        <w:gridCol w:w="1244"/>
        <w:gridCol w:w="1771"/>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fslypressrelease33126.htm">
              <w:r>
                <w:rPr>
                  <w:rStyle w:val="InternetLink"/>
                  <w:rFonts w:ascii="Times New Roman;serif" w:hAnsi="Times New Roman;serif"/>
                  <w:b w:val="false"/>
                  <w:color w:val="0000FF"/>
                  <w:sz w:val="20"/>
                  <w:u w:val="single"/>
                </w:rPr>
                <w:t>Press Release dated May 6, 2026</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investorsupplement33.htm">
              <w:r>
                <w:rPr>
                  <w:rStyle w:val="InternetLink"/>
                  <w:rFonts w:ascii="Times New Roman;serif" w:hAnsi="Times New Roman;serif"/>
                  <w:b w:val="false"/>
                  <w:color w:val="000080"/>
                  <w:sz w:val="20"/>
                  <w:u w:val="single"/>
                </w:rPr>
                <w:t xml:space="preserve">Investor Supplement for </w:t>
              </w:r>
            </w:hyperlink>
            <w:hyperlink w:anchor="ex992-investorsupplement33.htm">
              <w:r>
                <w:rPr>
                  <w:rStyle w:val="InternetLink"/>
                  <w:rFonts w:ascii="Times New Roman;serif" w:hAnsi="Times New Roman;serif"/>
                  <w:b w:val="false"/>
                  <w:color w:val="000080"/>
                  <w:sz w:val="20"/>
                  <w:u w:val="single"/>
                </w:rPr>
                <w:t>First</w:t>
              </w:r>
            </w:hyperlink>
            <w:hyperlink w:anchor="ex992-investorsupplement33.htm">
              <w:r>
                <w:rPr>
                  <w:rStyle w:val="InternetLink"/>
                  <w:rFonts w:ascii="Times New Roman;serif" w:hAnsi="Times New Roman;serif"/>
                  <w:b w:val="false"/>
                  <w:color w:val="000080"/>
                  <w:sz w:val="20"/>
                  <w:u w:val="single"/>
                </w:rPr>
                <w:t xml:space="preserve"> </w:t>
              </w:r>
            </w:hyperlink>
            <w:hyperlink w:anchor="ex992-investorsupplement33.htm">
              <w:r>
                <w:rPr>
                  <w:rStyle w:val="InternetLink"/>
                  <w:rFonts w:ascii="Times New Roman;serif" w:hAnsi="Times New Roman;serif"/>
                  <w:b w:val="false"/>
                  <w:color w:val="000080"/>
                  <w:sz w:val="20"/>
                  <w:u w:val="single"/>
                </w:rPr>
                <w:t>Quarter 202</w:t>
              </w:r>
            </w:hyperlink>
            <w:hyperlink w:anchor="ex992-investorsupplement33.htm">
              <w:r>
                <w:rPr>
                  <w:rStyle w:val="InternetLink"/>
                  <w:rFonts w:ascii="Times New Roman;serif" w:hAnsi="Times New Roman;serif"/>
                  <w:b w:val="false"/>
                  <w:color w:val="000080"/>
                  <w:sz w:val="20"/>
                  <w:u w:val="single"/>
                </w:rPr>
                <w:t>6</w:t>
              </w:r>
            </w:hyperlink>
            <w:hyperlink w:anchor="ex992-investorsupplement33.htm">
              <w:r>
                <w:rPr>
                  <w:rStyle w:val="InternetLink"/>
                  <w:rFonts w:ascii="Times New Roman;serif" w:hAnsi="Times New Roman;serif"/>
                  <w:b w:val="false"/>
                  <w:color w:val="000080"/>
                  <w:sz w:val="20"/>
                  <w:u w:val="single"/>
                </w:rPr>
                <w:t xml:space="preserve"> Results</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Indicates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193"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09"/>
        <w:gridCol w:w="109"/>
        <w:gridCol w:w="109"/>
        <w:gridCol w:w="134"/>
        <w:gridCol w:w="134"/>
        <w:gridCol w:w="136"/>
        <w:gridCol w:w="109"/>
        <w:gridCol w:w="109"/>
        <w:gridCol w:w="109"/>
        <w:gridCol w:w="588"/>
        <w:gridCol w:w="588"/>
        <w:gridCol w:w="83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95" w:before="0" w:after="0"/>
        <w:jc w:val="center"/>
        <w:rPr>
          <w:rFonts w:ascii="Arial;sans-serif" w:hAnsi="Arial;sans-serif"/>
          <w:b/>
          <w:color w:val="000000"/>
          <w:sz w:val="20"/>
        </w:rPr>
      </w:pPr>
      <w:r>
        <w:rPr>
          <w:rFonts w:ascii="Arial;sans-serif" w:hAnsi="Arial;sans-serif"/>
          <w:b/>
          <w:color w:val="000000"/>
          <w:sz w:val="20"/>
        </w:rPr>
        <w:t>Fastly Announces Record First Quarter 2026 Financial Results</w:t>
      </w:r>
    </w:p>
    <w:p>
      <w:pPr>
        <w:pStyle w:val="TextBody"/>
        <w:bidi w:val="0"/>
        <w:spacing w:before="0" w:after="0"/>
        <w:jc w:val="center"/>
        <w:rPr/>
      </w:pPr>
      <w:r>
        <w:rPr/>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 xml:space="preserve">Record first quarter revenue of $173 million grew 20% year over year </w:t>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Record first quarter gross margin of 62.5% and record non-GAAP gross margin of 65.1%</w:t>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Record RPO of $369 million grew 63% year over year</w:t>
      </w:r>
    </w:p>
    <w:p>
      <w:pPr>
        <w:pStyle w:val="TextBody"/>
        <w:bidi w:val="0"/>
        <w:spacing w:before="0" w:after="120"/>
        <w:jc w:val="center"/>
        <w:rPr/>
      </w:pPr>
      <w:r>
        <w:rPr/>
      </w:r>
    </w:p>
    <w:p>
      <w:pPr>
        <w:pStyle w:val="TextBody"/>
        <w:bidi w:val="0"/>
        <w:spacing w:lineRule="auto" w:line="276" w:before="0" w:after="120"/>
        <w:jc w:val="left"/>
        <w:rPr/>
      </w:pPr>
      <w:r>
        <w:rPr>
          <w:rFonts w:ascii="sans-serif" w:hAnsi="sans-serif"/>
          <w:b/>
          <w:color w:val="000000"/>
          <w:sz w:val="20"/>
        </w:rPr>
        <w:t>SAN FRANCISCO — May 6, 2026 —</w:t>
      </w:r>
      <w:r>
        <w:rPr>
          <w:color w:val="000000"/>
        </w:rPr>
        <w:t xml:space="preserve"> </w:t>
      </w:r>
      <w:r>
        <w:rPr>
          <w:rFonts w:ascii="sans-serif" w:hAnsi="sans-serif"/>
          <w:b w:val="false"/>
          <w:color w:val="000000"/>
          <w:sz w:val="20"/>
        </w:rPr>
        <w:t xml:space="preserve">Fastly, Inc. (NASDAQ: FSLY), a leader in global edge cloud platforms, today announced financial results for its first quarter ended March 31, 2026. </w:t>
      </w:r>
    </w:p>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"Our first quarter performance demonstrates continued discipline and velocity as we delivered record revenue, gross margin, and RPO,” said Kip Compton, CEO at Fastly. “Driven by an accelerated innovation roadmap, we delivered 47% year-over-year security revenue growth. This performance reflects expansion within our installed base and robust new business wins, enabling us to raise our 2026 guidance.”</w:t>
      </w:r>
    </w:p>
    <w:tbl>
      <w:tblPr>
        <w:tblW w:w="8791" w:type="dxa"/>
        <w:jc w:val="left"/>
        <w:tblInd w:w="0" w:type="dxa"/>
        <w:tblLayout w:type="fixed"/>
        <w:tblCellMar>
          <w:top w:w="28" w:type="dxa"/>
          <w:left w:w="28" w:type="dxa"/>
          <w:bottom w:w="28" w:type="dxa"/>
          <w:right w:w="28" w:type="dxa"/>
        </w:tblCellMar>
      </w:tblPr>
      <w:tblGrid>
        <w:gridCol w:w="1836"/>
        <w:gridCol w:w="1615"/>
        <w:gridCol w:w="1619"/>
        <w:gridCol w:w="109"/>
        <w:gridCol w:w="109"/>
        <w:gridCol w:w="109"/>
        <w:gridCol w:w="211"/>
        <w:gridCol w:w="826"/>
        <w:gridCol w:w="256"/>
        <w:gridCol w:w="109"/>
        <w:gridCol w:w="109"/>
        <w:gridCol w:w="109"/>
        <w:gridCol w:w="211"/>
        <w:gridCol w:w="826"/>
        <w:gridCol w:w="256"/>
        <w:gridCol w:w="109"/>
        <w:gridCol w:w="109"/>
        <w:gridCol w:w="109"/>
        <w:gridCol w:w="154"/>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gross margin</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operating income (loss)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net income (loss) per common share — basic</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net income (loss) per common share — diluted</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For a reconciliation of non-GAAP financial measures to their corresponding GAAP measures, please refer to the reconciliation table at the end of this press release.</w:t>
      </w:r>
    </w:p>
    <w:p>
      <w:pPr>
        <w:pStyle w:val="TextBody"/>
        <w:bidi w:val="0"/>
        <w:spacing w:lineRule="auto" w:line="295" w:before="240" w:after="120"/>
        <w:jc w:val="left"/>
        <w:rPr/>
      </w:pPr>
      <w:r>
        <w:rPr>
          <w:rFonts w:ascii="Arial;sans-serif" w:hAnsi="Arial;sans-serif"/>
          <w:b/>
          <w:color w:val="000000"/>
          <w:sz w:val="20"/>
        </w:rPr>
        <w:t>First</w:t>
      </w:r>
      <w:r>
        <w:rPr>
          <w:color w:val="000000"/>
        </w:rPr>
        <w:t xml:space="preserve"> </w:t>
      </w:r>
      <w:r>
        <w:rPr>
          <w:rFonts w:ascii="sans-serif" w:hAnsi="sans-serif"/>
          <w:b/>
          <w:color w:val="000000"/>
          <w:sz w:val="22"/>
        </w:rPr>
        <w:t>Quarter 2026 Financial Summary</w:t>
      </w:r>
      <w:r>
        <w:rPr>
          <w:color w:val="000000"/>
        </w:rPr>
        <w:t xml:space="preserve">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Total revenue of $173.0 million, representing 20% year-over-year growth. Network Services revenue of $126.2 million, representing 11% year-over-year growth. Security revenue of $38.8 million, representing 47% year-over-year growth. Other revenue of $8.0 million, representing 67% year-over-year growth. Network Services revenue includes solutions designed to improve performance of websites, apps, APIs, and digital media. Security revenue includes products designed to protect websites, apps, APIs, and users. Other revenue includes Compute and Observability solutions.</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Generated $28.9 million of operating cash flow compared to $17.3 million of operating cash flow in the first quarter of 2025. Generated $4.1 million of positive free cash flow compared to $8.2 million in the first quarter of 2025.</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gross margin of 62.5%, compared to 53.2% in the first quarter of 2025. Non-GAAP gross margin</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65.1%, compared to 57.3% in the first quarter of 2025.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net loss of $20.5 million, compared to $39.1 million in the first quarter of 2025. Non-GAAP net income</w:t>
      </w:r>
      <w:r>
        <w:rPr>
          <w:rFonts w:ascii="sans-serif" w:hAnsi="sans-serif"/>
          <w:b w:val="false"/>
          <w:color w:val="000000"/>
          <w:sz w:val="13"/>
        </w:rPr>
        <w:t>1</w:t>
      </w:r>
      <w:r>
        <w:rPr>
          <w:color w:val="000000"/>
        </w:rPr>
        <w:t xml:space="preserve"> </w:t>
      </w:r>
      <w:r>
        <w:rPr>
          <w:rFonts w:ascii="sans-serif" w:hAnsi="sans-serif"/>
          <w:b w:val="false"/>
          <w:color w:val="000000"/>
          <w:sz w:val="20"/>
        </w:rPr>
        <w:t>of $22.9 million, compared to non-GAAP net loss</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$6.6 million in the first quarter of 2025.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net loss per basic and diluted share of $0.13, compared to $0.27 in the first quarter of 2025. Non-GAAP net income per basic share</w:t>
      </w:r>
      <w:r>
        <w:rPr>
          <w:rFonts w:ascii="sans-serif" w:hAnsi="sans-serif"/>
          <w:b w:val="false"/>
          <w:color w:val="000000"/>
          <w:sz w:val="13"/>
        </w:rPr>
        <w:t>1</w:t>
      </w:r>
      <w:r>
        <w:rPr>
          <w:color w:val="000000"/>
        </w:rPr>
        <w:t xml:space="preserve"> </w:t>
      </w:r>
      <w:r>
        <w:rPr>
          <w:rFonts w:ascii="sans-serif" w:hAnsi="sans-serif"/>
          <w:b w:val="false"/>
          <w:color w:val="000000"/>
          <w:sz w:val="20"/>
        </w:rPr>
        <w:t>of $0.15, compared to non-GAAP net loss per basic share</w:t>
      </w:r>
      <w:r>
        <w:rPr>
          <w:rFonts w:ascii="sans-serif" w:hAnsi="sans-serif"/>
          <w:b w:val="false"/>
          <w:color w:val="000000"/>
          <w:sz w:val="13"/>
        </w:rPr>
        <w:t xml:space="preserve">1 </w:t>
      </w:r>
      <w:r>
        <w:rPr>
          <w:rFonts w:ascii="sans-serif" w:hAnsi="sans-serif"/>
          <w:b w:val="false"/>
          <w:color w:val="000000"/>
          <w:sz w:val="20"/>
        </w:rPr>
        <w:t>of $0.05 in the first quarter of 2025. Non-GAAP net income per diluted share</w:t>
      </w:r>
      <w:r>
        <w:rPr>
          <w:rFonts w:ascii="sans-serif" w:hAnsi="sans-serif"/>
          <w:b w:val="false"/>
          <w:color w:val="000000"/>
          <w:sz w:val="13"/>
        </w:rPr>
        <w:t xml:space="preserve">1 </w:t>
      </w:r>
      <w:r>
        <w:rPr>
          <w:rFonts w:ascii="sans-serif" w:hAnsi="sans-serif"/>
          <w:b w:val="false"/>
          <w:color w:val="000000"/>
          <w:sz w:val="20"/>
        </w:rPr>
        <w:t>of $0.13, compared to non-GAAP net loss per diluted share</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$0.05 in the first quarter of 2025. </w:t>
      </w:r>
    </w:p>
    <w:p>
      <w:pPr>
        <w:pStyle w:val="TextBody"/>
        <w:bidi w:val="0"/>
        <w:spacing w:lineRule="auto" w:line="276" w:before="240" w:after="120"/>
        <w:jc w:val="left"/>
        <w:rPr>
          <w:rFonts w:ascii="sans-serif" w:hAnsi="sans-serif"/>
          <w:b/>
          <w:color w:val="000000"/>
          <w:sz w:val="22"/>
        </w:rPr>
      </w:pPr>
      <w:r>
        <w:rPr>
          <w:rFonts w:ascii="sans-serif" w:hAnsi="sans-serif"/>
          <w:b/>
          <w:color w:val="000000"/>
          <w:sz w:val="22"/>
        </w:rPr>
        <w:t xml:space="preserve">Key Metrics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Remaining Performance Obligations (RPO)</w:t>
      </w:r>
      <w:r>
        <w:rPr>
          <w:rFonts w:ascii="sans-serif" w:hAnsi="sans-serif"/>
          <w:b w:val="false"/>
          <w:color w:val="000000"/>
          <w:sz w:val="13"/>
        </w:rPr>
        <w:t xml:space="preserve">2 </w:t>
      </w:r>
      <w:r>
        <w:rPr>
          <w:rFonts w:ascii="sans-serif" w:hAnsi="sans-serif"/>
          <w:b w:val="false"/>
          <w:color w:val="000000"/>
          <w:sz w:val="20"/>
        </w:rPr>
        <w:t>were $369 million, up 63% from $226 million in the first quarter of 2025.</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Large customer count</w:t>
      </w:r>
      <w:r>
        <w:rPr>
          <w:rFonts w:ascii="sans-serif" w:hAnsi="sans-serif"/>
          <w:b w:val="false"/>
          <w:color w:val="000000"/>
          <w:sz w:val="13"/>
        </w:rPr>
        <w:t>3</w:t>
      </w:r>
      <w:r>
        <w:rPr>
          <w:color w:val="000000"/>
        </w:rPr>
        <w:t xml:space="preserve"> </w:t>
      </w:r>
      <w:r>
        <w:rPr>
          <w:rFonts w:ascii="sans-serif" w:hAnsi="sans-serif"/>
          <w:b w:val="false"/>
          <w:color w:val="000000"/>
          <w:sz w:val="20"/>
        </w:rPr>
        <w:t xml:space="preserve">was 634 in the first quarter, up 39 from the first quarter of 2025.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Fastly's top ten customers accounted for 34% of revenue in the first quarter of 2026 compared to 33% in the first quarter of 2025. Revenue from the top ten customers increased 25% year-over-year compared to revenue growth of 17% year-over-year from customers outside the top ten.</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Last 12-month net retention rate (LTM NRR)</w:t>
      </w:r>
      <w:r>
        <w:rPr>
          <w:rFonts w:ascii="sans-serif" w:hAnsi="sans-serif"/>
          <w:b w:val="false"/>
          <w:color w:val="000000"/>
          <w:sz w:val="13"/>
        </w:rPr>
        <w:t>4</w:t>
      </w:r>
      <w:r>
        <w:rPr>
          <w:color w:val="000000"/>
        </w:rPr>
        <w:t xml:space="preserve"> </w:t>
      </w:r>
      <w:r>
        <w:rPr>
          <w:rFonts w:ascii="sans-serif" w:hAnsi="sans-serif"/>
          <w:b w:val="false"/>
          <w:color w:val="000000"/>
          <w:sz w:val="20"/>
        </w:rPr>
        <w:t>increased to 113% in the first quarter from 110% in the fourth quarter of 2025.</w:t>
      </w:r>
    </w:p>
    <w:p>
      <w:pPr>
        <w:pStyle w:val="TextBody"/>
        <w:bidi w:val="0"/>
        <w:spacing w:lineRule="auto" w:line="276" w:before="240" w:after="120"/>
        <w:jc w:val="left"/>
        <w:rPr>
          <w:rFonts w:ascii="sans-serif" w:hAnsi="sans-serif"/>
          <w:b/>
          <w:color w:val="000000"/>
          <w:sz w:val="22"/>
        </w:rPr>
      </w:pPr>
      <w:r>
        <w:rPr>
          <w:rFonts w:ascii="sans-serif" w:hAnsi="sans-serif"/>
          <w:b/>
          <w:color w:val="000000"/>
          <w:sz w:val="22"/>
        </w:rPr>
        <w:t>First Quarter Business and Product Highlights</w:t>
      </w:r>
    </w:p>
    <w:p>
      <w:pPr>
        <w:pStyle w:val="TextBody"/>
        <w:bidi w:val="0"/>
        <w:spacing w:lineRule="auto" w:line="276" w:before="60" w:after="160"/>
        <w:ind w:left="0" w:right="0" w:hanging="360"/>
        <w:jc w:val="left"/>
        <w:rPr/>
      </w:pPr>
      <w:r>
        <w:rPr>
          <w:color w:val="000000"/>
        </w:rPr>
        <w:t>•</w:t>
      </w:r>
      <w:r>
        <w:rPr>
          <w:rFonts w:ascii="sans-serif" w:hAnsi="sans-serif"/>
          <w:b w:val="false"/>
          <w:color w:val="000000"/>
          <w:sz w:val="20"/>
        </w:rPr>
        <w:t>Fastly appointed Joan Jenkins as Chief Marketing Officer to help accelerate global growth and strengthen its leadership in edge computing, security, and AI, bringing the Fastly platform story to a global audience.</w:t>
      </w:r>
    </w:p>
    <w:p>
      <w:pPr>
        <w:pStyle w:val="TextBody"/>
        <w:bidi w:val="0"/>
        <w:spacing w:lineRule="auto" w:line="288" w:before="60" w:after="160"/>
        <w:ind w:left="0" w:right="0" w:hanging="360"/>
        <w:jc w:val="left"/>
        <w:rPr/>
      </w:pPr>
      <w:r>
        <w:rPr>
          <w:color w:val="000000"/>
        </w:rPr>
        <w:t>•</w:t>
      </w:r>
      <w:r>
        <w:rPr>
          <w:rFonts w:ascii="sans-serif" w:hAnsi="sans-serif"/>
          <w:b w:val="false"/>
          <w:color w:val="000000"/>
          <w:sz w:val="20"/>
        </w:rPr>
        <w:t>Fastly was named a Leader in “The Forrester Wave™: Edge Development Platforms, Q1 2026 Report,” receiving one of the highest overall evaluation scores and was the only company to receive a "halo” designation, indicating superior customer feedback.</w:t>
      </w:r>
    </w:p>
    <w:p>
      <w:pPr>
        <w:pStyle w:val="TextBody"/>
        <w:bidi w:val="0"/>
        <w:spacing w:lineRule="auto" w:line="276" w:before="60" w:after="160"/>
        <w:ind w:left="0" w:right="0" w:hanging="360"/>
        <w:jc w:val="left"/>
        <w:rPr/>
      </w:pPr>
      <w:r>
        <w:rPr>
          <w:color w:val="000000"/>
        </w:rPr>
        <w:t>•</w:t>
      </w:r>
      <w:r>
        <w:rPr>
          <w:rFonts w:ascii="sans-serif" w:hAnsi="sans-serif"/>
          <w:b w:val="false"/>
          <w:color w:val="000000"/>
          <w:sz w:val="20"/>
        </w:rPr>
        <w:t xml:space="preserve">Expanded Bot Management with Content Guard, securing the AI bot landscape by blocking unauthorized AI agents to monetize IP and provide publishers precise control through unmatched visibility into all automated traffic. </w:t>
      </w:r>
    </w:p>
    <w:p>
      <w:pPr>
        <w:pStyle w:val="TextBody"/>
        <w:bidi w:val="0"/>
        <w:spacing w:lineRule="auto" w:line="288" w:before="60" w:after="160"/>
        <w:ind w:left="0" w:right="0" w:hanging="360"/>
        <w:jc w:val="left"/>
        <w:rPr/>
      </w:pPr>
      <w:r>
        <w:rPr>
          <w:color w:val="000000"/>
        </w:rPr>
        <w:t>•</w:t>
      </w:r>
      <w:r>
        <w:rPr>
          <w:rFonts w:ascii="sans-serif" w:hAnsi="sans-serif"/>
          <w:b w:val="false"/>
          <w:color w:val="000000"/>
          <w:sz w:val="20"/>
        </w:rPr>
        <w:t xml:space="preserve">Enhanced the API Security suite by adding prioritization tools, bulk actions, and CI/CD integrations to API Discovery, enabling stronger visibility of "shadow APIs" in enterprise ecosystems. </w:t>
      </w:r>
    </w:p>
    <w:p>
      <w:pPr>
        <w:pStyle w:val="TextBody"/>
        <w:bidi w:val="0"/>
        <w:spacing w:lineRule="auto" w:line="288" w:before="60" w:after="160"/>
        <w:ind w:left="0" w:right="0" w:hanging="360"/>
        <w:jc w:val="left"/>
        <w:rPr/>
      </w:pPr>
      <w:r>
        <w:rPr>
          <w:color w:val="000000"/>
        </w:rPr>
        <w:t>•</w:t>
      </w:r>
      <w:r>
        <w:rPr>
          <w:rFonts w:ascii="sans-serif" w:hAnsi="sans-serif"/>
          <w:b w:val="false"/>
          <w:color w:val="000000"/>
          <w:sz w:val="20"/>
        </w:rPr>
        <w:t xml:space="preserve">Enhanced our Compute &amp; Security offerings by adding popular coding languages to expand security layer utility across diverse developer use cases. </w:t>
      </w:r>
    </w:p>
    <w:p>
      <w:pPr>
        <w:pStyle w:val="TextBody"/>
        <w:bidi w:val="0"/>
        <w:spacing w:lineRule="auto" w:line="288" w:before="60" w:after="160"/>
        <w:ind w:left="0" w:right="0" w:hanging="360"/>
        <w:jc w:val="left"/>
        <w:rPr/>
      </w:pPr>
      <w:r>
        <w:rPr>
          <w:color w:val="000000"/>
        </w:rPr>
        <w:t>•</w:t>
      </w:r>
      <w:r>
        <w:rPr>
          <w:rFonts w:ascii="sans-serif" w:hAnsi="sans-serif"/>
          <w:b w:val="false"/>
          <w:color w:val="000000"/>
          <w:sz w:val="20"/>
        </w:rPr>
        <w:t xml:space="preserve">Launched the Fastly Agent Toolkit, equipping AI coding agents with Fastly-specific "skills" to accelerate the customer development lifecycle, deployment and time-to-value on our platform. </w:t>
      </w:r>
    </w:p>
    <w:p>
      <w:pPr>
        <w:pStyle w:val="TextBody"/>
        <w:bidi w:val="0"/>
        <w:spacing w:lineRule="auto" w:line="276" w:before="240" w:after="120"/>
        <w:jc w:val="left"/>
        <w:rPr>
          <w:rFonts w:ascii="sans-serif" w:hAnsi="sans-serif"/>
          <w:b/>
          <w:color w:val="182931"/>
          <w:sz w:val="22"/>
        </w:rPr>
      </w:pPr>
      <w:r>
        <w:rPr>
          <w:rFonts w:ascii="sans-serif" w:hAnsi="sans-serif"/>
          <w:b/>
          <w:color w:val="182931"/>
          <w:sz w:val="22"/>
        </w:rPr>
        <w:t xml:space="preserve">Second Quarter and Full Year 2026 Guidance </w:t>
      </w:r>
    </w:p>
    <w:tbl>
      <w:tblPr>
        <w:tblW w:w="7329" w:type="dxa"/>
        <w:jc w:val="left"/>
        <w:tblInd w:w="0" w:type="dxa"/>
        <w:tblLayout w:type="fixed"/>
        <w:tblCellMar>
          <w:top w:w="28" w:type="dxa"/>
          <w:left w:w="28" w:type="dxa"/>
          <w:bottom w:w="28" w:type="dxa"/>
          <w:right w:w="28" w:type="dxa"/>
        </w:tblCellMar>
      </w:tblPr>
      <w:tblGrid>
        <w:gridCol w:w="1362"/>
        <w:gridCol w:w="1197"/>
        <w:gridCol w:w="1206"/>
        <w:gridCol w:w="109"/>
        <w:gridCol w:w="109"/>
        <w:gridCol w:w="109"/>
        <w:gridCol w:w="464"/>
        <w:gridCol w:w="464"/>
        <w:gridCol w:w="467"/>
        <w:gridCol w:w="109"/>
        <w:gridCol w:w="109"/>
        <w:gridCol w:w="109"/>
        <w:gridCol w:w="442"/>
        <w:gridCol w:w="442"/>
        <w:gridCol w:w="631"/>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Full Year 2026</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$170.0 - $176.0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$710.0 - $725.0</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Non-GAAP Operating Income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$12.0 - $16.0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$58.0 - $68.0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Non-GAAP Net Income per share</w:t>
            </w:r>
            <w:r>
              <w:rPr>
                <w:rFonts w:ascii="Open Sans;sans-serif" w:hAnsi="Open Sans;sans-serif"/>
                <w:b/>
                <w:color w:val="000000"/>
                <w:sz w:val="1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$0.05 - $0.08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$0.27 - $0.33</w:t>
            </w:r>
          </w:p>
        </w:tc>
      </w:tr>
    </w:tbl>
    <w:p>
      <w:pPr>
        <w:pStyle w:val="TextBody"/>
        <w:bidi w:val="0"/>
        <w:spacing w:lineRule="auto" w:line="276" w:before="120" w:after="120"/>
        <w:jc w:val="left"/>
        <w:rPr>
          <w:rFonts w:ascii="sans-serif" w:hAnsi="sans-serif"/>
          <w:b w:val="false"/>
          <w:color w:val="000000"/>
          <w:sz w:val="20"/>
        </w:rPr>
      </w:pPr>
      <w:r>
        <w:rPr>
          <w:rFonts w:ascii="sans-serif" w:hAnsi="sans-serif"/>
          <w:b w:val="false"/>
          <w:color w:val="000000"/>
          <w:sz w:val="20"/>
        </w:rPr>
        <w:t>A reconciliation of non-GAAP guidance measures to corresponding GAAP measures is not available on a forward-looking basis without unreasonable effort due to the uncertainty of expenses that may be incurred in the future and cannot be reasonably determined or predicted at this time, although it is important to note that these factors could be material to Fastly’s future GAAP financial results.</w:t>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 xml:space="preserve">Fastly will host an investor conference call to discuss its results at 1:30 p.m. PT / 4:30 p.m. ET on Wednesday, May 6, 2026. </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To access the conference call, please pre-register and dial-in using this link at least 15 minutes prior to the 1:30 p.m. PT start time. Registrants will receive an email confirmation with dial-in details.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live webcast of the event can be accessed using this link. A replay of the webcast will be available on https://investors.fastly.com starting approximately two hours after the event and archived on the site for one quarter.</w:t>
      </w:r>
    </w:p>
    <w:p>
      <w:pPr>
        <w:pStyle w:val="TextBody"/>
        <w:bidi w:val="0"/>
        <w:spacing w:before="60" w:after="120"/>
        <w:jc w:val="left"/>
        <w:rPr/>
      </w:pPr>
      <w:r>
        <w:rPr/>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About Fastly, Inc.</w:t>
      </w:r>
    </w:p>
    <w:p>
      <w:pPr>
        <w:pStyle w:val="TextBody"/>
        <w:bidi w:val="0"/>
        <w:spacing w:lineRule="auto" w:line="276" w:before="0" w:after="120"/>
        <w:jc w:val="left"/>
        <w:rPr>
          <w:rFonts w:ascii="sans-serif" w:hAnsi="sans-serif"/>
          <w:b w:val="false"/>
          <w:color w:val="000000"/>
          <w:sz w:val="20"/>
          <w:shd w:fill="FFFFFF" w:val="clear"/>
        </w:rPr>
      </w:pPr>
      <w:r>
        <w:rPr>
          <w:rFonts w:ascii="sans-serif" w:hAnsi="sans-serif"/>
          <w:b w:val="false"/>
          <w:color w:val="000000"/>
          <w:sz w:val="20"/>
          <w:shd w:fill="FFFFFF" w:val="clear"/>
        </w:rPr>
        <w:t>Fastly’s powerful and programmable edge cloud platform helps the world’s top brands deliver online experiences that are fast, safe, and engaging through edge compute, delivery, security, and observability offerings that improve site performance, enhance security, and empower innovation at global scale. Compared to other providers, Fastly’s powerful, high-performance, and modern platform architecture empowers developers to deliver secure websites and apps with rapid time-to-market and demonstrated, industry-leading cost savings. Organizations around the world trust Fastly to help them upgrade the internet experience, including Reddit, Universal Music Group, and SeatGeek. Learn more about Fastly at https://www.fastly.com, and follow us @fastly.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276" w:before="60" w:after="12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This press release contains “forward-looking” statements that are based on our beliefs and assumptions and on information currently available to us. Forward-looking statements may involve known and unknown risks, uncertainties, and other factors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pPr>
      <w:r>
        <w:rPr>
          <w:rFonts w:ascii="sans-serif" w:hAnsi="sans-serif"/>
          <w:b w:val="false"/>
          <w:color w:val="000000"/>
          <w:sz w:val="20"/>
          <w:shd w:fill="FFFFFF" w:val="clear"/>
        </w:rPr>
        <w:t xml:space="preserve">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and ability to improve liquidity; our ability to acquire new customers, expand cross-sell opportunities, and grow market share; our ability to enrich our revenue mix with platform enhancements; the performance of our existing and new platform enhancements; our ability to accelerate global growth; the performance, capabilities, and expectations regarding customer experiences with Bot Management with Content Guard, the API Security suite, including API Discovery, Next-Gen WAF, Fastly Agent Toolkit and its ability to enable coding agents to work with Fastly, and Object Storage; and Fastly's strategies, platform, and business plans.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w:t>
      </w:r>
      <w:r>
        <w:rPr>
          <w:rFonts w:ascii="sans-serif" w:hAnsi="sans-serif"/>
          <w:b w:val="false"/>
          <w:color w:val="000000"/>
          <w:sz w:val="20"/>
        </w:rPr>
        <w:t>December 31, 2025</w:t>
      </w:r>
      <w:r>
        <w:rPr>
          <w:rFonts w:ascii="sans-serif" w:hAnsi="sans-serif"/>
          <w:b w:val="false"/>
          <w:color w:val="000000"/>
          <w:sz w:val="20"/>
          <w:shd w:fill="FFFFFF" w:val="clear"/>
        </w:rPr>
        <w:t xml:space="preserve">. Additional information will also be set forth in Fastly’s Quarterly Report on Form 10-Q for the quarter ended March 31, 2026, </w:t>
      </w:r>
      <w:r>
        <w:rPr>
          <w:rFonts w:ascii="sans-serif" w:hAnsi="sans-serif"/>
          <w:b w:val="false"/>
          <w:color w:val="000000"/>
          <w:sz w:val="20"/>
        </w:rPr>
        <w:t>and other filings and reports that Fastly may file from time to time with the SEC</w:t>
      </w:r>
      <w:r>
        <w:rPr>
          <w:rFonts w:ascii="sans-serif" w:hAnsi="sans-serif"/>
          <w:b w:val="false"/>
          <w:color w:val="000000"/>
          <w:sz w:val="20"/>
          <w:shd w:fill="FFFFFF" w:val="clear"/>
        </w:rPr>
        <w:t>. Copies of reports filed with the SEC are posted on Fastly’s website and are available from Fastly without charge.</w:t>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Use of Non-GAAP Financial Measures</w:t>
      </w:r>
    </w:p>
    <w:p>
      <w:pPr>
        <w:pStyle w:val="TextBody"/>
        <w:bidi w:val="0"/>
        <w:spacing w:lineRule="auto" w:line="276" w:before="60" w:after="120"/>
        <w:jc w:val="left"/>
        <w:rPr/>
      </w:pPr>
      <w:r>
        <w:rPr>
          <w:rFonts w:ascii="sans-serif" w:hAnsi="sans-serif"/>
          <w:b w:val="false"/>
          <w:color w:val="000000"/>
          <w:sz w:val="20"/>
        </w:rPr>
        <w:t>To supplement our condensed consolidated financial statements, which are prepared and presented in accordance with accounting principles generally accepted in the United States (</w:t>
      </w:r>
      <w:r>
        <w:rPr>
          <w:color w:val="000000"/>
          <w:shd w:fill="FFFFFF" w:val="clear"/>
        </w:rPr>
        <w:t>“</w:t>
      </w:r>
      <w:r>
        <w:rPr>
          <w:rFonts w:ascii="sans-serif" w:hAnsi="sans-serif"/>
          <w:b w:val="false"/>
          <w:color w:val="000000"/>
          <w:sz w:val="20"/>
        </w:rPr>
        <w:t>GAAP</w:t>
      </w:r>
      <w:r>
        <w:rPr>
          <w:color w:val="000000"/>
          <w:shd w:fill="FFFFFF" w:val="clear"/>
        </w:rPr>
        <w:t>”</w:t>
      </w:r>
      <w:r>
        <w:rPr>
          <w:rFonts w:ascii="sans-serif" w:hAnsi="sans-serif"/>
          <w:b w:val="false"/>
          <w:color w:val="000000"/>
          <w:sz w:val="20"/>
        </w:rPr>
        <w:t>), the Company uses the following non-GAAP measures of financial performance: non-GAAP gross profit, non-GAAP gross margin, non-GAAP operating income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76" w:before="60" w:after="120"/>
        <w:jc w:val="left"/>
        <w:rPr/>
      </w:pPr>
      <w:r>
        <w:rPr>
          <w:rFonts w:ascii="sans-serif" w:hAnsi="sans-serif"/>
          <w:b w:val="false"/>
          <w:color w:val="000000"/>
          <w:sz w:val="20"/>
        </w:rPr>
        <w:t>Non-GAAP gross profit, non-GAAP gross margin, non-GAAP operating income (loss), non-GAAP net income (loss) and non-GAAP basic and diluted net income (loss) per common share, non-GAAP research and development, non-GAAP sales and marketing, and non-GAAP general and administrative differ from GAAP in that they exclude stock-based compensation expense and related employer payroll taxes, amortization of capitalized stock-based compensation - cost of revenue</w:t>
      </w:r>
      <w:r>
        <w:rPr>
          <w:rFonts w:ascii="sans-serif" w:hAnsi="sans-serif"/>
          <w:b/>
          <w:color w:val="000000"/>
          <w:sz w:val="20"/>
        </w:rPr>
        <w:t xml:space="preserve">, </w:t>
      </w:r>
      <w:r>
        <w:rPr>
          <w:rFonts w:ascii="sans-serif" w:hAnsi="sans-serif"/>
          <w:b w:val="false"/>
          <w:color w:val="000000"/>
          <w:sz w:val="20"/>
        </w:rPr>
        <w:t xml:space="preserve">amortization of acquired intangible assets, </w:t>
      </w:r>
      <w:r>
        <w:rPr>
          <w:rFonts w:ascii="Inter;sans-serif" w:hAnsi="Inter;sans-serif"/>
          <w:b w:val="false"/>
          <w:color w:val="000000"/>
          <w:sz w:val="18"/>
        </w:rPr>
        <w:t xml:space="preserve">executive transition costs, </w:t>
      </w:r>
      <w:r>
        <w:rPr>
          <w:rFonts w:ascii="sans-serif" w:hAnsi="sans-serif"/>
          <w:b w:val="false"/>
          <w:color w:val="000000"/>
          <w:sz w:val="20"/>
        </w:rPr>
        <w:t>and amortization of debt discount and issuance costs.</w:t>
      </w:r>
    </w:p>
    <w:p>
      <w:pPr>
        <w:pStyle w:val="TextBody"/>
        <w:bidi w:val="0"/>
        <w:spacing w:lineRule="auto" w:line="276" w:before="60" w:after="120"/>
        <w:jc w:val="left"/>
        <w:rPr/>
      </w:pPr>
      <w:r>
        <w:rPr>
          <w:rFonts w:ascii="sans-serif" w:hAnsi="sans-serif"/>
          <w:b/>
          <w:color w:val="000000"/>
          <w:sz w:val="20"/>
        </w:rPr>
        <w:t>Adjusted EBITDA</w:t>
      </w:r>
      <w:r>
        <w:rPr>
          <w:rFonts w:ascii="sans-serif" w:hAnsi="sans-serif"/>
          <w:b w:val="false"/>
          <w:color w:val="000000"/>
          <w:sz w:val="20"/>
        </w:rPr>
        <w:t>: excludes stock-based compensation expense and related employer payroll taxes, amortization of capitalized stock-based compensation - cost of revenue, depreciation and other amortization expenses, amortization of acquired intangible assets, executive transition costs, interest income, interest expense, including amortization of debt discount and issuance costs, other expense, net, and income taxes.</w:t>
      </w:r>
    </w:p>
    <w:p>
      <w:pPr>
        <w:pStyle w:val="TextBody"/>
        <w:bidi w:val="0"/>
        <w:spacing w:lineRule="auto" w:line="276" w:before="60" w:after="120"/>
        <w:jc w:val="left"/>
        <w:rPr/>
      </w:pPr>
      <w:r>
        <w:rPr>
          <w:rFonts w:ascii="sans-serif" w:hAnsi="sans-serif"/>
          <w:b/>
          <w:color w:val="000000"/>
          <w:sz w:val="20"/>
        </w:rPr>
        <w:t>Amortization of Acquired Intangible Assets</w:t>
      </w:r>
      <w:r>
        <w:rPr>
          <w:rFonts w:ascii="sans-serif" w:hAnsi="sans-serif"/>
          <w:b w:val="false"/>
          <w:color w:val="000000"/>
          <w:sz w:val="20"/>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r>
        <w:rPr>
          <w:rFonts w:ascii="sans-serif" w:hAnsi="sans-serif"/>
          <w:b w:val="false"/>
          <w:color w:val="000000"/>
          <w:sz w:val="24"/>
        </w:rPr>
        <w:t>.</w:t>
      </w:r>
    </w:p>
    <w:p>
      <w:pPr>
        <w:pStyle w:val="TextBody"/>
        <w:bidi w:val="0"/>
        <w:spacing w:lineRule="auto" w:line="276" w:before="60" w:after="120"/>
        <w:jc w:val="left"/>
        <w:rPr/>
      </w:pPr>
      <w:r>
        <w:rPr>
          <w:rFonts w:ascii="sans-serif" w:hAnsi="sans-serif"/>
          <w:b/>
          <w:color w:val="000000"/>
          <w:sz w:val="20"/>
        </w:rPr>
        <w:t>Amortization of Debt Discount and Issuance Costs</w:t>
      </w:r>
      <w:r>
        <w:rPr>
          <w:rFonts w:ascii="sans-serif" w:hAnsi="sans-serif"/>
          <w:b w:val="false"/>
          <w:color w:val="000000"/>
          <w:sz w:val="20"/>
        </w:rPr>
        <w:t>: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 These are included in our total interest expense.</w:t>
      </w:r>
    </w:p>
    <w:p>
      <w:pPr>
        <w:pStyle w:val="TextBody"/>
        <w:bidi w:val="0"/>
        <w:spacing w:lineRule="auto" w:line="276" w:before="60" w:after="120"/>
        <w:jc w:val="left"/>
        <w:rPr/>
      </w:pPr>
      <w:r>
        <w:rPr>
          <w:rFonts w:ascii="sans-serif" w:hAnsi="sans-serif"/>
          <w:b/>
          <w:color w:val="000000"/>
          <w:sz w:val="20"/>
        </w:rPr>
        <w:t>Capital Expenditures</w:t>
      </w:r>
      <w:r>
        <w:rPr>
          <w:rFonts w:ascii="sans-serif" w:hAnsi="sans-serif"/>
          <w:b w:val="false"/>
          <w:color w:val="000000"/>
          <w:sz w:val="20"/>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lineRule="auto" w:line="276" w:before="60" w:after="120"/>
        <w:jc w:val="left"/>
        <w:rPr/>
      </w:pPr>
      <w:r>
        <w:rPr>
          <w:rFonts w:ascii="sans-serif" w:hAnsi="sans-serif"/>
          <w:b/>
          <w:color w:val="000000"/>
          <w:sz w:val="20"/>
        </w:rPr>
        <w:t>Depreciation and Other Amortization Expense</w:t>
      </w:r>
      <w:r>
        <w:rPr>
          <w:rFonts w:ascii="sans-serif" w:hAnsi="sans-serif"/>
          <w:b w:val="false"/>
          <w:color w:val="000000"/>
          <w:sz w:val="20"/>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Executive Transition Costs</w:t>
      </w:r>
      <w:r>
        <w:rPr>
          <w:rFonts w:ascii="sans-serif" w:hAnsi="sans-serif"/>
          <w:b w:val="false"/>
          <w:color w:val="000000"/>
          <w:sz w:val="20"/>
        </w:rPr>
        <w:t xml:space="preserve">: consists of one-time cash charges recognized with respect to changes in our executive’s employment status. Management considers its operating results without this activity when evaluating its ongoing non-GAAP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Free Cash Flow</w:t>
      </w:r>
      <w:r>
        <w:rPr>
          <w:rFonts w:ascii="sans-serif" w:hAnsi="sans-serif"/>
          <w:b w:val="false"/>
          <w:color w:val="000000"/>
          <w:sz w:val="20"/>
        </w:rPr>
        <w:t>: calculated as net cash used in operating activities less purchases of property and equipment, net of proceeds from sale of property and equipment, principal payments of finance lease liabilities and capitalized internal-use software costs.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presentation of non-GAAP free cash flow is also not meant to be considered in isolation or as an alternative to cash flows from operating activities as a measure of liquidity.</w:t>
      </w:r>
    </w:p>
    <w:p>
      <w:pPr>
        <w:pStyle w:val="TextBody"/>
        <w:bidi w:val="0"/>
        <w:spacing w:lineRule="auto" w:line="276" w:before="60" w:after="120"/>
        <w:jc w:val="left"/>
        <w:rPr/>
      </w:pPr>
      <w:r>
        <w:rPr>
          <w:rFonts w:ascii="sans-serif" w:hAnsi="sans-serif"/>
          <w:b/>
          <w:color w:val="000000"/>
          <w:sz w:val="20"/>
        </w:rPr>
        <w:t>Income Taxes</w:t>
      </w:r>
      <w:r>
        <w:rPr>
          <w:rFonts w:ascii="sans-serif" w:hAnsi="sans-serif"/>
          <w:b w:val="false"/>
          <w:color w:val="000000"/>
          <w:sz w:val="20"/>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Interest Expense</w:t>
      </w:r>
      <w:r>
        <w:rPr>
          <w:rFonts w:ascii="sans-serif" w:hAnsi="sans-serif"/>
          <w:b w:val="false"/>
          <w:color w:val="000000"/>
          <w:sz w:val="20"/>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Interest Income</w:t>
      </w:r>
      <w:r>
        <w:rPr>
          <w:rFonts w:ascii="sans-serif" w:hAnsi="sans-serif"/>
          <w:b w:val="false"/>
          <w:color w:val="000000"/>
          <w:sz w:val="20"/>
        </w:rPr>
        <w:t>: consists primarily of interest income related to our marketable securities.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Other Expense, Net</w:t>
      </w:r>
      <w:r>
        <w:rPr>
          <w:rFonts w:ascii="sans-serif" w:hAnsi="sans-serif"/>
          <w:b w:val="false"/>
          <w:color w:val="000000"/>
          <w:sz w:val="20"/>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Stock-Based Compensation Expense and Related Employer Payroll Taxes</w:t>
      </w:r>
      <w:r>
        <w:rPr>
          <w:rFonts w:ascii="sans-serif" w:hAnsi="sans-serif"/>
          <w:b w:val="false"/>
          <w:color w:val="000000"/>
          <w:sz w:val="20"/>
        </w:rPr>
        <w:t>: consists of expenses for stock options, restricted stock units, performance awards and other shares issued under our equity incentive plans or our Employee Stock Purchase Plan ("ESPP"), as applicable, and the related employer payroll taxes. Although stock-based compensation and its related employer payroll taxes are expenses for the Company, management considers its operating results without this activity when evaluating its ongoing non-GAAP net income (loss) performance and its adjusted EBITDA performance, primarily because they are expenses not believed by 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lineRule="auto" w:line="276" w:before="60" w:after="120"/>
        <w:jc w:val="left"/>
        <w:rPr/>
      </w:pPr>
      <w:r>
        <w:rPr>
          <w:rFonts w:ascii="sans-serif" w:hAnsi="sans-serif"/>
          <w:b/>
          <w:color w:val="000000"/>
          <w:sz w:val="20"/>
        </w:rPr>
        <w:t>Amortization of Capitalized Stock-Based Compensation - Cost of Revenue</w:t>
      </w:r>
      <w:r>
        <w:rPr>
          <w:rFonts w:ascii="sans-serif" w:hAnsi="sans-serif"/>
          <w:b w:val="false"/>
          <w:color w:val="000000"/>
          <w:sz w:val="20"/>
        </w:rPr>
        <w:t>:</w:t>
      </w:r>
      <w:r>
        <w:rPr>
          <w:color w:val="000000"/>
        </w:rPr>
        <w:t xml:space="preserve"> </w:t>
      </w:r>
      <w:r>
        <w:rPr>
          <w:rFonts w:ascii="sans-serif" w:hAnsi="sans-serif"/>
          <w:b w:val="false"/>
          <w:color w:val="000000"/>
          <w:sz w:val="20"/>
        </w:rPr>
        <w:t>in order to reflect the performance of our core business, ongoing operating results, or future outlook, and to be consistent with the way many investors evaluate 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In the financial tables below, the Company provides a reconciliation of the most comparable GAAP financial measure to the historical non-GAAP financial measures used in this press release.</w:t>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Key Metrics</w:t>
      </w:r>
    </w:p>
    <w:p>
      <w:pPr>
        <w:pStyle w:val="TextBody"/>
        <w:bidi w:val="0"/>
        <w:spacing w:lineRule="auto" w:line="276" w:before="60" w:after="120"/>
        <w:jc w:val="left"/>
        <w:rPr/>
      </w:pPr>
      <w:r>
        <w:rPr>
          <w:rFonts w:ascii="sans-serif" w:hAnsi="sans-serif"/>
          <w:b w:val="false"/>
          <w:color w:val="000000"/>
          <w:sz w:val="13"/>
        </w:rPr>
        <w:t xml:space="preserve">1 </w:t>
      </w:r>
      <w:r>
        <w:rPr>
          <w:rFonts w:ascii="sans-serif" w:hAnsi="sans-serif"/>
          <w:b w:val="false"/>
          <w:color w:val="000000"/>
          <w:sz w:val="20"/>
        </w:rPr>
        <w:t xml:space="preserve">Beginning with the quarter ended March 31, 2026, we are excluding stock-based compensation related employer payroll taxes from our non-GAAP gross margin, non-GAAP operating income (loss), non-GAAP net income (loss) per common share — basic and non-GAAP net income (loss) per common share — diluted, because we consider our operating results without this activity when evaluating our ongoing non-GAAP net income (loss) performance and our adjusted EBITDA performance. We did not recast the presentation for all prior periods presented due to the immaterial amount of such payroll taxes. </w:t>
      </w:r>
    </w:p>
    <w:p>
      <w:pPr>
        <w:pStyle w:val="TextBody"/>
        <w:bidi w:val="0"/>
        <w:spacing w:lineRule="auto" w:line="276" w:before="60" w:after="120"/>
        <w:jc w:val="left"/>
        <w:rPr/>
      </w:pPr>
      <w:r>
        <w:rPr>
          <w:rFonts w:ascii="sans-serif" w:hAnsi="sans-serif"/>
          <w:b w:val="false"/>
          <w:color w:val="000000"/>
          <w:sz w:val="13"/>
        </w:rPr>
        <w:t xml:space="preserve">2 </w:t>
      </w:r>
      <w:r>
        <w:rPr>
          <w:rFonts w:ascii="sans-serif" w:hAnsi="sans-serif"/>
          <w:b w:val="false"/>
          <w:color w:val="000000"/>
          <w:sz w:val="20"/>
        </w:rPr>
        <w:t>Remaining Performance Obligations include future committed revenue for periods within current contracts with customers, as well as deferred revenue arising from consideration invoiced for which the related performance obligations have not been satisfied. During the third quarter of 2025, we identified an error in RPO calculations from certain contracts with a termination-for-convenience clause. We recast the presentation of RPO for all prior periods presented to reflect the correction of this error.</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pPr>
      <w:r>
        <w:rPr>
          <w:rFonts w:ascii="sans-serif" w:hAnsi="sans-serif"/>
          <w:b w:val="false"/>
          <w:color w:val="000000"/>
          <w:sz w:val="13"/>
        </w:rPr>
        <w:t xml:space="preserve">3 </w:t>
      </w:r>
      <w:r>
        <w:rPr>
          <w:rFonts w:ascii="sans-serif" w:hAnsi="sans-serif"/>
          <w:b w:val="false"/>
          <w:color w:val="000000"/>
          <w:sz w:val="20"/>
        </w:rPr>
        <w:t xml:space="preserve">Our large customers are defined as those with annualized current quarter revenue in excess of $100,000. This is calculated by taking the revenue for each customer within the quarter and multiplying it by four. </w:t>
      </w:r>
    </w:p>
    <w:p>
      <w:pPr>
        <w:pStyle w:val="TextBody"/>
        <w:bidi w:val="0"/>
        <w:spacing w:lineRule="auto" w:line="276" w:before="60" w:after="120"/>
        <w:jc w:val="left"/>
        <w:rPr/>
      </w:pPr>
      <w:r>
        <w:rPr>
          <w:rFonts w:ascii="sans-serif" w:hAnsi="sans-serif"/>
          <w:b w:val="false"/>
          <w:color w:val="000000"/>
          <w:sz w:val="13"/>
        </w:rPr>
        <w:t xml:space="preserve">4 </w:t>
      </w:r>
      <w:r>
        <w:rPr>
          <w:rFonts w:ascii="sans-serif" w:hAnsi="sans-serif"/>
          <w:b w:val="false"/>
          <w:color w:val="000000"/>
          <w:sz w:val="20"/>
        </w:rPr>
        <w:t>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76" w:before="60" w:after="120"/>
        <w:jc w:val="left"/>
        <w:rPr/>
      </w:pPr>
      <w:r>
        <w:rPr>
          <w:rFonts w:ascii="sans-serif" w:hAnsi="sans-serif"/>
          <w:b w:val="false"/>
          <w:color w:val="000000"/>
          <w:sz w:val="13"/>
        </w:rPr>
        <w:t xml:space="preserve">5 </w:t>
      </w:r>
      <w:r>
        <w:rPr>
          <w:rFonts w:ascii="sans-serif" w:hAnsi="sans-serif"/>
          <w:b w:val="false"/>
          <w:color w:val="000000"/>
          <w:sz w:val="20"/>
        </w:rPr>
        <w:t xml:space="preserve">Non-GAAP net income (loss) per share is calculated as Non-GAAP net income (loss) divided by weighted average diluted shares for 2026. </w:t>
      </w:r>
    </w:p>
    <w:p>
      <w:pPr>
        <w:pStyle w:val="TextBody"/>
        <w:bidi w:val="0"/>
        <w:spacing w:lineRule="auto" w:line="276" w:before="60" w:after="120"/>
        <w:jc w:val="left"/>
        <w:rPr/>
      </w:pPr>
      <w:r>
        <w:rPr>
          <w:rFonts w:ascii="sans-serif" w:hAnsi="sans-serif"/>
          <w:b w:val="false"/>
          <w:color w:val="000000"/>
          <w:sz w:val="13"/>
        </w:rPr>
        <w:t xml:space="preserve">6 </w:t>
      </w:r>
      <w:r>
        <w:rPr>
          <w:rFonts w:ascii="sans-serif" w:hAnsi="sans-serif"/>
          <w:b w:val="false"/>
          <w:color w:val="000000"/>
          <w:sz w:val="20"/>
        </w:rPr>
        <w:t>Assumes weighted average diluted shares outstanding of 182.6 million in Q2 2026 and 182.0 million for the full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240" w:after="283"/>
        <w:jc w:val="left"/>
        <w:rPr>
          <w:rFonts w:ascii="sans-serif" w:hAnsi="sans-serif"/>
          <w:b/>
          <w:color w:val="182931"/>
          <w:sz w:val="20"/>
        </w:rPr>
      </w:pPr>
      <w:r>
        <w:rPr>
          <w:rFonts w:ascii="sans-serif" w:hAnsi="sans-serif"/>
          <w:b/>
          <w:color w:val="182931"/>
          <w:sz w:val="20"/>
        </w:rPr>
        <w:t>Condensed Consolidated Statements of Operations</w:t>
      </w:r>
    </w:p>
    <w:p>
      <w:pPr>
        <w:pStyle w:val="TextBody"/>
        <w:bidi w:val="0"/>
        <w:spacing w:lineRule="auto" w:line="276" w:before="0" w:after="120"/>
        <w:jc w:val="left"/>
        <w:rPr>
          <w:rFonts w:ascii="sans-serif" w:hAnsi="sans-serif"/>
          <w:b/>
          <w:color w:val="182931"/>
          <w:sz w:val="20"/>
        </w:rPr>
      </w:pPr>
      <w:r>
        <w:rPr>
          <w:rFonts w:ascii="sans-serif" w:hAnsi="sans-serif"/>
          <w:b/>
          <w:color w:val="182931"/>
          <w:sz w:val="20"/>
        </w:rPr>
        <w:t>(in thousands, except per share amounts, unaudited)</w:t>
      </w:r>
    </w:p>
    <w:tbl>
      <w:tblPr>
        <w:tblW w:w="10205" w:type="dxa"/>
        <w:jc w:val="center"/>
        <w:tblInd w:w="0" w:type="dxa"/>
        <w:tblLayout w:type="fixed"/>
        <w:tblCellMar>
          <w:top w:w="28" w:type="dxa"/>
          <w:left w:w="28" w:type="dxa"/>
          <w:bottom w:w="28" w:type="dxa"/>
          <w:right w:w="28" w:type="dxa"/>
        </w:tblCellMar>
      </w:tblPr>
      <w:tblGrid>
        <w:gridCol w:w="2691"/>
        <w:gridCol w:w="1966"/>
        <w:gridCol w:w="1982"/>
        <w:gridCol w:w="109"/>
        <w:gridCol w:w="109"/>
        <w:gridCol w:w="109"/>
        <w:gridCol w:w="226"/>
        <w:gridCol w:w="879"/>
        <w:gridCol w:w="109"/>
        <w:gridCol w:w="109"/>
        <w:gridCol w:w="109"/>
        <w:gridCol w:w="109"/>
        <w:gridCol w:w="226"/>
        <w:gridCol w:w="879"/>
        <w:gridCol w:w="109"/>
        <w:gridCol w:w="109"/>
        <w:gridCol w:w="109"/>
        <w:gridCol w:w="109"/>
        <w:gridCol w:w="157"/>
      </w:tblGrid>
      <w:tr>
        <w:trPr/>
        <w:tc>
          <w:tcPr>
            <w:tcW w:w="269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108,181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76,798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132,076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5886" w:type="dxa"/>
        <w:jc w:val="center"/>
        <w:tblInd w:w="0" w:type="dxa"/>
        <w:tblLayout w:type="fixed"/>
        <w:tblCellMar>
          <w:top w:w="28" w:type="dxa"/>
          <w:left w:w="28" w:type="dxa"/>
          <w:bottom w:w="28" w:type="dxa"/>
          <w:right w:w="28" w:type="dxa"/>
        </w:tblCellMar>
      </w:tblPr>
      <w:tblGrid>
        <w:gridCol w:w="880"/>
        <w:gridCol w:w="773"/>
        <w:gridCol w:w="776"/>
        <w:gridCol w:w="109"/>
        <w:gridCol w:w="109"/>
        <w:gridCol w:w="109"/>
        <w:gridCol w:w="226"/>
        <w:gridCol w:w="826"/>
        <w:gridCol w:w="109"/>
        <w:gridCol w:w="109"/>
        <w:gridCol w:w="109"/>
        <w:gridCol w:w="109"/>
        <w:gridCol w:w="226"/>
        <w:gridCol w:w="826"/>
        <w:gridCol w:w="109"/>
        <w:gridCol w:w="109"/>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34,981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25,582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Reconciliation of GAAP to Non-GAAP Financial Measures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w:t>
      </w:r>
    </w:p>
    <w:tbl>
      <w:tblPr>
        <w:tblW w:w="10205" w:type="dxa"/>
        <w:jc w:val="left"/>
        <w:tblInd w:w="0" w:type="dxa"/>
        <w:tblLayout w:type="fixed"/>
        <w:tblCellMar>
          <w:top w:w="28" w:type="dxa"/>
          <w:left w:w="28" w:type="dxa"/>
          <w:bottom w:w="28" w:type="dxa"/>
          <w:right w:w="28" w:type="dxa"/>
        </w:tblCellMar>
      </w:tblPr>
      <w:tblGrid>
        <w:gridCol w:w="2282"/>
        <w:gridCol w:w="2002"/>
        <w:gridCol w:w="2018"/>
        <w:gridCol w:w="109"/>
        <w:gridCol w:w="109"/>
        <w:gridCol w:w="109"/>
        <w:gridCol w:w="226"/>
        <w:gridCol w:w="946"/>
        <w:gridCol w:w="271"/>
        <w:gridCol w:w="109"/>
        <w:gridCol w:w="109"/>
        <w:gridCol w:w="109"/>
        <w:gridCol w:w="226"/>
        <w:gridCol w:w="826"/>
        <w:gridCol w:w="271"/>
        <w:gridCol w:w="109"/>
        <w:gridCol w:w="109"/>
        <w:gridCol w:w="109"/>
        <w:gridCol w:w="156"/>
      </w:tblGrid>
      <w:tr>
        <w:trPr/>
        <w:tc>
          <w:tcPr>
            <w:tcW w:w="228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112,617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82,853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62.5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53.2</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65.1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57.3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30,584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28,536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42,553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40,319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20,337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19,843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19,143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22,915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 average basic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 average diluted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176,494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before="16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 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before="160" w:after="240"/>
        <w:jc w:val="left"/>
        <w:rPr/>
      </w:pPr>
      <w:r>
        <w:rPr/>
      </w:r>
    </w:p>
    <w:p>
      <w:pPr>
        <w:pStyle w:val="TextBody"/>
        <w:bidi w:val="0"/>
        <w:spacing w:lineRule="auto" w:line="288" w:before="0" w:after="0"/>
        <w:ind w:left="0" w:right="0" w:hanging="360"/>
        <w:jc w:val="left"/>
        <w:rPr>
          <w:rFonts w:ascii="sans-serif" w:hAnsi="sans-serif"/>
          <w:b/>
          <w:color w:val="182931"/>
          <w:sz w:val="20"/>
        </w:rPr>
      </w:pPr>
      <w:r>
        <w:rPr>
          <w:rFonts w:ascii="sans-serif" w:hAnsi="sans-serif"/>
          <w:b/>
          <w:color w:val="182931"/>
          <w:sz w:val="20"/>
        </w:rPr>
        <w:t>Reconciliation of GAAP to Non-GAAP Financial Measures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 (continued)</w:t>
      </w:r>
    </w:p>
    <w:p>
      <w:pPr>
        <w:pStyle w:val="TextBody"/>
        <w:bidi w:val="0"/>
        <w:spacing w:before="0" w:after="0"/>
        <w:jc w:val="left"/>
        <w:rPr/>
      </w:pPr>
      <w:r>
        <w:rPr/>
      </w:r>
    </w:p>
    <w:tbl>
      <w:tblPr>
        <w:tblW w:w="8804" w:type="dxa"/>
        <w:jc w:val="left"/>
        <w:tblInd w:w="0" w:type="dxa"/>
        <w:tblLayout w:type="fixed"/>
        <w:tblCellMar>
          <w:top w:w="28" w:type="dxa"/>
          <w:left w:w="28" w:type="dxa"/>
          <w:bottom w:w="28" w:type="dxa"/>
          <w:right w:w="28" w:type="dxa"/>
        </w:tblCellMar>
      </w:tblPr>
      <w:tblGrid>
        <w:gridCol w:w="1802"/>
        <w:gridCol w:w="1587"/>
        <w:gridCol w:w="1590"/>
        <w:gridCol w:w="109"/>
        <w:gridCol w:w="109"/>
        <w:gridCol w:w="109"/>
        <w:gridCol w:w="473"/>
        <w:gridCol w:w="473"/>
        <w:gridCol w:w="225"/>
        <w:gridCol w:w="225"/>
        <w:gridCol w:w="225"/>
        <w:gridCol w:w="225"/>
        <w:gridCol w:w="473"/>
        <w:gridCol w:w="473"/>
        <w:gridCol w:w="225"/>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Reconciliation of GAAP to Non-GAAP 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dilutive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176,494</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711" w:type="dxa"/>
        <w:jc w:val="left"/>
        <w:tblInd w:w="0" w:type="dxa"/>
        <w:tblLayout w:type="fixed"/>
        <w:tblCellMar>
          <w:top w:w="28" w:type="dxa"/>
          <w:left w:w="28" w:type="dxa"/>
          <w:bottom w:w="28" w:type="dxa"/>
          <w:right w:w="28" w:type="dxa"/>
        </w:tblCellMar>
      </w:tblPr>
      <w:tblGrid>
        <w:gridCol w:w="2276"/>
        <w:gridCol w:w="2000"/>
        <w:gridCol w:w="2008"/>
        <w:gridCol w:w="109"/>
        <w:gridCol w:w="109"/>
        <w:gridCol w:w="109"/>
        <w:gridCol w:w="226"/>
        <w:gridCol w:w="826"/>
        <w:gridCol w:w="109"/>
        <w:gridCol w:w="109"/>
        <w:gridCol w:w="109"/>
        <w:gridCol w:w="109"/>
        <w:gridCol w:w="226"/>
        <w:gridCol w:w="796"/>
        <w:gridCol w:w="109"/>
        <w:gridCol w:w="109"/>
        <w:gridCol w:w="109"/>
        <w:gridCol w:w="109"/>
        <w:gridCol w:w="154"/>
      </w:tblGrid>
      <w:tr>
        <w:trPr/>
        <w:tc>
          <w:tcPr>
            <w:tcW w:w="227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29,463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Balance Sheets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 xml:space="preserve">(in thousands, unaudited) </w:t>
      </w:r>
    </w:p>
    <w:tbl>
      <w:tblPr>
        <w:tblW w:w="8843" w:type="dxa"/>
        <w:jc w:val="center"/>
        <w:tblInd w:w="0" w:type="dxa"/>
        <w:tblLayout w:type="fixed"/>
        <w:tblCellMar>
          <w:top w:w="28" w:type="dxa"/>
          <w:left w:w="28" w:type="dxa"/>
          <w:bottom w:w="28" w:type="dxa"/>
          <w:right w:w="28" w:type="dxa"/>
        </w:tblCellMar>
      </w:tblPr>
      <w:tblGrid>
        <w:gridCol w:w="1684"/>
        <w:gridCol w:w="1477"/>
        <w:gridCol w:w="1489"/>
        <w:gridCol w:w="109"/>
        <w:gridCol w:w="109"/>
        <w:gridCol w:w="109"/>
        <w:gridCol w:w="243"/>
        <w:gridCol w:w="1214"/>
        <w:gridCol w:w="117"/>
        <w:gridCol w:w="109"/>
        <w:gridCol w:w="109"/>
        <w:gridCol w:w="109"/>
        <w:gridCol w:w="295"/>
        <w:gridCol w:w="1469"/>
        <w:gridCol w:w="201"/>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December 31, 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146,670 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181,196 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130,037 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118,029 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490,086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506,709</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186,785 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57,697 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52,067 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23,494 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57,789 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70,669 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28,107 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24,427 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163,440</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193,998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323,620 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323,282 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46,019 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536,382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569,899</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2,112,577 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2,044,103 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(1,135,011)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(1,114,487)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977,146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929,578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Statements of Cash Flows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w:t>
      </w:r>
    </w:p>
    <w:tbl>
      <w:tblPr>
        <w:tblW w:w="10205" w:type="dxa"/>
        <w:jc w:val="left"/>
        <w:tblInd w:w="0" w:type="dxa"/>
        <w:tblLayout w:type="fixed"/>
        <w:tblCellMar>
          <w:top w:w="28" w:type="dxa"/>
          <w:left w:w="28" w:type="dxa"/>
          <w:bottom w:w="28" w:type="dxa"/>
          <w:right w:w="28" w:type="dxa"/>
        </w:tblCellMar>
      </w:tblPr>
      <w:tblGrid>
        <w:gridCol w:w="2207"/>
        <w:gridCol w:w="1911"/>
        <w:gridCol w:w="1919"/>
        <w:gridCol w:w="109"/>
        <w:gridCol w:w="109"/>
        <w:gridCol w:w="109"/>
        <w:gridCol w:w="109"/>
        <w:gridCol w:w="109"/>
        <w:gridCol w:w="142"/>
        <w:gridCol w:w="142"/>
        <w:gridCol w:w="296"/>
        <w:gridCol w:w="1242"/>
        <w:gridCol w:w="142"/>
        <w:gridCol w:w="109"/>
        <w:gridCol w:w="109"/>
        <w:gridCol w:w="109"/>
        <w:gridCol w:w="226"/>
        <w:gridCol w:w="946"/>
        <w:gridCol w:w="160"/>
      </w:tblGrid>
      <w:tr>
        <w:trPr/>
        <w:tc>
          <w:tcPr>
            <w:tcW w:w="220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659" w:type="dxa"/>
            <w:gridSpan w:val="6"/>
            <w:tcBorders/>
          </w:tcPr>
          <w:p>
            <w:pPr>
              <w:pStyle w:val="TableContents"/>
              <w:bidi w:val="0"/>
              <w:spacing w:before="0" w:after="283"/>
              <w:jc w:val="left"/>
              <w:rPr>
                <w:sz w:val="4"/>
                <w:szCs w:val="4"/>
              </w:rPr>
            </w:pPr>
            <w:r>
              <w:rPr>
                <w:sz w:val="4"/>
                <w:szCs w:val="4"/>
              </w:rPr>
            </w:r>
          </w:p>
        </w:tc>
      </w:tr>
      <w:tr>
        <w:trPr/>
        <w:tc>
          <w:tcPr>
            <w:tcW w:w="6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(4,330)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Accretion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28,866</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17,288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(179,340)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(179,486)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177,143 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(3,736)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(26,954)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(178,885)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(38,593)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Payments of other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(35,773)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Effects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(33,893)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(160,691)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146,670</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125,484</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52" w:before="0" w:after="0"/>
        <w:jc w:val="left"/>
        <w:rPr>
          <w:rFonts w:ascii="Open Sans;sans-serif" w:hAnsi="Open Sans;sans-serif"/>
          <w:b/>
          <w:color w:val="182931"/>
          <w:sz w:val="16"/>
        </w:rPr>
      </w:pPr>
      <w:r>
        <w:rPr>
          <w:rFonts w:ascii="Open Sans;sans-serif" w:hAnsi="Open Sans;sans-serif"/>
          <w:b/>
          <w:color w:val="182931"/>
          <w:sz w:val="16"/>
        </w:rPr>
        <w:t>Free Cash Flow</w:t>
      </w:r>
    </w:p>
    <w:p>
      <w:pPr>
        <w:pStyle w:val="TextBody"/>
        <w:bidi w:val="0"/>
        <w:spacing w:lineRule="auto" w:line="252" w:before="0" w:after="0"/>
        <w:jc w:val="left"/>
        <w:rPr>
          <w:rFonts w:ascii="Open Sans;sans-serif" w:hAnsi="Open Sans;sans-serif"/>
          <w:b/>
          <w:color w:val="182931"/>
          <w:sz w:val="16"/>
        </w:rPr>
      </w:pPr>
      <w:r>
        <w:rPr>
          <w:rFonts w:ascii="Open Sans;sans-serif" w:hAnsi="Open Sans;sans-serif"/>
          <w:b/>
          <w:color w:val="182931"/>
          <w:sz w:val="16"/>
        </w:rPr>
        <w:t>(in thousands, unaudited)</w:t>
      </w:r>
    </w:p>
    <w:tbl>
      <w:tblPr>
        <w:tblW w:w="7971"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109"/>
        <w:gridCol w:w="109"/>
        <w:gridCol w:w="173"/>
        <w:gridCol w:w="173"/>
        <w:gridCol w:w="359"/>
        <w:gridCol w:w="1146"/>
        <w:gridCol w:w="173"/>
        <w:gridCol w:w="109"/>
        <w:gridCol w:w="109"/>
        <w:gridCol w:w="109"/>
        <w:gridCol w:w="226"/>
        <w:gridCol w:w="7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March 31,</w:t>
            </w:r>
          </w:p>
        </w:tc>
        <w:tc>
          <w:tcPr>
            <w:tcW w:w="1428"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28,866 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4,109</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8,209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Open Sans;sans-serif" w:hAnsi="Open Sans;sans-serif"/>
          <w:b w:val="false"/>
          <w:color w:val="000000"/>
          <w:sz w:val="16"/>
        </w:rPr>
      </w:pPr>
      <w:r>
        <w:rPr>
          <w:rFonts w:ascii="Open Sans;sans-serif" w:hAnsi="Open Sans;sans-serif"/>
          <w:b w:val="false"/>
          <w:color w:val="000000"/>
          <w:sz w:val="16"/>
        </w:rPr>
        <w:t>__________</w:t>
      </w:r>
    </w:p>
    <w:p>
      <w:pPr>
        <w:pStyle w:val="TextBody"/>
        <w:bidi w:val="0"/>
        <w:spacing w:lineRule="auto" w:line="276" w:before="0" w:after="120"/>
        <w:ind w:left="0" w:right="0" w:hanging="360"/>
        <w:jc w:val="left"/>
        <w:rPr>
          <w:rFonts w:ascii="Open Sans;sans-serif" w:hAnsi="Open Sans;sans-serif"/>
          <w:b w:val="false"/>
          <w:color w:val="000000"/>
          <w:sz w:val="16"/>
        </w:rPr>
      </w:pPr>
      <w:r>
        <w:rPr>
          <w:rFonts w:ascii="Open Sans;sans-serif" w:hAnsi="Open Sans;sans-serif"/>
          <w:b w:val="false"/>
          <w:color w:val="000000"/>
          <w:sz w:val="16"/>
        </w:rPr>
        <w:t>(1)Capital expenditures are defined as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8"/>
        </w:rPr>
      </w:pPr>
      <w:r>
        <w:rPr>
          <w:rFonts w:ascii="sans-serif" w:hAnsi="sans-serif"/>
          <w:b/>
          <w:color w:val="000000"/>
          <w:sz w:val="28"/>
        </w:rPr>
        <w:t>Contacts</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Investor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Vernon Essi, Jr.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ir@fastly.com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Media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Stacey Hurwitz</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press@fastly.com</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Source: Fastly,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838200" cy="32385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838200" cy="3238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240"/>
        <w:jc w:val="left"/>
        <w:rPr>
          <w:rFonts w:ascii="Inter;sans-serif" w:hAnsi="Inter;sans-serif"/>
          <w:b/>
          <w:color w:val="00759C"/>
          <w:sz w:val="22"/>
        </w:rPr>
      </w:pPr>
      <w:r>
        <w:rPr>
          <w:rFonts w:ascii="Inter;sans-serif" w:hAnsi="Inter;sans-serif"/>
          <w:b/>
          <w:color w:val="00759C"/>
          <w:sz w:val="22"/>
        </w:rPr>
        <w:t>First Quarter 2026 Investor Supplement</w:t>
      </w:r>
    </w:p>
    <w:p>
      <w:pPr>
        <w:pStyle w:val="TextBody"/>
        <w:bidi w:val="0"/>
        <w:spacing w:lineRule="auto" w:line="288" w:before="360" w:after="120"/>
        <w:jc w:val="left"/>
        <w:rPr/>
      </w:pPr>
      <w:r>
        <w:rPr>
          <w:rFonts w:ascii="Inter;sans-serif" w:hAnsi="Inter;sans-serif"/>
          <w:b/>
          <w:color w:val="00759C"/>
          <w:sz w:val="20"/>
        </w:rPr>
        <w:t>Product Innovation and Developments</w:t>
      </w:r>
      <w:r>
        <w:rPr>
          <w:color w:val="00759C"/>
        </w:rPr>
        <w:t xml:space="preserve"> </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 xml:space="preserve">Expanded Bot Management with Content Guard, securing the AI bot landscape by blocking unauthorized AI agents to monetize IP and provide publishers precise control through unmatched visibility into all automated traffic. </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 xml:space="preserve">Enhanced the API Security suite by adding prioritization tools, bulk actions, and CI/CD integrations to API Discovery, enabling stronger visibility of "shadow APIs" in enterprise ecosystems. </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 xml:space="preserve">Enhanced our Compute &amp; Security offerings by adding popular coding languages to expand security layer utility across diverse developer use cases. </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 xml:space="preserve">Launched the Fastly Agent Toolkit, equipping AI coding agents with Fastly-specific "skills" to accelerate the customer development lifecycle, deployment and time-to-value on our platform. </w:t>
      </w:r>
    </w:p>
    <w:p>
      <w:pPr>
        <w:pStyle w:val="TextBody"/>
        <w:bidi w:val="0"/>
        <w:spacing w:lineRule="auto" w:line="288" w:before="240" w:after="60"/>
        <w:jc w:val="left"/>
        <w:rPr>
          <w:rFonts w:ascii="Inter;sans-serif" w:hAnsi="Inter;sans-serif"/>
          <w:b/>
          <w:color w:val="00759C"/>
          <w:sz w:val="20"/>
        </w:rPr>
      </w:pPr>
      <w:r>
        <w:rPr>
          <w:rFonts w:ascii="Inter;sans-serif" w:hAnsi="Inter;sans-serif"/>
          <w:b/>
          <w:color w:val="00759C"/>
          <w:sz w:val="20"/>
        </w:rPr>
        <w:t>Customer Highlights</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 xml:space="preserve">A large social media platform selected Fastly’s full platform to support its API and Video-on-Demand operations in this multimillion dollar ARR win. </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A privacy-first web browser leveraged the Fastly platform to power a native, in-browser VPN.</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A global social media provider selected Fastly in a critical cross-sell win to secure its global API traffic.</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 xml:space="preserve">A leading digital payment conglomerate expanded its Fastly footprint by adding 10 new products and services on our platform. </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A multi-national tech company chose Fastly for our network, security and privacy offerings to accelerate and secure their critical workloads.</w:t>
      </w:r>
    </w:p>
    <w:p>
      <w:pPr>
        <w:pStyle w:val="TextBody"/>
        <w:bidi w:val="0"/>
        <w:spacing w:before="240" w:after="120"/>
        <w:jc w:val="left"/>
        <w:rPr/>
      </w:pPr>
      <w:r>
        <w:rPr/>
      </w:r>
    </w:p>
    <w:tbl>
      <w:tblPr>
        <w:tblW w:w="11844" w:type="dxa"/>
        <w:jc w:val="left"/>
        <w:tblInd w:w="0" w:type="dxa"/>
        <w:tblLayout w:type="fixed"/>
        <w:tblCellMar>
          <w:top w:w="28" w:type="dxa"/>
          <w:left w:w="28" w:type="dxa"/>
          <w:bottom w:w="28" w:type="dxa"/>
          <w:right w:w="28" w:type="dxa"/>
        </w:tblCellMar>
      </w:tblPr>
      <w:tblGrid>
        <w:gridCol w:w="551"/>
        <w:gridCol w:w="287"/>
        <w:gridCol w:w="288"/>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27"/>
        <w:gridCol w:w="259"/>
        <w:gridCol w:w="514"/>
      </w:tblGrid>
      <w:tr>
        <w:trPr/>
        <w:tc>
          <w:tcPr>
            <w:tcW w:w="5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844"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Inter;sans-serif" w:hAnsi="Inter;sans-serif"/>
                <w:b/>
                <w:color w:val="00759C"/>
                <w:sz w:val="20"/>
              </w:rPr>
            </w:pPr>
            <w:r>
              <w:rPr>
                <w:rFonts w:ascii="Inter;sans-serif" w:hAnsi="Inter;sans-serif"/>
                <w:b/>
                <w:color w:val="00759C"/>
                <w:sz w:val="20"/>
              </w:rPr>
              <w:t>Calculations of Key and Other Selected Metrics – Quarterly (unaudited)</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Revenue by Product (in millions):</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Network Services Revenue</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126.2</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Security Revenue</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38.8</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Revenue</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sans-serif" w:hAnsi="sans-serif"/>
                <w:b w:val="false"/>
                <w:color w:val="000000"/>
                <w:sz w:val="18"/>
              </w:rPr>
            </w:pPr>
            <w:r>
              <w:rPr>
                <w:rFonts w:ascii="sans-serif" w:hAnsi="sans-serif"/>
                <w:b w:val="false"/>
                <w:color w:val="000000"/>
                <w:sz w:val="18"/>
              </w:rPr>
              <w:t>8.0</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173.0</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Key Metrics: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Large Customer Count</w:t>
            </w:r>
            <w:r>
              <w:rPr>
                <w:rFonts w:ascii="sans-serif" w:hAnsi="sans-serif"/>
                <w:b w:val="false"/>
                <w:color w:val="000000"/>
                <w:sz w:val="12"/>
              </w:rPr>
              <w:t>(6)</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634 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Large Customer Revenue %</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Top Ten Customer Revenue %</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LTM Net Retention Rate </w:t>
            </w:r>
            <w:r>
              <w:rPr>
                <w:rFonts w:ascii="sans-serif" w:hAnsi="sans-serif"/>
                <w:b w:val="false"/>
                <w:color w:val="000000"/>
                <w:sz w:val="17"/>
              </w:rPr>
              <w:t>(NRR)</w:t>
            </w:r>
            <w:r>
              <w:rPr>
                <w:rFonts w:ascii="sans-serif" w:hAnsi="sans-serif"/>
                <w:b w:val="false"/>
                <w:color w:val="000000"/>
                <w:sz w:val="11"/>
              </w:rPr>
              <w:t>(2)</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val="false"/>
                <w:color w:val="000000"/>
                <w:sz w:val="17"/>
              </w:rPr>
              <w:t xml:space="preserve">Remaining Performance Obligations </w:t>
            </w:r>
            <w:r>
              <w:rPr>
                <w:rFonts w:ascii="sans-serif" w:hAnsi="sans-serif"/>
                <w:b w:val="false"/>
                <w:color w:val="000000"/>
                <w:sz w:val="16"/>
              </w:rPr>
              <w:t>(RPO)</w:t>
            </w:r>
            <w:r>
              <w:rPr>
                <w:rFonts w:ascii="sans-serif" w:hAnsi="sans-serif"/>
                <w:b w:val="false"/>
                <w:color w:val="000000"/>
                <w:sz w:val="10"/>
              </w:rPr>
              <w:t>(1)</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368.7</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Current RPO %</w:t>
            </w:r>
            <w:r>
              <w:rPr>
                <w:rFonts w:ascii="sans-serif" w:hAnsi="sans-serif"/>
                <w:b w:val="false"/>
                <w:color w:val="000000"/>
                <w:sz w:val="12"/>
              </w:rPr>
              <w:t>(7)</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75.0 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before="360" w:after="120"/>
        <w:ind w:left="0" w:right="0" w:hanging="360"/>
        <w:jc w:val="left"/>
        <w:rPr/>
      </w:pPr>
      <w:r>
        <w:rPr/>
      </w:r>
    </w:p>
    <w:p>
      <w:pPr>
        <w:pStyle w:val="TextBody"/>
        <w:bidi w:val="0"/>
        <w:spacing w:lineRule="auto" w:line="288" w:before="360" w:after="120"/>
        <w:ind w:left="0" w:right="0" w:hanging="360"/>
        <w:jc w:val="right"/>
        <w:rPr>
          <w:rFonts w:ascii="sans-serif" w:hAnsi="sans-serif"/>
          <w:b/>
          <w:color w:val="000000"/>
          <w:sz w:val="22"/>
        </w:rPr>
      </w:pPr>
      <w:r>
        <w:rPr>
          <w:rFonts w:ascii="sans-serif" w:hAnsi="sans-serif"/>
          <w:b/>
          <w:color w:val="000000"/>
          <w:sz w:val="22"/>
        </w:rPr>
        <w:t>Exhibit 99.2</w:t>
      </w:r>
    </w:p>
    <w:p>
      <w:pPr>
        <w:pStyle w:val="TextBody"/>
        <w:bidi w:val="0"/>
        <w:spacing w:lineRule="auto" w:line="288" w:before="360" w:after="120"/>
        <w:ind w:left="0" w:right="0" w:hanging="360"/>
        <w:jc w:val="left"/>
        <w:rPr>
          <w:rFonts w:ascii="Inter;sans-serif" w:hAnsi="Inter;sans-serif"/>
          <w:b/>
          <w:color w:val="00759C"/>
          <w:sz w:val="20"/>
        </w:rPr>
      </w:pPr>
      <w:r>
        <w:rPr>
          <w:rFonts w:ascii="Inter;sans-serif" w:hAnsi="Inter;sans-serif"/>
          <w:b/>
          <w:color w:val="00759C"/>
          <w:sz w:val="20"/>
        </w:rPr>
        <w:t>Corporate Highlights</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Fastly appointed Joan Jenkins as Chief Marketing Officer to help accelerate global growth and strengthen its leadership in edge computing, security, and AI, bringing the Fastly platform story to a global audience.</w:t>
      </w:r>
    </w:p>
    <w:p>
      <w:pPr>
        <w:pStyle w:val="TextBody"/>
        <w:bidi w:val="0"/>
        <w:spacing w:lineRule="auto" w:line="288" w:before="0" w:after="0"/>
        <w:ind w:left="0" w:right="0" w:hanging="180"/>
        <w:jc w:val="left"/>
        <w:rPr/>
      </w:pPr>
      <w:r>
        <w:rPr>
          <w:color w:val="000000"/>
        </w:rPr>
        <w:t>•</w:t>
      </w:r>
      <w:r>
        <w:rPr>
          <w:rFonts w:ascii="Inter;sans-serif" w:hAnsi="Inter;sans-serif"/>
          <w:b w:val="false"/>
          <w:color w:val="000000"/>
          <w:sz w:val="18"/>
        </w:rPr>
        <w:t>Fastly was named a Leader in “The Forrester Wave™: Edge Development Platforms, Q1 2026 Report,” receiving one of the highest overall evaluation scores and was the only company to receive a "halo” designation, indicating superior customer feedback.</w:t>
      </w:r>
    </w:p>
    <w:p>
      <w:pPr>
        <w:pStyle w:val="TextBody"/>
        <w:bidi w:val="0"/>
        <w:spacing w:before="0" w:after="0"/>
        <w:jc w:val="left"/>
        <w:rPr/>
      </w:pPr>
      <w:r>
        <w:rPr/>
      </w:r>
    </w:p>
    <w:p>
      <w:pPr>
        <w:pStyle w:val="TextBody"/>
        <w:bidi w:val="0"/>
        <w:spacing w:lineRule="auto" w:line="268" w:before="60" w:after="160"/>
        <w:ind w:left="0" w:right="0" w:hanging="360"/>
        <w:jc w:val="left"/>
        <w:rPr>
          <w:rFonts w:ascii="Inter;sans-serif" w:hAnsi="Inter;sans-serif"/>
          <w:b/>
          <w:color w:val="00759C"/>
          <w:sz w:val="20"/>
        </w:rPr>
      </w:pPr>
      <w:r>
        <w:rPr>
          <w:rFonts w:ascii="Inter;sans-serif" w:hAnsi="Inter;sans-serif"/>
          <w:b/>
          <w:color w:val="00759C"/>
          <w:sz w:val="20"/>
        </w:rPr>
        <w:t>Key Financial &amp; Metrics Highlights</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 xml:space="preserve">Total revenue of $173.0 million, representing 20% year-over-year growth highlighted by Security revenue growing 47% year-over-year and representing 22% of total revenue. </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Generated $28.9 million of operating cash flow compared to $17.3 million of operating cash flow in the first quarter of 2025. Generated $4.1 million of positive free cash flow compared to $8.2 million in the first quarter of 2025.</w:t>
      </w:r>
    </w:p>
    <w:p>
      <w:pPr>
        <w:pStyle w:val="TextBody"/>
        <w:bidi w:val="0"/>
        <w:spacing w:lineRule="auto" w:line="268" w:before="60" w:after="160"/>
        <w:ind w:left="0" w:right="0" w:hanging="180"/>
        <w:jc w:val="left"/>
        <w:rPr/>
      </w:pPr>
      <w:r>
        <w:rPr>
          <w:color w:val="000000"/>
          <w:shd w:fill="FFFFFF" w:val="clear"/>
        </w:rPr>
        <w:t>•</w:t>
      </w:r>
      <w:r>
        <w:rPr>
          <w:rFonts w:ascii="Inter;sans-serif" w:hAnsi="Inter;sans-serif"/>
          <w:b w:val="false"/>
          <w:color w:val="000000"/>
          <w:sz w:val="18"/>
          <w:shd w:fill="FFFFFF" w:val="clear"/>
        </w:rPr>
        <w:t>Remaining Performance Obligations (RPO)</w:t>
      </w:r>
      <w:r>
        <w:rPr>
          <w:rFonts w:ascii="Inter;sans-serif" w:hAnsi="Inter;sans-serif"/>
          <w:b w:val="false"/>
          <w:color w:val="000000"/>
          <w:sz w:val="12"/>
          <w:shd w:fill="FFFFFF" w:val="clear"/>
        </w:rPr>
        <w:t>1</w:t>
      </w:r>
      <w:r>
        <w:rPr>
          <w:color w:val="000000"/>
          <w:shd w:fill="FFFFFF" w:val="clear"/>
        </w:rPr>
        <w:t xml:space="preserve"> </w:t>
      </w:r>
      <w:r>
        <w:rPr>
          <w:rFonts w:ascii="Inter;sans-serif" w:hAnsi="Inter;sans-serif"/>
          <w:b w:val="false"/>
          <w:color w:val="000000"/>
          <w:sz w:val="18"/>
          <w:shd w:fill="FFFFFF" w:val="clear"/>
        </w:rPr>
        <w:t xml:space="preserve">were $369 million, up 63% from </w:t>
      </w:r>
      <w:r>
        <w:rPr>
          <w:rFonts w:ascii="Inter;sans-serif" w:hAnsi="Inter;sans-serif"/>
          <w:b w:val="false"/>
          <w:color w:val="000000"/>
          <w:sz w:val="18"/>
        </w:rPr>
        <w:t>$226 million</w:t>
      </w:r>
      <w:r>
        <w:rPr>
          <w:color w:val="000000"/>
          <w:shd w:fill="FFFFFF" w:val="clear"/>
        </w:rPr>
        <w:t xml:space="preserve"> </w:t>
      </w:r>
      <w:r>
        <w:rPr>
          <w:rFonts w:ascii="Inter;sans-serif" w:hAnsi="Inter;sans-serif"/>
          <w:b w:val="false"/>
          <w:color w:val="000000"/>
          <w:sz w:val="18"/>
          <w:shd w:fill="FFFFFF" w:val="clear"/>
        </w:rPr>
        <w:t>in the first quarter of 2025.</w:t>
      </w:r>
    </w:p>
    <w:p>
      <w:pPr>
        <w:pStyle w:val="TextBody"/>
        <w:bidi w:val="0"/>
        <w:spacing w:lineRule="auto" w:line="268" w:before="60" w:after="160"/>
        <w:ind w:left="0" w:right="0" w:hanging="180"/>
        <w:jc w:val="left"/>
        <w:rPr/>
      </w:pPr>
      <w:r>
        <w:rPr>
          <w:color w:val="000000"/>
          <w:shd w:fill="FFFFFF" w:val="clear"/>
        </w:rPr>
        <w:t>•</w:t>
      </w:r>
      <w:r>
        <w:rPr>
          <w:rFonts w:ascii="Inter;sans-serif" w:hAnsi="Inter;sans-serif"/>
          <w:b w:val="false"/>
          <w:color w:val="000000"/>
          <w:sz w:val="18"/>
        </w:rPr>
        <w:t>Last 12-month net retention rate (LTM NRR)</w:t>
      </w:r>
      <w:r>
        <w:rPr>
          <w:rFonts w:ascii="Inter;sans-serif" w:hAnsi="Inter;sans-serif"/>
          <w:b w:val="false"/>
          <w:color w:val="000000"/>
          <w:sz w:val="12"/>
        </w:rPr>
        <w:t>2</w:t>
      </w:r>
      <w:r>
        <w:rPr>
          <w:color w:val="000000"/>
        </w:rPr>
        <w:t xml:space="preserve"> </w:t>
      </w:r>
      <w:r>
        <w:rPr>
          <w:rFonts w:ascii="Inter;sans-serif" w:hAnsi="Inter;sans-serif"/>
          <w:b w:val="false"/>
          <w:color w:val="000000"/>
          <w:sz w:val="18"/>
        </w:rPr>
        <w:t>increased to 113% in the first quarter from 110% in the fourth quarter of 2025.</w:t>
      </w:r>
    </w:p>
    <w:p>
      <w:pPr>
        <w:pStyle w:val="TextBody"/>
        <w:bidi w:val="0"/>
        <w:spacing w:lineRule="auto" w:line="288" w:before="240" w:after="100"/>
        <w:jc w:val="left"/>
        <w:rPr>
          <w:rFonts w:ascii="Inter;sans-serif" w:hAnsi="Inter;sans-serif"/>
          <w:b/>
          <w:color w:val="00759C"/>
          <w:sz w:val="20"/>
        </w:rPr>
      </w:pPr>
      <w:r>
        <w:rPr>
          <w:rFonts w:ascii="Inter;sans-serif" w:hAnsi="Inter;sans-serif"/>
          <w:b/>
          <w:color w:val="00759C"/>
          <w:sz w:val="20"/>
        </w:rPr>
        <w:t>Second Quarter and Full Year 2026 Guidance</w:t>
      </w:r>
    </w:p>
    <w:tbl>
      <w:tblPr>
        <w:tblW w:w="7567" w:type="dxa"/>
        <w:jc w:val="left"/>
        <w:tblInd w:w="0" w:type="dxa"/>
        <w:tblLayout w:type="fixed"/>
        <w:tblCellMar>
          <w:top w:w="28" w:type="dxa"/>
          <w:left w:w="28" w:type="dxa"/>
          <w:bottom w:w="28" w:type="dxa"/>
          <w:right w:w="28" w:type="dxa"/>
        </w:tblCellMar>
      </w:tblPr>
      <w:tblGrid>
        <w:gridCol w:w="1421"/>
        <w:gridCol w:w="1249"/>
        <w:gridCol w:w="1259"/>
        <w:gridCol w:w="109"/>
        <w:gridCol w:w="109"/>
        <w:gridCol w:w="109"/>
        <w:gridCol w:w="464"/>
        <w:gridCol w:w="464"/>
        <w:gridCol w:w="467"/>
        <w:gridCol w:w="109"/>
        <w:gridCol w:w="109"/>
        <w:gridCol w:w="109"/>
        <w:gridCol w:w="463"/>
        <w:gridCol w:w="463"/>
        <w:gridCol w:w="663"/>
      </w:tblGrid>
      <w:tr>
        <w:trPr/>
        <w:tc>
          <w:tcPr>
            <w:tcW w:w="142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Full Year 2026</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$170.0 - $176.0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$710.0 - $725.0</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Operating Income (millions)</w:t>
            </w:r>
            <w:r>
              <w:rPr>
                <w:rFonts w:ascii="sans-serif" w:hAnsi="sans-serif"/>
                <w:b/>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$12.0 - $16.0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$58.0 - $68.0</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Net Income per share</w:t>
            </w:r>
            <w:r>
              <w:rPr>
                <w:rFonts w:ascii="sans-serif" w:hAnsi="sans-serif"/>
                <w:b/>
                <w:color w:val="000000"/>
                <w:sz w:val="11"/>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$0.05 - $0.08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$0.27 - $0.33</w:t>
            </w:r>
          </w:p>
        </w:tc>
      </w:tr>
    </w:tbl>
    <w:p>
      <w:pPr>
        <w:pStyle w:val="TextBody"/>
        <w:bidi w:val="0"/>
        <w:spacing w:before="60" w:after="16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240" w:after="240"/>
        <w:ind w:left="0" w:right="0" w:firstLine="720"/>
        <w:jc w:val="left"/>
        <w:rPr>
          <w:rFonts w:ascii="Inter;sans-serif" w:hAnsi="Inter;sans-serif"/>
          <w:b/>
          <w:color w:val="000000"/>
          <w:sz w:val="18"/>
        </w:rPr>
      </w:pPr>
      <w:r>
        <w:rPr>
          <w:rFonts w:ascii="Inter;sans-serif" w:hAnsi="Inter;sans-serif"/>
          <w:b/>
          <w:color w:val="000000"/>
          <w:sz w:val="18"/>
        </w:rPr>
        <w:t>Key Metrics</w:t>
      </w:r>
    </w:p>
    <w:p>
      <w:pPr>
        <w:pStyle w:val="TextBody"/>
        <w:bidi w:val="0"/>
        <w:spacing w:lineRule="auto" w:line="268" w:before="60" w:after="160"/>
        <w:ind w:left="0" w:right="0" w:hanging="360"/>
        <w:jc w:val="left"/>
        <w:rPr/>
      </w:pPr>
      <w:r>
        <w:rPr>
          <w:rFonts w:ascii="Inter;sans-serif" w:hAnsi="Inter;sans-serif"/>
          <w:b w:val="false"/>
          <w:color w:val="000000"/>
          <w:sz w:val="12"/>
        </w:rPr>
        <w:t>1.</w:t>
      </w:r>
      <w:r>
        <w:rPr>
          <w:rFonts w:ascii="Inter;sans-serif" w:hAnsi="Inter;sans-serif"/>
          <w:b w:val="false"/>
          <w:color w:val="000000"/>
          <w:sz w:val="18"/>
        </w:rPr>
        <w:t>Remaining Performance Obligations include future committed revenue for periods within current contracts with customers, as well as deferred revenue arising from consideration invoiced for which the related performance obligations have not been satisfied. During the third quarter of 2025, we identified an error in RPO calculations from certain contracts with a termination-for-convenience clause. We recast the presentation of RPO for all prior periods presented to reflect the correction of this error.</w:t>
      </w:r>
    </w:p>
    <w:p>
      <w:pPr>
        <w:pStyle w:val="TextBody"/>
        <w:bidi w:val="0"/>
        <w:spacing w:lineRule="auto" w:line="268" w:before="60" w:after="160"/>
        <w:ind w:left="0" w:right="0" w:hanging="360"/>
        <w:jc w:val="left"/>
        <w:rPr/>
      </w:pPr>
      <w:r>
        <w:rPr>
          <w:rFonts w:ascii="Inter;sans-serif" w:hAnsi="Inter;sans-serif"/>
          <w:b w:val="false"/>
          <w:color w:val="000000"/>
          <w:sz w:val="13"/>
        </w:rPr>
        <w:t>2.</w:t>
      </w:r>
      <w:r>
        <w:rPr>
          <w:rFonts w:ascii="Inter;sans-serif" w:hAnsi="Inter;sans-serif"/>
          <w:b w:val="false"/>
          <w:color w:val="000000"/>
          <w:sz w:val="18"/>
        </w:rPr>
        <w:t>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68" w:before="60" w:after="160"/>
        <w:ind w:left="0" w:right="0" w:hanging="360"/>
        <w:jc w:val="left"/>
        <w:rPr/>
      </w:pPr>
      <w:r>
        <w:rPr>
          <w:rFonts w:ascii="Inter;sans-serif" w:hAnsi="Inter;sans-serif"/>
          <w:b w:val="false"/>
          <w:color w:val="000000"/>
          <w:sz w:val="13"/>
        </w:rPr>
        <w:t>3.</w:t>
      </w:r>
      <w:r>
        <w:rPr>
          <w:rFonts w:ascii="Inter;sans-serif" w:hAnsi="Inter;sans-serif"/>
          <w:b w:val="false"/>
          <w:color w:val="000000"/>
          <w:sz w:val="18"/>
        </w:rPr>
        <w:t>For a reconciliation of non-GAAP financial measures to their corresponding GAAP measures, please refer to the reconciliation table at the end of this supplement.</w:t>
      </w:r>
    </w:p>
    <w:p>
      <w:pPr>
        <w:pStyle w:val="TextBody"/>
        <w:bidi w:val="0"/>
        <w:spacing w:lineRule="auto" w:line="268" w:before="60" w:after="160"/>
        <w:ind w:left="0" w:right="0" w:hanging="360"/>
        <w:jc w:val="left"/>
        <w:rPr/>
      </w:pPr>
      <w:r>
        <w:rPr>
          <w:rFonts w:ascii="Inter;sans-serif" w:hAnsi="Inter;sans-serif"/>
          <w:b w:val="false"/>
          <w:color w:val="000000"/>
          <w:sz w:val="12"/>
        </w:rPr>
        <w:t>4.</w:t>
      </w:r>
      <w:r>
        <w:rPr>
          <w:rFonts w:ascii="Inter;sans-serif" w:hAnsi="Inter;sans-serif"/>
          <w:b w:val="false"/>
          <w:color w:val="000000"/>
          <w:sz w:val="18"/>
        </w:rPr>
        <w:t>Assumes weighted average diluted shares outstanding of 182.6 million in Q2 2026 and 182.0 million for the full year 2026.</w:t>
      </w:r>
    </w:p>
    <w:p>
      <w:pPr>
        <w:pStyle w:val="TextBody"/>
        <w:bidi w:val="0"/>
        <w:spacing w:lineRule="auto" w:line="268" w:before="60" w:after="160"/>
        <w:ind w:left="0" w:right="0" w:hanging="360"/>
        <w:jc w:val="left"/>
        <w:rPr/>
      </w:pPr>
      <w:r>
        <w:rPr>
          <w:rFonts w:ascii="Inter;sans-serif" w:hAnsi="Inter;sans-serif"/>
          <w:b w:val="false"/>
          <w:color w:val="000000"/>
          <w:sz w:val="13"/>
        </w:rPr>
        <w:t>5.</w:t>
      </w:r>
      <w:r>
        <w:rPr>
          <w:rFonts w:ascii="Inter;sans-serif" w:hAnsi="Inter;sans-serif"/>
          <w:b w:val="false"/>
          <w:color w:val="000000"/>
          <w:sz w:val="18"/>
        </w:rPr>
        <w:t>Non-GAAP net income (loss) per share is calculated as Non-GAAP net income (loss) divided by weighted average diluted shares for 2026.</w:t>
      </w:r>
    </w:p>
    <w:p>
      <w:pPr>
        <w:pStyle w:val="TextBody"/>
        <w:bidi w:val="0"/>
        <w:spacing w:lineRule="auto" w:line="268" w:before="60" w:after="160"/>
        <w:ind w:left="0" w:right="0" w:hanging="360"/>
        <w:jc w:val="left"/>
        <w:rPr/>
      </w:pPr>
      <w:r>
        <w:rPr>
          <w:rFonts w:ascii="Inter;sans-serif" w:hAnsi="Inter;sans-serif"/>
          <w:b w:val="false"/>
          <w:color w:val="000000"/>
          <w:sz w:val="13"/>
        </w:rPr>
        <w:t>6.</w:t>
      </w:r>
      <w:r>
        <w:rPr>
          <w:rFonts w:ascii="Inter;sans-serif" w:hAnsi="Inter;sans-serif"/>
          <w:b w:val="false"/>
          <w:color w:val="000000"/>
          <w:sz w:val="18"/>
        </w:rPr>
        <w:t xml:space="preserve">Our large customers are defined as those with annualized current quarter revenue in excess of $100,000. This is calculated by taking the revenue for each customer within the quarter and multiplying it by four. </w:t>
      </w:r>
    </w:p>
    <w:p>
      <w:pPr>
        <w:pStyle w:val="TextBody"/>
        <w:bidi w:val="0"/>
        <w:spacing w:lineRule="auto" w:line="268" w:before="60" w:after="160"/>
        <w:ind w:left="0" w:right="0" w:hanging="360"/>
        <w:jc w:val="left"/>
        <w:rPr/>
      </w:pPr>
      <w:r>
        <w:rPr>
          <w:rFonts w:ascii="Inter;sans-serif" w:hAnsi="Inter;sans-serif"/>
          <w:b w:val="false"/>
          <w:color w:val="000000"/>
          <w:sz w:val="13"/>
        </w:rPr>
        <w:t>7.</w:t>
      </w:r>
      <w:r>
        <w:rPr>
          <w:rFonts w:ascii="Inter;sans-serif" w:hAnsi="Inter;sans-serif"/>
          <w:b w:val="false"/>
          <w:color w:val="000000"/>
          <w:sz w:val="18"/>
        </w:rPr>
        <w:t>Current RPO % is calculated as RPO expected to be recognized over the next 12 months divided by total RPO. During the third quarter of 2025, we identified an error in RPO calculations from certain contracts with a termination-for-convenience clause. We recast the presentation of current RPO for all prior periods presented to reflect the correction of this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838200" cy="32385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180" w:before="0" w:after="0"/>
        <w:jc w:val="left"/>
        <w:rPr>
          <w:rFonts w:ascii="Inter;sans-serif" w:hAnsi="Inter;sans-serif"/>
          <w:b/>
          <w:color w:val="00759C"/>
          <w:sz w:val="28"/>
        </w:rPr>
      </w:pPr>
      <w:r>
        <w:rPr>
          <w:rFonts w:ascii="Inter;sans-serif" w:hAnsi="Inter;sans-serif"/>
          <w:b/>
          <w:color w:val="00759C"/>
          <w:sz w:val="28"/>
        </w:rPr>
        <w:t>Forward-Looking Statements</w:t>
      </w:r>
    </w:p>
    <w:p>
      <w:pPr>
        <w:pStyle w:val="TextBody"/>
        <w:bidi w:val="0"/>
        <w:spacing w:before="0" w:after="0"/>
        <w:jc w:val="left"/>
        <w:rPr/>
      </w:pPr>
      <w:r>
        <w:rPr/>
      </w:r>
    </w:p>
    <w:p>
      <w:pPr>
        <w:pStyle w:val="TextBody"/>
        <w:bidi w:val="0"/>
        <w:spacing w:lineRule="auto" w:line="268" w:before="60" w:after="160"/>
        <w:jc w:val="left"/>
        <w:rPr/>
      </w:pPr>
      <w:r>
        <w:rPr>
          <w:rFonts w:ascii="Inter;sans-serif" w:hAnsi="Inter;sans-serif"/>
          <w:b w:val="false"/>
          <w:color w:val="000000"/>
          <w:sz w:val="18"/>
        </w:rPr>
        <w:t>This investor supplement contains “forward-looking” statements that are based on our beliefs and assumptions and on information currently available to us.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and ability to improve liquidity; our ability to acquire new customers, expand cross-sell opportunities, and grow market share; our ability to enrich our revenue mix with platform enhancements; our ability to accelerate global growth; the performance, capabilities, and expectations regarding customer experiences with Bot Management with Content Guard, the API Security suite, including API Discovery, Next-Gen WAF, Fastly Agent Toolkit and its ability to enable coding agents to work with Fastly, and Object Storage; and Fastly's strategies, platform, and business plans.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December 31, 2025. Additional information will also be set forth in Fastly’s Quarterly Report on Form 10-Q for the quarter ended</w:t>
      </w:r>
      <w:r>
        <w:rPr>
          <w:color w:val="000000"/>
          <w:shd w:fill="FFFFFF" w:val="clear"/>
        </w:rPr>
        <w:t xml:space="preserve"> </w:t>
      </w:r>
      <w:r>
        <w:rPr>
          <w:rFonts w:ascii="Inter;sans-serif" w:hAnsi="Inter;sans-serif"/>
          <w:b w:val="false"/>
          <w:color w:val="000000"/>
          <w:sz w:val="18"/>
          <w:shd w:fill="FFFFFF" w:val="clear"/>
        </w:rPr>
        <w:t>March 31, 2026,</w:t>
      </w:r>
      <w:r>
        <w:rPr>
          <w:color w:val="000000"/>
        </w:rPr>
        <w:t xml:space="preserve"> </w:t>
      </w:r>
      <w:r>
        <w:rPr>
          <w:rFonts w:ascii="Inter;sans-serif" w:hAnsi="Inter;sans-serif"/>
          <w:b w:val="false"/>
          <w:color w:val="000000"/>
          <w:sz w:val="18"/>
        </w:rPr>
        <w:t>and other filings and reports that Fastly may file from time to time with the SEC. Copies of reports filed with the SEC are posted on Fastly’s website and are available from Fastly without charge.</w:t>
      </w:r>
    </w:p>
    <w:p>
      <w:pPr>
        <w:pStyle w:val="TextBody"/>
        <w:bidi w:val="0"/>
        <w:spacing w:lineRule="auto" w:line="276" w:before="240" w:after="240"/>
        <w:jc w:val="left"/>
        <w:rPr>
          <w:rFonts w:ascii="Inter;sans-serif" w:hAnsi="Inter;sans-serif"/>
          <w:b/>
          <w:color w:val="000000"/>
          <w:sz w:val="18"/>
        </w:rPr>
      </w:pPr>
      <w:r>
        <w:rPr>
          <w:rFonts w:ascii="Inter;sans-serif" w:hAnsi="Inter;sans-serif"/>
          <w:b/>
          <w:color w:val="000000"/>
          <w:sz w:val="18"/>
        </w:rPr>
        <w:t>Non-GAAP Financial Measures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To supplement our condensed consolidated financial statements, which are prepared and presented in accordance with accounting principles generally accepted in the United States ("GAAP"), the Company uses the following non-GAAP measures of financial performance: non-GAAP gross profit, non-GAAP gross margin, non-GAAP operating income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Non-GAAP gross profit, non-GAAP gross margin, non-GAAP operating loss, non-GAAP net income (loss) and non-GAAP basic and diluted net income (loss) per common share, non-GAAP research and development, non-GAAP sales and marketing, and non-GAAP general and administrative differ from GAAP in that they exclude stock-based compensation expense and related employer payroll taxes, amortization of capitalized stock-based compensation - cost of revenue, amortization of acquired intangible assets, executive transition costs, net gain on extinguishment of debt, impairment expense, restructuring charges, gain on modification of lease, and amortization of debt discount and issuance costs.</w:t>
      </w:r>
    </w:p>
    <w:p>
      <w:pPr>
        <w:pStyle w:val="TextBody"/>
        <w:bidi w:val="0"/>
        <w:spacing w:lineRule="auto" w:line="268" w:before="60" w:after="160"/>
        <w:jc w:val="left"/>
        <w:rPr/>
      </w:pPr>
      <w:r>
        <w:rPr>
          <w:rFonts w:ascii="Inter;sans-serif" w:hAnsi="Inter;sans-serif"/>
          <w:b/>
          <w:color w:val="000000"/>
          <w:sz w:val="18"/>
        </w:rPr>
        <w:t>Adjusted EBITDA</w:t>
      </w:r>
      <w:r>
        <w:rPr>
          <w:rFonts w:ascii="Inter;sans-serif" w:hAnsi="Inter;sans-serif"/>
          <w:b w:val="false"/>
          <w:color w:val="000000"/>
          <w:sz w:val="18"/>
        </w:rPr>
        <w:t>: excludes stock-based compensation expense and related employer payroll taxes, amortization of capitalized stock-based compensation - cost of revenue, gain on modification of lease, depreciation and other amortization expenses, amortization of acquired intangible assets, net gain on extinguishment of debt, impairment expense, executive transition costs, restructuring charges, interest income, interest expense, including amortization of debt discount and issuance costs, other income (expense), net, and income taxes.</w:t>
      </w:r>
    </w:p>
    <w:p>
      <w:pPr>
        <w:pStyle w:val="TextBody"/>
        <w:bidi w:val="0"/>
        <w:spacing w:lineRule="auto" w:line="268" w:before="60" w:after="160"/>
        <w:jc w:val="left"/>
        <w:rPr/>
      </w:pPr>
      <w:r>
        <w:rPr>
          <w:rFonts w:ascii="Inter;sans-serif" w:hAnsi="Inter;sans-serif"/>
          <w:b/>
          <w:color w:val="000000"/>
          <w:sz w:val="18"/>
        </w:rPr>
        <w:t>Amortization of Acquired Intangible Assets</w:t>
      </w:r>
      <w:r>
        <w:rPr>
          <w:rFonts w:ascii="Inter;sans-serif" w:hAnsi="Inter;sans-serif"/>
          <w:b w:val="false"/>
          <w:color w:val="000000"/>
          <w:sz w:val="18"/>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Amortization of Debt Discount and Issuance Costs</w:t>
      </w:r>
      <w:r>
        <w:rPr>
          <w:rFonts w:ascii="Inter;sans-serif" w:hAnsi="Inter;sans-serif"/>
          <w:b w:val="false"/>
          <w:color w:val="000000"/>
          <w:sz w:val="18"/>
        </w:rPr>
        <w:t>: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 These are included in our total interest expense.</w:t>
      </w:r>
    </w:p>
    <w:p>
      <w:pPr>
        <w:pStyle w:val="TextBody"/>
        <w:bidi w:val="0"/>
        <w:spacing w:lineRule="auto" w:line="268" w:before="60" w:after="160"/>
        <w:jc w:val="left"/>
        <w:rPr/>
      </w:pPr>
      <w:r>
        <w:rPr>
          <w:rFonts w:ascii="Inter;sans-serif" w:hAnsi="Inter;sans-serif"/>
          <w:b/>
          <w:color w:val="000000"/>
          <w:sz w:val="18"/>
        </w:rPr>
        <w:t>Capital Expenditures</w:t>
      </w:r>
      <w:r>
        <w:rPr>
          <w:rFonts w:ascii="Inter;sans-serif" w:hAnsi="Inter;sans-serif"/>
          <w:b w:val="false"/>
          <w:color w:val="000000"/>
          <w:sz w:val="18"/>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before="60" w:after="160"/>
        <w:jc w:val="left"/>
        <w:rPr/>
      </w:pPr>
      <w:r>
        <w:rPr/>
      </w:r>
    </w:p>
    <w:p>
      <w:pPr>
        <w:pStyle w:val="TextBody"/>
        <w:bidi w:val="0"/>
        <w:spacing w:before="60" w:after="160"/>
        <w:jc w:val="left"/>
        <w:rPr/>
      </w:pPr>
      <w:r>
        <w:rPr/>
      </w:r>
    </w:p>
    <w:p>
      <w:pPr>
        <w:pStyle w:val="TextBody"/>
        <w:bidi w:val="0"/>
        <w:spacing w:before="0" w:after="0"/>
        <w:jc w:val="left"/>
        <w:rPr/>
      </w:pPr>
      <w:r>
        <w:rPr/>
        <w:drawing>
          <wp:inline distT="0" distB="0" distL="0" distR="0">
            <wp:extent cx="838200" cy="32385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60" w:after="160"/>
        <w:jc w:val="left"/>
        <w:rPr/>
      </w:pPr>
      <w:r>
        <w:rPr>
          <w:rFonts w:ascii="Inter;sans-serif" w:hAnsi="Inter;sans-serif"/>
          <w:b/>
          <w:color w:val="000000"/>
          <w:sz w:val="18"/>
        </w:rPr>
        <w:t>Depreciation and Other Amortization Expense</w:t>
      </w:r>
      <w:r>
        <w:rPr>
          <w:rFonts w:ascii="Inter;sans-serif" w:hAnsi="Inter;sans-serif"/>
          <w:b w:val="false"/>
          <w:color w:val="000000"/>
          <w:sz w:val="18"/>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Executive Transition Costs</w:t>
      </w:r>
      <w:r>
        <w:rPr>
          <w:rFonts w:ascii="Inter;sans-serif" w:hAnsi="Inter;sans-serif"/>
          <w:b w:val="false"/>
          <w:color w:val="000000"/>
          <w:sz w:val="18"/>
        </w:rPr>
        <w:t>: consists of one-time cash charges recognized with respect to changes in our executive’s employment status.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Free Cash Flow</w:t>
      </w:r>
      <w:r>
        <w:rPr>
          <w:rFonts w:ascii="Inter;sans-serif" w:hAnsi="Inter;sans-serif"/>
          <w:b w:val="false"/>
          <w:color w:val="000000"/>
          <w:sz w:val="18"/>
        </w:rPr>
        <w:t>: calculated as net cash used in operating activities less purchases of property and equipment, net of proceeds from sale of property and equipment, principal payments of finance lease liabilities, capitalized internal-use software costs and advance payments made related to capital expenditures.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presentation of non-GAAP free cash flow is also not meant to be considered in isolation or as an alternative to cash flows from operating activities as a measure of liquidity.</w:t>
      </w:r>
    </w:p>
    <w:p>
      <w:pPr>
        <w:pStyle w:val="TextBody"/>
        <w:bidi w:val="0"/>
        <w:spacing w:lineRule="auto" w:line="268" w:before="60" w:after="160"/>
        <w:jc w:val="left"/>
        <w:rPr/>
      </w:pPr>
      <w:r>
        <w:rPr>
          <w:rFonts w:ascii="Inter;sans-serif" w:hAnsi="Inter;sans-serif"/>
          <w:b/>
          <w:color w:val="000000"/>
          <w:sz w:val="18"/>
        </w:rPr>
        <w:t>Gain on Modification of Lease</w:t>
      </w:r>
      <w:r>
        <w:rPr>
          <w:rFonts w:ascii="Inter;sans-serif" w:hAnsi="Inter;sans-serif"/>
          <w:b w:val="false"/>
          <w:color w:val="000000"/>
          <w:sz w:val="18"/>
        </w:rPr>
        <w:t>: consists of a one-time non-cash charge recognized with respect to the modification of our leases.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Impairment Expense</w:t>
      </w:r>
      <w:r>
        <w:rPr>
          <w:rFonts w:ascii="Inter;sans-serif" w:hAnsi="Inter;sans-serif"/>
          <w:b w:val="false"/>
          <w:color w:val="000000"/>
          <w:sz w:val="18"/>
        </w:rPr>
        <w:t>:</w:t>
      </w:r>
      <w:r>
        <w:rPr>
          <w:color w:val="000000"/>
        </w:rPr>
        <w:t xml:space="preserve"> </w:t>
      </w:r>
      <w:r>
        <w:rPr>
          <w:rFonts w:ascii="Inter;sans-serif" w:hAnsi="Inter;sans-serif"/>
          <w:b w:val="false"/>
          <w:color w:val="000000"/>
          <w:sz w:val="18"/>
        </w:rPr>
        <w:t>consists of charges related to our long-lived assets.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Income Taxes</w:t>
      </w:r>
      <w:r>
        <w:rPr>
          <w:rFonts w:ascii="Inter;sans-serif" w:hAnsi="Inter;sans-serif"/>
          <w:b w:val="false"/>
          <w:color w:val="000000"/>
          <w:sz w:val="18"/>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Interest Expense</w:t>
      </w:r>
      <w:r>
        <w:rPr>
          <w:rFonts w:ascii="Inter;sans-serif" w:hAnsi="Inter;sans-serif"/>
          <w:b w:val="false"/>
          <w:color w:val="000000"/>
          <w:sz w:val="18"/>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Interest Income</w:t>
      </w:r>
      <w:r>
        <w:rPr>
          <w:rFonts w:ascii="Inter;sans-serif" w:hAnsi="Inter;sans-serif"/>
          <w:b w:val="false"/>
          <w:color w:val="000000"/>
          <w:sz w:val="18"/>
        </w:rPr>
        <w:t>: consists primarily of interest income related to our marketable securities. Management considers its operating results without this activity when evaluating its ongoing non-GAAP net income (loss) performance and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Net Gain on Debt Extinguishment</w:t>
      </w:r>
      <w:r>
        <w:rPr>
          <w:rFonts w:ascii="Inter;sans-serif" w:hAnsi="Inter;sans-serif"/>
          <w:b w:val="false"/>
          <w:color w:val="000000"/>
          <w:sz w:val="18"/>
        </w:rPr>
        <w:t>: relates to net gain on the partial repurchase of our outstanding convertible debt.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Other Income (Expense), Net</w:t>
      </w:r>
      <w:r>
        <w:rPr>
          <w:rFonts w:ascii="Inter;sans-serif" w:hAnsi="Inter;sans-serif"/>
          <w:b w:val="false"/>
          <w:color w:val="000000"/>
          <w:sz w:val="18"/>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Restructuring Charges</w:t>
      </w:r>
      <w:r>
        <w:rPr>
          <w:rFonts w:ascii="Inter;sans-serif" w:hAnsi="Inter;sans-serif"/>
          <w:b w:val="false"/>
          <w:color w:val="000000"/>
          <w:sz w:val="18"/>
        </w:rPr>
        <w:t>: consists primarily of employee-related severance and termination benefits related to management's restructuring plan that resulted in a reduction in our workforce.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Stock-Based Compensation Expense and Related Employer Payroll Taxes</w:t>
      </w:r>
      <w:r>
        <w:rPr>
          <w:rFonts w:ascii="Inter;sans-serif" w:hAnsi="Inter;sans-serif"/>
          <w:b w:val="false"/>
          <w:color w:val="000000"/>
          <w:sz w:val="18"/>
        </w:rPr>
        <w:t>: consists of expenses for stock options, restricted stock units, performance awards and other shares issued under our equity incentive plans or our Employee Stock Purchase Plan ("ESPP"), as applicable, and the related employer payroll taxes. Although stock-based compensation and its related employer payroll taxes are expenses for the Company, management considers its operating results without this activity when evaluating its ongoing non-GAAP net income (loss) performance and its adjusted EBITDA performance, primarily because they are expenses not believed by 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lineRule="auto" w:line="268" w:before="60" w:after="160"/>
        <w:jc w:val="left"/>
        <w:rPr/>
      </w:pPr>
      <w:r>
        <w:rPr>
          <w:rFonts w:ascii="Inter;sans-serif" w:hAnsi="Inter;sans-serif"/>
          <w:b/>
          <w:color w:val="000000"/>
          <w:sz w:val="18"/>
        </w:rPr>
        <w:t>Amortization of Capitalized Stock-Based Compensation - Cost of Revenue</w:t>
      </w:r>
      <w:r>
        <w:rPr>
          <w:rFonts w:ascii="Inter;sans-serif" w:hAnsi="Inter;sans-serif"/>
          <w:b w:val="false"/>
          <w:color w:val="000000"/>
          <w:sz w:val="18"/>
        </w:rPr>
        <w:t>:</w:t>
      </w:r>
      <w:r>
        <w:rPr>
          <w:color w:val="000000"/>
        </w:rPr>
        <w:t xml:space="preserve"> </w:t>
      </w:r>
      <w:r>
        <w:rPr>
          <w:rFonts w:ascii="Inter;sans-serif" w:hAnsi="Inter;sans-serif"/>
          <w:b w:val="false"/>
          <w:color w:val="000000"/>
          <w:sz w:val="18"/>
        </w:rPr>
        <w:t xml:space="preserve">in order to reflect the performance of our core business, ongoing operating results, or future outlook, and to be consistent with the way many investors evaluate </w:t>
      </w:r>
    </w:p>
    <w:p>
      <w:pPr>
        <w:pStyle w:val="TextBody"/>
        <w:bidi w:val="0"/>
        <w:spacing w:before="0" w:after="0"/>
        <w:jc w:val="left"/>
        <w:rPr/>
      </w:pPr>
      <w:r>
        <w:rPr/>
        <w:drawing>
          <wp:inline distT="0" distB="0" distL="0" distR="0">
            <wp:extent cx="838200" cy="32385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4"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In the financial tables below, the Company provides a reconciliation of the most comparable GAAP financial measure to the historical non-GAAP financial measures used in this investor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6"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Statements of Operations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p>
      <w:pPr>
        <w:pStyle w:val="TextBody"/>
        <w:bidi w:val="0"/>
        <w:spacing w:before="100" w:after="283"/>
        <w:jc w:val="left"/>
        <w:rPr/>
      </w:pPr>
      <w:r>
        <w:rPr/>
      </w:r>
    </w:p>
    <w:tbl>
      <w:tblPr>
        <w:tblW w:w="1387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72,901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74,740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75,063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76,798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105,960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108,181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119,635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115,330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118,059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121,050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132,076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(46,734)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(23,895)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(31,745)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(24,654)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(32,886)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139,237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148,129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150,324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13285" w:type="dxa"/>
        <w:jc w:val="left"/>
        <w:tblInd w:w="0" w:type="dxa"/>
        <w:tblLayout w:type="fixed"/>
        <w:tblCellMar>
          <w:top w:w="28" w:type="dxa"/>
          <w:left w:w="28" w:type="dxa"/>
          <w:bottom w:w="28" w:type="dxa"/>
          <w:right w:w="28" w:type="dxa"/>
        </w:tblCellMar>
      </w:tblPr>
      <w:tblGrid>
        <w:gridCol w:w="632"/>
        <w:gridCol w:w="440"/>
        <w:gridCol w:w="264"/>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26,148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25,016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24,945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25,582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33,129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32,277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34,981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8"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Reconciliation of GAAP to Non-GAAP Financial Measures - Quarterly </w:t>
      </w:r>
    </w:p>
    <w:p>
      <w:pPr>
        <w:pStyle w:val="TextBody"/>
        <w:bidi w:val="0"/>
        <w:spacing w:lineRule="auto" w:line="288" w:before="0" w:after="10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tbl>
      <w:tblPr>
        <w:tblW w:w="12172" w:type="dxa"/>
        <w:jc w:val="left"/>
        <w:tblInd w:w="0" w:type="dxa"/>
        <w:tblLayout w:type="fixed"/>
        <w:tblCellMar>
          <w:top w:w="28" w:type="dxa"/>
          <w:left w:w="28" w:type="dxa"/>
          <w:bottom w:w="28" w:type="dxa"/>
          <w:right w:w="28" w:type="dxa"/>
        </w:tblCellMar>
      </w:tblPr>
      <w:tblGrid>
        <w:gridCol w:w="593"/>
        <w:gridCol w:w="428"/>
        <w:gridCol w:w="225"/>
        <w:gridCol w:w="109"/>
        <w:gridCol w:w="109"/>
        <w:gridCol w:w="109"/>
        <w:gridCol w:w="298"/>
        <w:gridCol w:w="357"/>
        <w:gridCol w:w="364"/>
        <w:gridCol w:w="109"/>
        <w:gridCol w:w="109"/>
        <w:gridCol w:w="109"/>
        <w:gridCol w:w="298"/>
        <w:gridCol w:w="335"/>
        <w:gridCol w:w="341"/>
        <w:gridCol w:w="109"/>
        <w:gridCol w:w="109"/>
        <w:gridCol w:w="109"/>
        <w:gridCol w:w="298"/>
        <w:gridCol w:w="357"/>
        <w:gridCol w:w="364"/>
        <w:gridCol w:w="109"/>
        <w:gridCol w:w="109"/>
        <w:gridCol w:w="109"/>
        <w:gridCol w:w="298"/>
        <w:gridCol w:w="357"/>
        <w:gridCol w:w="364"/>
        <w:gridCol w:w="109"/>
        <w:gridCol w:w="109"/>
        <w:gridCol w:w="109"/>
        <w:gridCol w:w="298"/>
        <w:gridCol w:w="357"/>
        <w:gridCol w:w="364"/>
        <w:gridCol w:w="109"/>
        <w:gridCol w:w="109"/>
        <w:gridCol w:w="109"/>
        <w:gridCol w:w="298"/>
        <w:gridCol w:w="379"/>
        <w:gridCol w:w="387"/>
        <w:gridCol w:w="109"/>
        <w:gridCol w:w="109"/>
        <w:gridCol w:w="109"/>
        <w:gridCol w:w="298"/>
        <w:gridCol w:w="387"/>
        <w:gridCol w:w="394"/>
        <w:gridCol w:w="109"/>
        <w:gridCol w:w="109"/>
        <w:gridCol w:w="109"/>
        <w:gridCol w:w="291"/>
        <w:gridCol w:w="340"/>
        <w:gridCol w:w="486"/>
      </w:tblGrid>
      <w:tr>
        <w:trPr/>
        <w:tc>
          <w:tcPr>
            <w:tcW w:w="5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105,960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108,181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2,748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78,604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80,464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80,819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82,853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87,745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99,329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110,386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112,617</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62.5%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(11,388)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30,584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(10,140)</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42,553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(13,592)</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20,337</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(23,895)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Non-GAAP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19,143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22,915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GAAP net loss per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Weighted average basic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139,237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153,579</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Weighted average diluted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164,074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176,494</w:t>
            </w:r>
          </w:p>
        </w:tc>
      </w:tr>
    </w:tbl>
    <w:p>
      <w:pPr>
        <w:pStyle w:val="TextBody"/>
        <w:bidi w:val="0"/>
        <w:spacing w:before="0" w:after="0"/>
        <w:jc w:val="left"/>
        <w:rPr/>
      </w:pPr>
      <w:r>
        <w:rPr/>
        <w:drawing>
          <wp:inline distT="0" distB="0" distL="0" distR="0">
            <wp:extent cx="838200" cy="32385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0"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Reconciliation of GAAP to Non-GAAP Financial Measures - Quarterly (Continued)</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p>
      <w:pPr>
        <w:pStyle w:val="TextBody"/>
        <w:bidi w:val="0"/>
        <w:spacing w:before="0" w:after="0"/>
        <w:jc w:val="left"/>
        <w:rPr/>
      </w:pPr>
      <w:r>
        <w:rPr/>
      </w:r>
    </w:p>
    <w:tbl>
      <w:tblPr>
        <w:tblW w:w="13275" w:type="dxa"/>
        <w:jc w:val="left"/>
        <w:tblInd w:w="0" w:type="dxa"/>
        <w:tblLayout w:type="fixed"/>
        <w:tblCellMar>
          <w:top w:w="28" w:type="dxa"/>
          <w:left w:w="28" w:type="dxa"/>
          <w:bottom w:w="28" w:type="dxa"/>
          <w:right w:w="28" w:type="dxa"/>
        </w:tblCellMar>
      </w:tblPr>
      <w:tblGrid>
        <w:gridCol w:w="527"/>
        <w:gridCol w:w="464"/>
        <w:gridCol w:w="465"/>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263"/>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Reconciliation of GAAP to Non-GAAP 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139,237</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148,129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150,324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dilutive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22,915 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143,415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161,229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164,074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176,494</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0.07</w:t>
            </w:r>
            <w:r>
              <w:rPr>
                <w:color w:val="000000"/>
              </w:rPr>
              <w:t>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0.12</w:t>
            </w:r>
            <w:r>
              <w:rPr>
                <w:color w:val="000000"/>
              </w:rPr>
              <w:t>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105" w:type="dxa"/>
        <w:jc w:val="left"/>
        <w:tblInd w:w="0" w:type="dxa"/>
        <w:tblLayout w:type="fixed"/>
        <w:tblCellMar>
          <w:top w:w="28" w:type="dxa"/>
          <w:left w:w="28" w:type="dxa"/>
          <w:bottom w:w="28" w:type="dxa"/>
          <w:right w:w="28" w:type="dxa"/>
        </w:tblCellMar>
      </w:tblPr>
      <w:tblGrid>
        <w:gridCol w:w="739"/>
        <w:gridCol w:w="380"/>
        <w:gridCol w:w="307"/>
        <w:gridCol w:w="109"/>
        <w:gridCol w:w="109"/>
        <w:gridCol w:w="109"/>
        <w:gridCol w:w="226"/>
        <w:gridCol w:w="736"/>
        <w:gridCol w:w="109"/>
        <w:gridCol w:w="109"/>
        <w:gridCol w:w="109"/>
        <w:gridCol w:w="109"/>
        <w:gridCol w:w="226"/>
        <w:gridCol w:w="826"/>
        <w:gridCol w:w="109"/>
        <w:gridCol w:w="109"/>
        <w:gridCol w:w="109"/>
        <w:gridCol w:w="109"/>
        <w:gridCol w:w="226"/>
        <w:gridCol w:w="826"/>
        <w:gridCol w:w="109"/>
        <w:gridCol w:w="109"/>
        <w:gridCol w:w="109"/>
        <w:gridCol w:w="109"/>
        <w:gridCol w:w="226"/>
        <w:gridCol w:w="736"/>
        <w:gridCol w:w="109"/>
        <w:gridCol w:w="109"/>
        <w:gridCol w:w="109"/>
        <w:gridCol w:w="109"/>
        <w:gridCol w:w="226"/>
        <w:gridCol w:w="73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11,118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25,709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34,954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29,463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before="16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drawing>
          <wp:inline distT="0" distB="0" distL="0" distR="0">
            <wp:extent cx="838200" cy="32385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2"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Non-GAAP Consolidated Statements of Operations - Quarterly</w:t>
      </w:r>
    </w:p>
    <w:p>
      <w:pPr>
        <w:pStyle w:val="TextBody"/>
        <w:bidi w:val="0"/>
        <w:spacing w:lineRule="auto" w:line="288" w:before="0" w:after="24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tbl>
      <w:tblPr>
        <w:tblW w:w="1375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Gross profit</w:t>
            </w:r>
            <w:r>
              <w:rPr>
                <w:rFonts w:ascii="Open Sans;sans-serif" w:hAnsi="Open Sans;sans-serif"/>
                <w:b/>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78,604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99,329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110,386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112,617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Total operating expenses</w:t>
            </w:r>
            <w:r>
              <w:rPr>
                <w:rFonts w:ascii="Open Sans;sans-serif" w:hAnsi="Open Sans;sans-serif"/>
                <w:b/>
                <w:color w:val="000000"/>
                <w:sz w:val="10"/>
              </w:rPr>
              <w:t>(1)(2)(3)(4)(5)(6)(7)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90,093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79,646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88,698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93,474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from operations</w:t>
            </w:r>
            <w:r>
              <w:rPr>
                <w:rFonts w:ascii="Open Sans;sans-serif" w:hAnsi="Open Sans;sans-serif"/>
                <w:b/>
                <w:color w:val="000000"/>
                <w:sz w:val="10"/>
              </w:rPr>
              <w:t>(1)(2)(3)(4)(5)(6)(7)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11,608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21,229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19,143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Interest expense</w:t>
            </w:r>
            <w:r>
              <w:rPr>
                <w:rFonts w:ascii="Open Sans;sans-serif" w:hAnsi="Open Sans;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before income taxes</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18,785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Net income (loss)</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22,915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income (loss) per share attributable to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income (loss)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139,237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153,579</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164,074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176,494</w:t>
            </w:r>
          </w:p>
        </w:tc>
      </w:tr>
    </w:tbl>
    <w:p>
      <w:pPr>
        <w:pStyle w:val="TextBody"/>
        <w:bidi w:val="0"/>
        <w:spacing w:before="100" w:after="283"/>
        <w:jc w:val="left"/>
        <w:rPr/>
      </w:pPr>
      <w:r>
        <w:rPr/>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(1)Excludes stock-based compensation expense and related employer payroll taxes.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(2)Excludes amortization of capitalized stock-based compensation - cost of revenue.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(3)Excludes amortization of acquired intangible assets.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(4)Excludes executive transition costs.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(5)Excludes gain on modification of lease.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(6)Excludes impairment expense.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(7)Excludes restructuring charges.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(8)Excludes amortization of debt discount and issuance costs.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(9)Excludes net gain on extinguishment of debt. See GAAP to Non-GAAP reconciliations.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Balance Sheets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tbl>
      <w:tblPr>
        <w:tblW w:w="15775" w:type="dxa"/>
        <w:jc w:val="left"/>
        <w:tblInd w:w="0" w:type="dxa"/>
        <w:tblLayout w:type="fixed"/>
        <w:tblCellMar>
          <w:top w:w="28" w:type="dxa"/>
          <w:left w:w="28" w:type="dxa"/>
          <w:bottom w:w="28" w:type="dxa"/>
          <w:right w:w="28" w:type="dxa"/>
        </w:tblCellMar>
      </w:tblPr>
      <w:tblGrid>
        <w:gridCol w:w="883"/>
        <w:gridCol w:w="283"/>
        <w:gridCol w:w="260"/>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146,670 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450,955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453,058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440,195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464,663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479,784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506,709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490,086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1,482,672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1,470,602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Finance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104,456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300,885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312,803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328,915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193,998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163,440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501,485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502,300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486,109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492,222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520,530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533,637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569,899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536,382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1,903,374 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1,929,397 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1,958,157 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2,112,577 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(1,098,982)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(1,114,487)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981,187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969,454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965,250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957,023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942,647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936,965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929,578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977,146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1,482,672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1,470,602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12"/>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Consolidated Statements of Cash Flows – Quarterly </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p>
      <w:pPr>
        <w:pStyle w:val="TextBody"/>
        <w:bidi w:val="0"/>
        <w:spacing w:before="0" w:after="0"/>
        <w:jc w:val="left"/>
        <w:rPr/>
      </w:pPr>
      <w:r>
        <w:rPr/>
      </w:r>
    </w:p>
    <w:tbl>
      <w:tblPr>
        <w:tblW w:w="12265" w:type="dxa"/>
        <w:jc w:val="left"/>
        <w:tblInd w:w="0" w:type="dxa"/>
        <w:tblLayout w:type="fixed"/>
        <w:tblCellMar>
          <w:top w:w="28" w:type="dxa"/>
          <w:left w:w="28" w:type="dxa"/>
          <w:bottom w:w="28" w:type="dxa"/>
          <w:right w:w="28" w:type="dxa"/>
        </w:tblCellMar>
      </w:tblPr>
      <w:tblGrid>
        <w:gridCol w:w="719"/>
        <w:gridCol w:w="263"/>
        <w:gridCol w:w="264"/>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2026</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Accretion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(4,948)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5,002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17,288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25,798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22,434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28,866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Sales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177,143 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Advance payment for 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66,316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70,909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(178,885)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(69,954)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36,151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(26,954)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Repayment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issuance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Payments of issuance costs for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(148,875)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Payments for 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 of deferred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(7,317)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2,097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(35,773)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Effects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30,644 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67,432 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(33,893)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147,196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217,514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286,175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125,484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113,131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180,563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146,670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 xml:space="preserve">Free Cash Flow </w: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(in thousands, unaudited)</w:t>
      </w:r>
    </w:p>
    <w:tbl>
      <w:tblPr>
        <w:tblW w:w="12715"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226"/>
        <w:gridCol w:w="841"/>
        <w:gridCol w:w="109"/>
        <w:gridCol w:w="109"/>
        <w:gridCol w:w="109"/>
        <w:gridCol w:w="109"/>
        <w:gridCol w:w="226"/>
        <w:gridCol w:w="721"/>
        <w:gridCol w:w="109"/>
        <w:gridCol w:w="109"/>
        <w:gridCol w:w="109"/>
        <w:gridCol w:w="109"/>
        <w:gridCol w:w="226"/>
        <w:gridCol w:w="721"/>
        <w:gridCol w:w="109"/>
        <w:gridCol w:w="109"/>
        <w:gridCol w:w="109"/>
        <w:gridCol w:w="109"/>
        <w:gridCol w:w="226"/>
        <w:gridCol w:w="721"/>
        <w:gridCol w:w="109"/>
        <w:gridCol w:w="109"/>
        <w:gridCol w:w="109"/>
        <w:gridCol w:w="109"/>
        <w:gridCol w:w="226"/>
        <w:gridCol w:w="826"/>
        <w:gridCol w:w="109"/>
        <w:gridCol w:w="109"/>
        <w:gridCol w:w="109"/>
        <w:gridCol w:w="109"/>
        <w:gridCol w:w="226"/>
        <w:gridCol w:w="826"/>
        <w:gridCol w:w="109"/>
        <w:gridCol w:w="109"/>
        <w:gridCol w:w="109"/>
        <w:gridCol w:w="109"/>
        <w:gridCol w:w="226"/>
        <w:gridCol w:w="721"/>
        <w:gridCol w:w="109"/>
        <w:gridCol w:w="109"/>
        <w:gridCol w:w="109"/>
        <w:gridCol w:w="109"/>
        <w:gridCol w:w="226"/>
        <w:gridCol w:w="721"/>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Advance payment for 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18,091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8,598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4,109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68" w:before="60" w:after="16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(1)Capital expenditures are defined as cash used for purchases of property and equipment, net of proceeds from sale of property and equipment, capitalized internal-use software and payments on finance lease obligations, as reflected in our statement of cash flows. </w:t>
      </w:r>
    </w:p>
    <w:p>
      <w:pPr>
        <w:pStyle w:val="TextBody"/>
        <w:bidi w:val="0"/>
        <w:spacing w:before="60" w:after="1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Open Sans">
    <w:altName w:val="sans-serif"/>
    <w:charset w:val="01"/>
    <w:family w:val="auto"/>
    <w:pitch w:val="default"/>
  </w:font>
  <w:font w:name="Inter">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11085</Words>
  <Characters>64417</Characters>
  <CharactersWithSpaces>74033</CharactersWithSpaces>
  <Paragraphs>3019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