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74930</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22"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SCHEDULE 14A</w:t>
      </w:r>
    </w:p>
    <w:p>
      <w:pPr>
        <w:spacing w:after="0" w:line="29" w:lineRule="exact"/>
        <w:rPr>
          <w:sz w:val="24"/>
          <w:szCs w:val="24"/>
          <w:color w:val="auto"/>
        </w:rPr>
      </w:pPr>
    </w:p>
    <w:p>
      <w:pPr>
        <w:jc w:val="center"/>
        <w:ind w:right="-30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340"/>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74930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rFonts w:ascii="Arial" w:cs="Arial" w:eastAsia="Arial" w:hAnsi="Arial"/>
          <w:sz w:val="16"/>
          <w:szCs w:val="16"/>
          <w:color w:val="auto"/>
        </w:rPr>
        <w:t xml:space="preserve">                        Filed by a Party other than the Registrant </w:t>
      </w:r>
      <w:r>
        <w:rPr>
          <w:rFonts w:ascii="MS PGothic" w:cs="MS PGothic" w:eastAsia="MS PGothic" w:hAnsi="MS PGothic"/>
          <w:sz w:val="16"/>
          <w:szCs w:val="16"/>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13"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13" w:lineRule="exact"/>
        <w:rPr>
          <w:rFonts w:ascii="MS PGothic" w:cs="MS PGothic" w:eastAsia="MS PGothic" w:hAnsi="MS PGothic"/>
          <w:sz w:val="16"/>
          <w:szCs w:val="16"/>
          <w:color w:val="auto"/>
        </w:rPr>
      </w:pPr>
    </w:p>
    <w:p>
      <w:pPr>
        <w:ind w:left="360" w:hanging="356"/>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13"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13" w:lineRule="exact"/>
        <w:rPr>
          <w:sz w:val="24"/>
          <w:szCs w:val="24"/>
          <w:color w:val="auto"/>
        </w:rPr>
      </w:pPr>
    </w:p>
    <w:p>
      <w:pPr>
        <w:ind w:left="360" w:hanging="356"/>
        <w:spacing w:after="0"/>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13" w:lineRule="exact"/>
        <w:rPr>
          <w:rFonts w:ascii="MS PGothic" w:cs="MS PGothic" w:eastAsia="MS PGothic" w:hAnsi="MS PGothic"/>
          <w:sz w:val="16"/>
          <w:szCs w:val="16"/>
          <w:color w:val="auto"/>
        </w:rPr>
      </w:pPr>
    </w:p>
    <w:p>
      <w:pPr>
        <w:ind w:left="360" w:hanging="356"/>
        <w:spacing w:after="0"/>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§240.14a-12</w:t>
      </w:r>
    </w:p>
    <w:p>
      <w:pPr>
        <w:spacing w:after="0" w:line="327" w:lineRule="exact"/>
        <w:rPr>
          <w:sz w:val="24"/>
          <w:szCs w:val="24"/>
          <w:color w:val="auto"/>
        </w:rPr>
      </w:pPr>
    </w:p>
    <w:p>
      <w:pPr>
        <w:jc w:val="center"/>
        <w:ind w:right="-220"/>
        <w:spacing w:after="0"/>
        <w:rPr>
          <w:sz w:val="20"/>
          <w:szCs w:val="20"/>
          <w:color w:val="auto"/>
        </w:rPr>
      </w:pPr>
      <w:r>
        <w:rPr>
          <w:rFonts w:ascii="Arial" w:cs="Arial" w:eastAsia="Arial" w:hAnsi="Arial"/>
          <w:sz w:val="43"/>
          <w:szCs w:val="43"/>
          <w:b w:val="1"/>
          <w:bCs w:val="1"/>
          <w:color w:val="auto"/>
        </w:rPr>
        <w:t>FASTLY, INC.</w:t>
      </w:r>
    </w:p>
    <w:p>
      <w:pPr>
        <w:spacing w:after="0" w:line="43"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(Name of Registrant as Specified In Its Charter)</w:t>
      </w:r>
    </w:p>
    <w:p>
      <w:pPr>
        <w:jc w:val="center"/>
        <w:ind w:right="-160"/>
        <w:spacing w:after="0" w:line="234" w:lineRule="auto"/>
        <w:rPr>
          <w:sz w:val="20"/>
          <w:szCs w:val="20"/>
          <w:color w:val="auto"/>
        </w:rPr>
      </w:pPr>
      <w:r>
        <w:rPr>
          <w:rFonts w:ascii="Arial" w:cs="Arial" w:eastAsia="Arial" w:hAnsi="Arial"/>
          <w:sz w:val="18"/>
          <w:szCs w:val="18"/>
          <w:b w:val="1"/>
          <w:bCs w:val="1"/>
          <w:color w:val="auto"/>
        </w:rPr>
        <w:t> </w:t>
      </w:r>
    </w:p>
    <w:p>
      <w:pPr>
        <w:spacing w:after="0" w:line="1"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13" w:lineRule="exact"/>
        <w:rPr>
          <w:sz w:val="24"/>
          <w:szCs w:val="24"/>
          <w:color w:val="auto"/>
        </w:rPr>
      </w:pPr>
    </w:p>
    <w:p>
      <w:pPr>
        <w:ind w:left="360" w:hanging="356"/>
        <w:spacing w:after="0"/>
        <w:tabs>
          <w:tab w:leader="none" w:pos="36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13" w:lineRule="exact"/>
        <w:rPr>
          <w:sz w:val="24"/>
          <w:szCs w:val="24"/>
          <w:color w:val="auto"/>
        </w:rPr>
      </w:pPr>
    </w:p>
    <w:p>
      <w:pPr>
        <w:ind w:left="360" w:hanging="356"/>
        <w:spacing w:after="0"/>
        <w:tabs>
          <w:tab w:leader="none" w:pos="3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13" w:lineRule="exact"/>
        <w:rPr>
          <w:rFonts w:ascii="MS PGothic" w:cs="MS PGothic" w:eastAsia="MS PGothic" w:hAnsi="MS PGothic"/>
          <w:sz w:val="16"/>
          <w:szCs w:val="16"/>
          <w:color w:val="auto"/>
        </w:rPr>
      </w:pPr>
    </w:p>
    <w:p>
      <w:pPr>
        <w:ind w:left="360" w:hanging="356"/>
        <w:spacing w:after="0"/>
        <w:tabs>
          <w:tab w:leader="none" w:pos="3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346710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123825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183515</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68580</wp:posOffset>
            </wp:positionV>
            <wp:extent cx="6926580" cy="9026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9026525"/>
                    </a:xfrm>
                    <a:prstGeom prst="rect">
                      <a:avLst/>
                    </a:prstGeom>
                    <a:noFill/>
                  </pic:spPr>
                </pic:pic>
              </a:graphicData>
            </a:graphic>
          </wp:anchor>
        </w:drawing>
      </w:r>
    </w:p>
    <w:p>
      <w:pPr>
        <w:sectPr>
          <w:pgSz w:w="11900" w:h="16838" w:orient="portrait"/>
          <w:cols w:equalWidth="0" w:num="1">
            <w:col w:w="10019"/>
          </w:cols>
          <w:pgMar w:left="44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19"/>
          </w:cols>
          <w:pgMar w:left="440" w:top="114" w:right="1440" w:bottom="1440" w:gutter="0" w:footer="0" w:header="0"/>
          <w:type w:val="continuous"/>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300" w:right="1619"/>
        <w:spacing w:after="0" w:line="275" w:lineRule="auto"/>
        <w:rPr>
          <w:sz w:val="20"/>
          <w:szCs w:val="20"/>
          <w:color w:val="auto"/>
        </w:rPr>
      </w:pPr>
      <w:r>
        <w:rPr>
          <w:rFonts w:ascii="Arial" w:cs="Arial" w:eastAsia="Arial" w:hAnsi="Arial"/>
          <w:sz w:val="43"/>
          <w:szCs w:val="43"/>
          <w:b w:val="1"/>
          <w:bCs w:val="1"/>
          <w:color w:val="auto"/>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2911475</wp:posOffset>
            </wp:positionH>
            <wp:positionV relativeFrom="paragraph">
              <wp:posOffset>-5715</wp:posOffset>
            </wp:positionV>
            <wp:extent cx="2623185" cy="58464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23185" cy="58464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Be Held on June 3, 2026</w:t>
      </w:r>
    </w:p>
    <w:p>
      <w:pPr>
        <w:spacing w:after="0" w:line="11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Dear Stockholder:</w:t>
      </w:r>
    </w:p>
    <w:p>
      <w:pPr>
        <w:spacing w:after="0" w:line="32" w:lineRule="exact"/>
        <w:rPr>
          <w:sz w:val="20"/>
          <w:szCs w:val="20"/>
          <w:color w:val="auto"/>
        </w:rPr>
      </w:pPr>
    </w:p>
    <w:p>
      <w:pPr>
        <w:jc w:val="both"/>
        <w:ind w:left="300"/>
        <w:spacing w:after="0" w:line="250" w:lineRule="auto"/>
        <w:rPr>
          <w:sz w:val="20"/>
          <w:szCs w:val="20"/>
          <w:color w:val="auto"/>
        </w:rPr>
      </w:pPr>
      <w:r>
        <w:rPr>
          <w:rFonts w:ascii="Arial" w:cs="Arial" w:eastAsia="Arial" w:hAnsi="Arial"/>
          <w:sz w:val="16"/>
          <w:szCs w:val="16"/>
          <w:color w:val="auto"/>
        </w:rPr>
        <w:t>You are cordially invited to attend the 2026 annual meeting of stockholders (the “annual meeting”) of Fastly, Inc., a Delaware corporation (the “Company”). The annual meeting will be held virtually on Wednesday, June 3, 2026 at 9:00 a.m. Pacific Time at www.virtualshareholdermeeting.com/FSLY2026, where you will be able to listen to the annual meeting live, submit questions (before and during the annual meeting) and vote online. The Company is holding the annual meeting for the following purposes:</w:t>
      </w:r>
    </w:p>
    <w:p>
      <w:pPr>
        <w:spacing w:after="0" w:line="68" w:lineRule="exact"/>
        <w:rPr>
          <w:sz w:val="20"/>
          <w:szCs w:val="20"/>
          <w:color w:val="auto"/>
        </w:rPr>
      </w:pPr>
    </w:p>
    <w:p>
      <w:pPr>
        <w:jc w:val="both"/>
        <w:ind w:left="640" w:right="20" w:hanging="339"/>
        <w:spacing w:after="0" w:line="257" w:lineRule="auto"/>
        <w:tabs>
          <w:tab w:leader="none" w:pos="620" w:val="left"/>
        </w:tabs>
        <w:rPr>
          <w:sz w:val="20"/>
          <w:szCs w:val="20"/>
          <w:color w:val="auto"/>
        </w:rPr>
      </w:pPr>
      <w:r>
        <w:rPr>
          <w:rFonts w:ascii="Arial" w:cs="Arial" w:eastAsia="Arial" w:hAnsi="Arial"/>
          <w:sz w:val="16"/>
          <w:szCs w:val="16"/>
          <w:color w:val="auto"/>
        </w:rPr>
        <w:t>1.</w:t>
        <w:tab/>
        <w:t>To elect each of the Board of Directors’ three nominees, Aida Álvarez, Charles (“Kip”) Compton, and Richard Daniels, as a Class I director, to serve until our annual meeting of stockholders in 2029;</w:t>
      </w:r>
    </w:p>
    <w:p>
      <w:pPr>
        <w:spacing w:after="0" w:line="251" w:lineRule="exact"/>
        <w:rPr>
          <w:sz w:val="20"/>
          <w:szCs w:val="20"/>
          <w:color w:val="auto"/>
        </w:rPr>
      </w:pPr>
    </w:p>
    <w:p>
      <w:pPr>
        <w:jc w:val="both"/>
        <w:ind w:left="640" w:right="20" w:hanging="348"/>
        <w:spacing w:after="0" w:line="259"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ratify the selection by the Audit Committee of the Board of Directors of KPMG LLP as our independent registered public accounting firm for the year ending December 31, 2026;</w:t>
      </w:r>
    </w:p>
    <w:p>
      <w:pPr>
        <w:spacing w:after="0" w:line="42" w:lineRule="exact"/>
        <w:rPr>
          <w:rFonts w:ascii="Arial" w:cs="Arial" w:eastAsia="Arial" w:hAnsi="Arial"/>
          <w:sz w:val="16"/>
          <w:szCs w:val="16"/>
          <w:color w:val="auto"/>
        </w:rPr>
      </w:pPr>
    </w:p>
    <w:p>
      <w:pPr>
        <w:ind w:left="640" w:right="20" w:hanging="348"/>
        <w:spacing w:after="0" w:line="286"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conduct an advisory vote to approve the compensation of our named executive officers; and</w:t>
      </w:r>
    </w:p>
    <w:p>
      <w:pPr>
        <w:spacing w:after="0" w:line="34" w:lineRule="exact"/>
        <w:rPr>
          <w:rFonts w:ascii="Arial" w:cs="Arial" w:eastAsia="Arial" w:hAnsi="Arial"/>
          <w:sz w:val="16"/>
          <w:szCs w:val="16"/>
          <w:color w:val="auto"/>
        </w:rPr>
      </w:pPr>
    </w:p>
    <w:p>
      <w:pPr>
        <w:ind w:left="640" w:right="20" w:hanging="348"/>
        <w:spacing w:after="0" w:line="286"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conduct any other business properly brought before the annual meeting.</w:t>
      </w:r>
    </w:p>
    <w:p>
      <w:pPr>
        <w:spacing w:after="0" w:line="88" w:lineRule="exact"/>
        <w:rPr>
          <w:sz w:val="20"/>
          <w:szCs w:val="20"/>
          <w:color w:val="auto"/>
        </w:rPr>
      </w:pPr>
    </w:p>
    <w:p>
      <w:pPr>
        <w:ind w:left="300" w:right="20"/>
        <w:spacing w:after="0" w:line="286" w:lineRule="auto"/>
        <w:rPr>
          <w:sz w:val="20"/>
          <w:szCs w:val="20"/>
          <w:color w:val="auto"/>
        </w:rPr>
      </w:pPr>
      <w:r>
        <w:rPr>
          <w:rFonts w:ascii="Arial" w:cs="Arial" w:eastAsia="Arial" w:hAnsi="Arial"/>
          <w:sz w:val="16"/>
          <w:szCs w:val="16"/>
          <w:color w:val="auto"/>
        </w:rPr>
        <w:t>These items of business are more fully described in the Proxy Statement accompanying this Notice.</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By Order of the Board of Directors</w:t>
      </w:r>
    </w:p>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 Charles Compton</w:t>
      </w:r>
    </w:p>
    <w:p>
      <w:pPr>
        <w:spacing w:after="0" w:line="2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Charles Compton</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Chief Executive Officer</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San Francisco, CA</w:t>
      </w:r>
    </w:p>
    <w:p>
      <w:pPr>
        <w:spacing w:after="0" w:line="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April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1150620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jc w:val="both"/>
        <w:ind w:right="519"/>
        <w:spacing w:after="0" w:line="252" w:lineRule="auto"/>
        <w:rPr>
          <w:sz w:val="20"/>
          <w:szCs w:val="20"/>
          <w:color w:val="auto"/>
        </w:rPr>
      </w:pPr>
      <w:r>
        <w:rPr>
          <w:rFonts w:ascii="Arial" w:cs="Arial" w:eastAsia="Arial" w:hAnsi="Arial"/>
          <w:sz w:val="16"/>
          <w:szCs w:val="16"/>
          <w:color w:val="auto"/>
        </w:rPr>
        <w:t>The record date for the annual meeting is April 13, 2026. Only stockholders of record at the close of business on that date may vote at the annual meeting or any adjournment thereof. We intend to mail the Notice of Internet Availability of Proxy Materials on or about April 22, 2026 to all stockholders of record entitled to vote at the annual meeting.</w:t>
      </w:r>
    </w:p>
    <w:p>
      <w:pPr>
        <w:spacing w:after="0" w:line="75" w:lineRule="exact"/>
        <w:rPr>
          <w:sz w:val="20"/>
          <w:szCs w:val="20"/>
          <w:color w:val="auto"/>
        </w:rPr>
      </w:pPr>
    </w:p>
    <w:p>
      <w:pPr>
        <w:jc w:val="both"/>
        <w:ind w:right="519"/>
        <w:spacing w:after="0" w:line="252"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Stockholders’ Meeting to Be Held on June 3, 2026 via live interactive webcast at</w:t>
      </w:r>
    </w:p>
    <w:p>
      <w:pPr>
        <w:spacing w:after="0" w:line="3" w:lineRule="exact"/>
        <w:rPr>
          <w:sz w:val="20"/>
          <w:szCs w:val="20"/>
          <w:color w:val="auto"/>
        </w:rPr>
      </w:pPr>
    </w:p>
    <w:p>
      <w:pPr>
        <w:jc w:val="center"/>
        <w:ind w:right="519"/>
        <w:spacing w:after="0"/>
        <w:rPr>
          <w:sz w:val="20"/>
          <w:szCs w:val="20"/>
          <w:color w:val="auto"/>
        </w:rPr>
      </w:pPr>
      <w:r>
        <w:rPr>
          <w:rFonts w:ascii="Arial" w:cs="Arial" w:eastAsia="Arial" w:hAnsi="Arial"/>
          <w:sz w:val="15"/>
          <w:szCs w:val="15"/>
          <w:b w:val="1"/>
          <w:bCs w:val="1"/>
          <w:color w:val="auto"/>
        </w:rPr>
        <w:t>www.virtualshareholdermeeting.com/FSLY2026.</w:t>
      </w:r>
    </w:p>
    <w:p>
      <w:pPr>
        <w:spacing w:after="0" w:line="92" w:lineRule="exact"/>
        <w:rPr>
          <w:sz w:val="20"/>
          <w:szCs w:val="20"/>
          <w:color w:val="auto"/>
        </w:rPr>
      </w:pPr>
    </w:p>
    <w:p>
      <w:pPr>
        <w:ind w:right="519"/>
        <w:spacing w:after="0" w:line="271" w:lineRule="auto"/>
        <w:rPr>
          <w:sz w:val="20"/>
          <w:szCs w:val="20"/>
          <w:color w:val="auto"/>
        </w:rPr>
      </w:pPr>
      <w:r>
        <w:rPr>
          <w:rFonts w:ascii="Arial" w:cs="Arial" w:eastAsia="Arial" w:hAnsi="Arial"/>
          <w:sz w:val="16"/>
          <w:szCs w:val="16"/>
          <w:b w:val="1"/>
          <w:bCs w:val="1"/>
          <w:color w:val="auto"/>
        </w:rPr>
        <w:t>The proxy statement and annual report to stockholders are available at http://materials.proxyvote.com.</w:t>
      </w:r>
    </w:p>
    <w:p>
      <w:pPr>
        <w:spacing w:after="0" w:line="52" w:lineRule="exact"/>
        <w:rPr>
          <w:sz w:val="20"/>
          <w:szCs w:val="20"/>
          <w:color w:val="auto"/>
        </w:rPr>
      </w:pPr>
    </w:p>
    <w:p>
      <w:pPr>
        <w:jc w:val="both"/>
        <w:ind w:right="519"/>
        <w:spacing w:after="0" w:line="250" w:lineRule="auto"/>
        <w:rPr>
          <w:sz w:val="20"/>
          <w:szCs w:val="20"/>
          <w:color w:val="auto"/>
        </w:rPr>
      </w:pPr>
      <w:r>
        <w:rPr>
          <w:rFonts w:ascii="Arial" w:cs="Arial" w:eastAsia="Arial" w:hAnsi="Arial"/>
          <w:sz w:val="16"/>
          <w:szCs w:val="16"/>
          <w:b w:val="1"/>
          <w:bCs w:val="1"/>
          <w:color w:val="auto"/>
        </w:rPr>
        <w:t>You are cordially invited to attend the virtual annual meeting. Whether or not you expect to attend the annual meeting, please complete, date, sign and return the proxy mailed to you, or vote over the telephone or the internet as instructed in these materials, as promptly as possible in order to ensure your representation at the annual meeting. Even if you have voted by proxy, you may still vote online if you attend the virtual meeting. Please note, however, that if your shares are held of record by a broker, bank or other nominee and you wish to vote at the annual meeting, you must obtain a proxy issued in your name from that record holder.</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ectPr>
          <w:pgSz w:w="11900" w:h="16838" w:orient="portrait"/>
          <w:cols w:equalWidth="0" w:num="2">
            <w:col w:w="4440" w:space="480"/>
            <w:col w:w="4099"/>
          </w:cols>
          <w:pgMar w:left="1440" w:top="114" w:right="1440" w:bottom="1440" w:gutter="0" w:footer="0" w:header="0"/>
          <w:type w:val="continuous"/>
        </w:sectPr>
      </w:pPr>
    </w:p>
    <w:bookmarkStart w:id="3" w:name="page4"/>
    <w:bookmarkEnd w:id="3"/>
    <w:p>
      <w:pPr>
        <w:ind w:left="4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0"/>
        <w:spacing w:after="0"/>
        <w:rPr>
          <w:sz w:val="20"/>
          <w:szCs w:val="20"/>
          <w:color w:val="auto"/>
        </w:rPr>
      </w:pPr>
      <w:r>
        <w:rPr>
          <w:rFonts w:ascii="Arial" w:cs="Arial" w:eastAsia="Arial" w:hAnsi="Arial"/>
          <w:sz w:val="43"/>
          <w:szCs w:val="43"/>
          <w:b w:val="1"/>
          <w:bCs w:val="1"/>
          <w:color w:val="auto"/>
        </w:rPr>
        <w:t>TABLE OF CONTENTS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jc w:val="right"/>
              <w:ind w:right="1580"/>
              <w:spacing w:after="0"/>
              <w:rPr>
                <w:sz w:val="20"/>
                <w:szCs w:val="20"/>
                <w:color w:val="auto"/>
              </w:rPr>
            </w:pPr>
            <w:r>
              <w:rPr>
                <w:rFonts w:ascii="Arial" w:cs="Arial" w:eastAsia="Arial" w:hAnsi="Arial"/>
                <w:sz w:val="15"/>
                <w:szCs w:val="15"/>
                <w:b w:val="1"/>
                <w:bCs w:val="1"/>
                <w:color w:val="auto"/>
              </w:rPr>
              <w:t>Page</w:t>
            </w:r>
          </w:p>
        </w:tc>
        <w:tc>
          <w:tcPr>
            <w:tcW w:w="0" w:type="dxa"/>
            <w:vAlign w:val="bottom"/>
          </w:tcPr>
          <w:p>
            <w:pPr>
              <w:spacing w:after="0"/>
              <w:rPr>
                <w:sz w:val="1"/>
                <w:szCs w:val="1"/>
                <w:color w:val="auto"/>
              </w:rPr>
            </w:pPr>
          </w:p>
        </w:tc>
      </w:tr>
      <w:tr>
        <w:trPr>
          <w:trHeight w:val="187"/>
        </w:trPr>
        <w:tc>
          <w:tcPr>
            <w:tcW w:w="1840" w:type="dxa"/>
            <w:vAlign w:val="bottom"/>
          </w:tcPr>
          <w:p>
            <w:pPr>
              <w:spacing w:after="0"/>
              <w:rPr>
                <w:sz w:val="16"/>
                <w:szCs w:val="16"/>
                <w:color w:val="auto"/>
              </w:rPr>
            </w:pPr>
          </w:p>
        </w:tc>
        <w:tc>
          <w:tcPr>
            <w:tcW w:w="6100" w:type="dxa"/>
            <w:vAlign w:val="bottom"/>
            <w:gridSpan w:val="32"/>
          </w:tcPr>
          <w:p>
            <w:pPr>
              <w:ind w:left="20"/>
              <w:spacing w:after="0"/>
              <w:rPr>
                <w:sz w:val="20"/>
                <w:szCs w:val="20"/>
                <w:color w:val="auto"/>
              </w:rPr>
            </w:pPr>
            <w:r>
              <w:rPr>
                <w:rFonts w:ascii="Arial" w:cs="Arial" w:eastAsia="Arial" w:hAnsi="Arial"/>
                <w:sz w:val="16"/>
                <w:szCs w:val="16"/>
                <w:b w:val="1"/>
                <w:bCs w:val="1"/>
                <w:color w:val="0000EE"/>
              </w:rPr>
              <w:t>QUESTIONS AND ANSWERS ABOUT THESE PROXY MATERIALS AND VOTING</w:t>
            </w:r>
          </w:p>
        </w:tc>
        <w:tc>
          <w:tcPr>
            <w:tcW w:w="1020" w:type="dxa"/>
            <w:vAlign w:val="bottom"/>
            <w:gridSpan w:val="6"/>
          </w:tcPr>
          <w:p>
            <w:pPr>
              <w:spacing w:after="0"/>
              <w:rPr>
                <w:sz w:val="16"/>
                <w:szCs w:val="16"/>
                <w:color w:val="auto"/>
              </w:rPr>
            </w:pPr>
          </w:p>
        </w:tc>
        <w:tc>
          <w:tcPr>
            <w:tcW w:w="2060" w:type="dxa"/>
            <w:vAlign w:val="bottom"/>
            <w:gridSpan w:val="4"/>
          </w:tcPr>
          <w:p>
            <w:pPr>
              <w:jc w:val="right"/>
              <w:ind w:right="1580"/>
              <w:spacing w:after="0"/>
              <w:rPr>
                <w:sz w:val="20"/>
                <w:szCs w:val="20"/>
                <w:color w:val="auto"/>
              </w:rPr>
            </w:pPr>
            <w:r>
              <w:rPr>
                <w:rFonts w:ascii="Arial" w:cs="Arial" w:eastAsia="Arial" w:hAnsi="Arial"/>
                <w:sz w:val="16"/>
                <w:szCs w:val="16"/>
                <w:color w:val="0000EE"/>
              </w:rPr>
              <w:t>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520" w:type="dxa"/>
            <w:vAlign w:val="bottom"/>
            <w:gridSpan w:val="20"/>
          </w:tcPr>
          <w:p>
            <w:pPr>
              <w:ind w:left="20"/>
              <w:spacing w:after="0"/>
              <w:rPr>
                <w:sz w:val="20"/>
                <w:szCs w:val="20"/>
                <w:color w:val="auto"/>
              </w:rPr>
            </w:pPr>
            <w:r>
              <w:rPr>
                <w:rFonts w:ascii="Arial" w:cs="Arial" w:eastAsia="Arial" w:hAnsi="Arial"/>
                <w:sz w:val="16"/>
                <w:szCs w:val="16"/>
                <w:b w:val="1"/>
                <w:bCs w:val="1"/>
                <w:color w:val="0000EE"/>
              </w:rPr>
              <w:t>PROPOSAL NO. 1 ELECTION OF DIRECTORS</w:t>
            </w:r>
          </w:p>
        </w:tc>
        <w:tc>
          <w:tcPr>
            <w:tcW w:w="2580" w:type="dxa"/>
            <w:vAlign w:val="bottom"/>
            <w:gridSpan w:val="12"/>
          </w:tcPr>
          <w:p>
            <w:pPr>
              <w:spacing w:after="0"/>
              <w:rPr>
                <w:sz w:val="19"/>
                <w:szCs w:val="19"/>
                <w:color w:val="auto"/>
              </w:rPr>
            </w:pPr>
          </w:p>
        </w:tc>
        <w:tc>
          <w:tcPr>
            <w:tcW w:w="1020" w:type="dxa"/>
            <w:vAlign w:val="bottom"/>
            <w:gridSpan w:val="6"/>
          </w:tcPr>
          <w:p>
            <w:pPr>
              <w:spacing w:after="0"/>
              <w:rPr>
                <w:sz w:val="19"/>
                <w:szCs w:val="19"/>
                <w:color w:val="auto"/>
              </w:rPr>
            </w:pPr>
          </w:p>
        </w:tc>
        <w:tc>
          <w:tcPr>
            <w:tcW w:w="2060" w:type="dxa"/>
            <w:vAlign w:val="bottom"/>
            <w:gridSpan w:val="4"/>
          </w:tcPr>
          <w:p>
            <w:pPr>
              <w:jc w:val="right"/>
              <w:ind w:right="1580"/>
              <w:spacing w:after="0"/>
              <w:rPr>
                <w:sz w:val="20"/>
                <w:szCs w:val="20"/>
                <w:color w:val="auto"/>
              </w:rPr>
            </w:pPr>
            <w:r>
              <w:rPr>
                <w:rFonts w:ascii="Arial" w:cs="Arial" w:eastAsia="Arial" w:hAnsi="Arial"/>
                <w:sz w:val="16"/>
                <w:szCs w:val="16"/>
                <w:color w:val="0000EE"/>
              </w:rPr>
              <w:t>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7120" w:type="dxa"/>
            <w:vAlign w:val="bottom"/>
            <w:gridSpan w:val="38"/>
          </w:tcPr>
          <w:p>
            <w:pPr>
              <w:ind w:left="20"/>
              <w:spacing w:after="0"/>
              <w:rPr>
                <w:sz w:val="20"/>
                <w:szCs w:val="20"/>
                <w:color w:val="auto"/>
              </w:rPr>
            </w:pPr>
            <w:r>
              <w:rPr>
                <w:rFonts w:ascii="Arial" w:cs="Arial" w:eastAsia="Arial" w:hAnsi="Arial"/>
                <w:sz w:val="16"/>
                <w:szCs w:val="16"/>
                <w:b w:val="1"/>
                <w:bCs w:val="1"/>
                <w:color w:val="0000EE"/>
              </w:rPr>
              <w:t>INFORMATION REGARDING THE BOARD OF DIRECTORS, EXECUTIVE OFFICERS, AND</w:t>
            </w:r>
          </w:p>
        </w:tc>
        <w:tc>
          <w:tcPr>
            <w:tcW w:w="300" w:type="dxa"/>
            <w:vAlign w:val="bottom"/>
            <w:vMerge w:val="restart"/>
          </w:tcPr>
          <w:p>
            <w:pPr>
              <w:spacing w:after="0"/>
              <w:rPr>
                <w:sz w:val="19"/>
                <w:szCs w:val="19"/>
                <w:color w:val="auto"/>
              </w:rPr>
            </w:pPr>
          </w:p>
        </w:tc>
        <w:tc>
          <w:tcPr>
            <w:tcW w:w="1760" w:type="dxa"/>
            <w:vAlign w:val="bottom"/>
            <w:gridSpan w:val="3"/>
            <w:vMerge w:val="restart"/>
          </w:tcPr>
          <w:p>
            <w:pPr>
              <w:jc w:val="right"/>
              <w:ind w:right="1580"/>
              <w:spacing w:after="0"/>
              <w:rPr>
                <w:sz w:val="20"/>
                <w:szCs w:val="20"/>
                <w:color w:val="auto"/>
              </w:rPr>
            </w:pPr>
            <w:r>
              <w:rPr>
                <w:rFonts w:ascii="Arial" w:cs="Arial" w:eastAsia="Arial" w:hAnsi="Arial"/>
                <w:sz w:val="16"/>
                <w:szCs w:val="16"/>
                <w:color w:val="0000EE"/>
                <w:w w:val="89"/>
              </w:rPr>
              <w:t>12</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2240" w:type="dxa"/>
            <w:vAlign w:val="bottom"/>
            <w:tcBorders>
              <w:top w:val="single" w:sz="8" w:color="0000EE"/>
            </w:tcBorders>
            <w:gridSpan w:val="9"/>
          </w:tcPr>
          <w:p>
            <w:pPr>
              <w:ind w:left="20"/>
              <w:spacing w:after="0" w:line="169" w:lineRule="exact"/>
              <w:rPr>
                <w:sz w:val="20"/>
                <w:szCs w:val="20"/>
                <w:color w:val="auto"/>
              </w:rPr>
            </w:pPr>
            <w:r>
              <w:rPr>
                <w:rFonts w:ascii="Arial" w:cs="Arial" w:eastAsia="Arial" w:hAnsi="Arial"/>
                <w:sz w:val="16"/>
                <w:szCs w:val="16"/>
                <w:b w:val="1"/>
                <w:bCs w:val="1"/>
                <w:color w:val="0000EE"/>
                <w:w w:val="99"/>
              </w:rPr>
              <w:t>CORPORATE GOVERNANCE</w:t>
            </w:r>
          </w:p>
        </w:tc>
        <w:tc>
          <w:tcPr>
            <w:tcW w:w="4520" w:type="dxa"/>
            <w:vAlign w:val="bottom"/>
            <w:tcBorders>
              <w:top w:val="single" w:sz="8" w:color="0000EE"/>
            </w:tcBorders>
            <w:gridSpan w:val="26"/>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20" w:type="dxa"/>
            <w:vAlign w:val="bottom"/>
            <w:gridSpan w:val="37"/>
          </w:tcPr>
          <w:p>
            <w:pPr>
              <w:spacing w:after="0"/>
              <w:rPr>
                <w:sz w:val="20"/>
                <w:szCs w:val="20"/>
                <w:color w:val="auto"/>
              </w:rPr>
            </w:pPr>
            <w:r>
              <w:rPr>
                <w:rFonts w:ascii="Arial" w:cs="Arial" w:eastAsia="Arial" w:hAnsi="Arial"/>
                <w:sz w:val="16"/>
                <w:szCs w:val="16"/>
                <w:color w:val="0000EE"/>
              </w:rPr>
              <w:t>Independence of the Board of Directors</w:t>
            </w:r>
          </w:p>
        </w:tc>
        <w:tc>
          <w:tcPr>
            <w:tcW w:w="2060" w:type="dxa"/>
            <w:vAlign w:val="bottom"/>
            <w:gridSpan w:val="4"/>
          </w:tcPr>
          <w:p>
            <w:pPr>
              <w:jc w:val="right"/>
              <w:ind w:right="1580"/>
              <w:spacing w:after="0"/>
              <w:rPr>
                <w:sz w:val="20"/>
                <w:szCs w:val="20"/>
                <w:color w:val="auto"/>
              </w:rPr>
            </w:pPr>
            <w:r>
              <w:rPr>
                <w:rFonts w:ascii="Arial" w:cs="Arial" w:eastAsia="Arial" w:hAnsi="Arial"/>
                <w:sz w:val="16"/>
                <w:szCs w:val="16"/>
                <w:color w:val="0000EE"/>
              </w:rPr>
              <w:t>12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16"/>
          </w:tcPr>
          <w:p>
            <w:pPr>
              <w:spacing w:after="0"/>
              <w:rPr>
                <w:sz w:val="20"/>
                <w:szCs w:val="20"/>
                <w:color w:val="auto"/>
              </w:rPr>
            </w:pPr>
            <w:r>
              <w:rPr>
                <w:rFonts w:ascii="Arial" w:cs="Arial" w:eastAsia="Arial" w:hAnsi="Arial"/>
                <w:sz w:val="16"/>
                <w:szCs w:val="16"/>
                <w:color w:val="0000EE"/>
                <w:w w:val="99"/>
              </w:rPr>
              <w:t>Board of Directors Leadership Structure</w:t>
            </w:r>
          </w:p>
        </w:tc>
        <w:tc>
          <w:tcPr>
            <w:tcW w:w="3980" w:type="dxa"/>
            <w:vAlign w:val="bottom"/>
            <w:gridSpan w:val="21"/>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12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20" w:type="dxa"/>
            <w:vAlign w:val="bottom"/>
            <w:gridSpan w:val="37"/>
          </w:tcPr>
          <w:p>
            <w:pPr>
              <w:spacing w:after="0"/>
              <w:rPr>
                <w:sz w:val="20"/>
                <w:szCs w:val="20"/>
                <w:color w:val="auto"/>
              </w:rPr>
            </w:pPr>
            <w:r>
              <w:rPr>
                <w:rFonts w:ascii="Arial" w:cs="Arial" w:eastAsia="Arial" w:hAnsi="Arial"/>
                <w:sz w:val="16"/>
                <w:szCs w:val="16"/>
                <w:color w:val="0000EE"/>
              </w:rPr>
              <w:t>Role of the Board of Directors in Risk Oversight</w:t>
            </w:r>
          </w:p>
        </w:tc>
        <w:tc>
          <w:tcPr>
            <w:tcW w:w="2060" w:type="dxa"/>
            <w:vAlign w:val="bottom"/>
            <w:gridSpan w:val="4"/>
          </w:tcPr>
          <w:p>
            <w:pPr>
              <w:jc w:val="right"/>
              <w:ind w:right="1580"/>
              <w:spacing w:after="0"/>
              <w:rPr>
                <w:sz w:val="20"/>
                <w:szCs w:val="20"/>
                <w:color w:val="auto"/>
              </w:rPr>
            </w:pPr>
            <w:r>
              <w:rPr>
                <w:rFonts w:ascii="Arial" w:cs="Arial" w:eastAsia="Arial" w:hAnsi="Arial"/>
                <w:sz w:val="16"/>
                <w:szCs w:val="16"/>
                <w:color w:val="0000EE"/>
              </w:rPr>
              <w:t>12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20" w:type="dxa"/>
            <w:vAlign w:val="bottom"/>
            <w:gridSpan w:val="37"/>
          </w:tcPr>
          <w:p>
            <w:pPr>
              <w:spacing w:after="0"/>
              <w:rPr>
                <w:sz w:val="20"/>
                <w:szCs w:val="20"/>
                <w:color w:val="auto"/>
              </w:rPr>
            </w:pPr>
            <w:r>
              <w:rPr>
                <w:rFonts w:ascii="Arial" w:cs="Arial" w:eastAsia="Arial" w:hAnsi="Arial"/>
                <w:sz w:val="16"/>
                <w:szCs w:val="16"/>
                <w:color w:val="0000EE"/>
              </w:rPr>
              <w:t>Meetings of the Board of Directors and Committees</w:t>
            </w:r>
          </w:p>
        </w:tc>
        <w:tc>
          <w:tcPr>
            <w:tcW w:w="2060" w:type="dxa"/>
            <w:vAlign w:val="bottom"/>
            <w:gridSpan w:val="4"/>
          </w:tcPr>
          <w:p>
            <w:pPr>
              <w:jc w:val="right"/>
              <w:ind w:right="1580"/>
              <w:spacing w:after="0"/>
              <w:rPr>
                <w:sz w:val="20"/>
                <w:szCs w:val="20"/>
                <w:color w:val="auto"/>
              </w:rPr>
            </w:pPr>
            <w:r>
              <w:rPr>
                <w:rFonts w:ascii="Arial" w:cs="Arial" w:eastAsia="Arial" w:hAnsi="Arial"/>
                <w:sz w:val="16"/>
                <w:szCs w:val="16"/>
                <w:color w:val="0000EE"/>
              </w:rPr>
              <w:t>13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320" w:type="dxa"/>
            <w:vAlign w:val="bottom"/>
            <w:gridSpan w:val="27"/>
          </w:tcPr>
          <w:p>
            <w:pPr>
              <w:spacing w:after="0"/>
              <w:rPr>
                <w:sz w:val="20"/>
                <w:szCs w:val="20"/>
                <w:color w:val="auto"/>
              </w:rPr>
            </w:pPr>
            <w:r>
              <w:rPr>
                <w:rFonts w:ascii="Arial" w:cs="Arial" w:eastAsia="Arial" w:hAnsi="Arial"/>
                <w:sz w:val="16"/>
                <w:szCs w:val="16"/>
                <w:color w:val="0000EE"/>
              </w:rPr>
              <w:t>Information Regarding Committees of the Board of Directors</w:t>
            </w:r>
          </w:p>
        </w:tc>
        <w:tc>
          <w:tcPr>
            <w:tcW w:w="2500" w:type="dxa"/>
            <w:vAlign w:val="bottom"/>
            <w:gridSpan w:val="10"/>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13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EE"/>
                <w:w w:val="99"/>
              </w:rPr>
              <w:t>Audit Committee</w:t>
            </w:r>
          </w:p>
        </w:tc>
        <w:tc>
          <w:tcPr>
            <w:tcW w:w="3120" w:type="dxa"/>
            <w:vAlign w:val="bottom"/>
            <w:gridSpan w:val="24"/>
          </w:tcPr>
          <w:p>
            <w:pPr>
              <w:spacing w:after="0"/>
              <w:rPr>
                <w:sz w:val="19"/>
                <w:szCs w:val="19"/>
                <w:color w:val="auto"/>
              </w:rPr>
            </w:pPr>
          </w:p>
        </w:tc>
        <w:tc>
          <w:tcPr>
            <w:tcW w:w="2500" w:type="dxa"/>
            <w:vAlign w:val="bottom"/>
            <w:gridSpan w:val="10"/>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14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80" w:type="dxa"/>
            <w:vAlign w:val="bottom"/>
            <w:gridSpan w:val="25"/>
          </w:tcPr>
          <w:p>
            <w:pPr>
              <w:spacing w:after="0"/>
              <w:rPr>
                <w:sz w:val="20"/>
                <w:szCs w:val="20"/>
                <w:color w:val="auto"/>
              </w:rPr>
            </w:pPr>
            <w:r>
              <w:rPr>
                <w:rFonts w:ascii="Arial" w:cs="Arial" w:eastAsia="Arial" w:hAnsi="Arial"/>
                <w:sz w:val="16"/>
                <w:szCs w:val="16"/>
                <w:color w:val="0000EE"/>
              </w:rPr>
              <w:t>Report of the Audit Committee of the Board of Directors</w:t>
            </w:r>
          </w:p>
        </w:tc>
        <w:tc>
          <w:tcPr>
            <w:tcW w:w="2840" w:type="dxa"/>
            <w:vAlign w:val="bottom"/>
            <w:gridSpan w:val="12"/>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15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7"/>
          </w:tcPr>
          <w:p>
            <w:pPr>
              <w:spacing w:after="0"/>
              <w:rPr>
                <w:sz w:val="20"/>
                <w:szCs w:val="20"/>
                <w:color w:val="auto"/>
              </w:rPr>
            </w:pPr>
            <w:r>
              <w:rPr>
                <w:rFonts w:ascii="Arial" w:cs="Arial" w:eastAsia="Arial" w:hAnsi="Arial"/>
                <w:sz w:val="16"/>
                <w:szCs w:val="16"/>
                <w:color w:val="0000EE"/>
                <w:w w:val="96"/>
              </w:rPr>
              <w:t>Compensation Committee</w:t>
            </w:r>
          </w:p>
        </w:tc>
        <w:tc>
          <w:tcPr>
            <w:tcW w:w="2160" w:type="dxa"/>
            <w:vAlign w:val="bottom"/>
            <w:gridSpan w:val="18"/>
          </w:tcPr>
          <w:p>
            <w:pPr>
              <w:spacing w:after="0"/>
              <w:rPr>
                <w:sz w:val="19"/>
                <w:szCs w:val="19"/>
                <w:color w:val="auto"/>
              </w:rPr>
            </w:pPr>
          </w:p>
        </w:tc>
        <w:tc>
          <w:tcPr>
            <w:tcW w:w="2840" w:type="dxa"/>
            <w:vAlign w:val="bottom"/>
            <w:gridSpan w:val="12"/>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15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60" w:type="dxa"/>
            <w:vAlign w:val="bottom"/>
            <w:gridSpan w:val="29"/>
          </w:tcPr>
          <w:p>
            <w:pPr>
              <w:spacing w:after="0"/>
              <w:rPr>
                <w:sz w:val="20"/>
                <w:szCs w:val="20"/>
                <w:color w:val="auto"/>
              </w:rPr>
            </w:pPr>
            <w:r>
              <w:rPr>
                <w:rFonts w:ascii="Arial" w:cs="Arial" w:eastAsia="Arial" w:hAnsi="Arial"/>
                <w:sz w:val="16"/>
                <w:szCs w:val="16"/>
                <w:color w:val="0000EE"/>
              </w:rPr>
              <w:t>Report of the Compensation Committee of the Board of Directors</w:t>
            </w:r>
          </w:p>
        </w:tc>
        <w:tc>
          <w:tcPr>
            <w:tcW w:w="2160" w:type="dxa"/>
            <w:vAlign w:val="bottom"/>
            <w:gridSpan w:val="8"/>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16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0" w:type="dxa"/>
            <w:vAlign w:val="bottom"/>
            <w:gridSpan w:val="28"/>
          </w:tcPr>
          <w:p>
            <w:pPr>
              <w:spacing w:after="0"/>
              <w:rPr>
                <w:sz w:val="20"/>
                <w:szCs w:val="20"/>
                <w:color w:val="auto"/>
              </w:rPr>
            </w:pPr>
            <w:r>
              <w:rPr>
                <w:rFonts w:ascii="Arial" w:cs="Arial" w:eastAsia="Arial" w:hAnsi="Arial"/>
                <w:sz w:val="16"/>
                <w:szCs w:val="16"/>
                <w:color w:val="0000EE"/>
              </w:rPr>
              <w:t>Compensation Committee Interlocks and Insider Participation</w:t>
            </w:r>
          </w:p>
        </w:tc>
        <w:tc>
          <w:tcPr>
            <w:tcW w:w="260" w:type="dxa"/>
            <w:vAlign w:val="bottom"/>
          </w:tcPr>
          <w:p>
            <w:pPr>
              <w:spacing w:after="0"/>
              <w:rPr>
                <w:sz w:val="19"/>
                <w:szCs w:val="19"/>
                <w:color w:val="auto"/>
              </w:rPr>
            </w:pPr>
          </w:p>
        </w:tc>
        <w:tc>
          <w:tcPr>
            <w:tcW w:w="2160" w:type="dxa"/>
            <w:vAlign w:val="bottom"/>
            <w:gridSpan w:val="8"/>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16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60" w:type="dxa"/>
            <w:vAlign w:val="bottom"/>
            <w:gridSpan w:val="23"/>
          </w:tcPr>
          <w:p>
            <w:pPr>
              <w:spacing w:after="0"/>
              <w:rPr>
                <w:sz w:val="20"/>
                <w:szCs w:val="20"/>
                <w:color w:val="auto"/>
              </w:rPr>
            </w:pPr>
            <w:r>
              <w:rPr>
                <w:rFonts w:ascii="Arial" w:cs="Arial" w:eastAsia="Arial" w:hAnsi="Arial"/>
                <w:sz w:val="16"/>
                <w:szCs w:val="16"/>
                <w:color w:val="0000EE"/>
              </w:rPr>
              <w:t>Nominating and Corporate Governance Committee</w:t>
            </w:r>
          </w:p>
        </w:tc>
        <w:tc>
          <w:tcPr>
            <w:tcW w:w="740" w:type="dxa"/>
            <w:vAlign w:val="bottom"/>
            <w:gridSpan w:val="5"/>
          </w:tcPr>
          <w:p>
            <w:pPr>
              <w:spacing w:after="0"/>
              <w:rPr>
                <w:sz w:val="19"/>
                <w:szCs w:val="19"/>
                <w:color w:val="auto"/>
              </w:rPr>
            </w:pPr>
          </w:p>
        </w:tc>
        <w:tc>
          <w:tcPr>
            <w:tcW w:w="2420" w:type="dxa"/>
            <w:vAlign w:val="bottom"/>
            <w:gridSpan w:val="9"/>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16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60" w:type="dxa"/>
            <w:vAlign w:val="bottom"/>
            <w:gridSpan w:val="35"/>
          </w:tcPr>
          <w:p>
            <w:pPr>
              <w:spacing w:after="0"/>
              <w:rPr>
                <w:sz w:val="20"/>
                <w:szCs w:val="20"/>
                <w:color w:val="auto"/>
              </w:rPr>
            </w:pPr>
            <w:r>
              <w:rPr>
                <w:rFonts w:ascii="Arial" w:cs="Arial" w:eastAsia="Arial" w:hAnsi="Arial"/>
                <w:sz w:val="16"/>
                <w:szCs w:val="16"/>
                <w:color w:val="0000EE"/>
              </w:rPr>
              <w:t>Stockholder Communications with the Board of Directors and Engagement with Stockholders</w:t>
            </w:r>
          </w:p>
        </w:tc>
        <w:tc>
          <w:tcPr>
            <w:tcW w:w="1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19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40" w:type="dxa"/>
            <w:vAlign w:val="bottom"/>
            <w:gridSpan w:val="21"/>
          </w:tcPr>
          <w:p>
            <w:pPr>
              <w:spacing w:after="0"/>
              <w:rPr>
                <w:sz w:val="20"/>
                <w:szCs w:val="20"/>
                <w:color w:val="auto"/>
              </w:rPr>
            </w:pPr>
            <w:r>
              <w:rPr>
                <w:rFonts w:ascii="Arial" w:cs="Arial" w:eastAsia="Arial" w:hAnsi="Arial"/>
                <w:sz w:val="16"/>
                <w:szCs w:val="16"/>
                <w:color w:val="0000EE"/>
              </w:rPr>
              <w:t>Environmental, Social, and Governance Matters</w:t>
            </w:r>
          </w:p>
        </w:tc>
        <w:tc>
          <w:tcPr>
            <w:tcW w:w="3220" w:type="dxa"/>
            <w:vAlign w:val="bottom"/>
            <w:gridSpan w:val="14"/>
          </w:tcPr>
          <w:p>
            <w:pPr>
              <w:spacing w:after="0"/>
              <w:rPr>
                <w:sz w:val="19"/>
                <w:szCs w:val="19"/>
                <w:color w:val="auto"/>
              </w:rPr>
            </w:pPr>
          </w:p>
        </w:tc>
        <w:tc>
          <w:tcPr>
            <w:tcW w:w="1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19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720" w:type="dxa"/>
            <w:vAlign w:val="bottom"/>
            <w:gridSpan w:val="14"/>
          </w:tcPr>
          <w:p>
            <w:pPr>
              <w:spacing w:after="0"/>
              <w:rPr>
                <w:sz w:val="20"/>
                <w:szCs w:val="20"/>
                <w:color w:val="auto"/>
              </w:rPr>
            </w:pPr>
            <w:r>
              <w:rPr>
                <w:rFonts w:ascii="Arial" w:cs="Arial" w:eastAsia="Arial" w:hAnsi="Arial"/>
                <w:sz w:val="16"/>
                <w:szCs w:val="16"/>
                <w:color w:val="0000EE"/>
              </w:rPr>
              <w:t>Code of Business Conduct and Ethics</w:t>
            </w:r>
          </w:p>
        </w:tc>
        <w:tc>
          <w:tcPr>
            <w:tcW w:w="720" w:type="dxa"/>
            <w:vAlign w:val="bottom"/>
            <w:gridSpan w:val="7"/>
          </w:tcPr>
          <w:p>
            <w:pPr>
              <w:spacing w:after="0"/>
              <w:rPr>
                <w:sz w:val="19"/>
                <w:szCs w:val="19"/>
                <w:color w:val="auto"/>
              </w:rPr>
            </w:pPr>
          </w:p>
        </w:tc>
        <w:tc>
          <w:tcPr>
            <w:tcW w:w="3380" w:type="dxa"/>
            <w:vAlign w:val="bottom"/>
            <w:gridSpan w:val="16"/>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19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12"/>
          </w:tcPr>
          <w:p>
            <w:pPr>
              <w:spacing w:after="0"/>
              <w:rPr>
                <w:sz w:val="20"/>
                <w:szCs w:val="20"/>
                <w:color w:val="auto"/>
              </w:rPr>
            </w:pPr>
            <w:r>
              <w:rPr>
                <w:rFonts w:ascii="Arial" w:cs="Arial" w:eastAsia="Arial" w:hAnsi="Arial"/>
                <w:sz w:val="16"/>
                <w:szCs w:val="16"/>
                <w:color w:val="0000EE"/>
              </w:rPr>
              <w:t>Corporate Governance Guidelines</w:t>
            </w:r>
          </w:p>
        </w:tc>
        <w:tc>
          <w:tcPr>
            <w:tcW w:w="260" w:type="dxa"/>
            <w:vAlign w:val="bottom"/>
            <w:gridSpan w:val="2"/>
          </w:tcPr>
          <w:p>
            <w:pPr>
              <w:spacing w:after="0"/>
              <w:rPr>
                <w:sz w:val="19"/>
                <w:szCs w:val="19"/>
                <w:color w:val="auto"/>
              </w:rPr>
            </w:pPr>
          </w:p>
        </w:tc>
        <w:tc>
          <w:tcPr>
            <w:tcW w:w="4100" w:type="dxa"/>
            <w:vAlign w:val="bottom"/>
            <w:gridSpan w:val="23"/>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20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7120" w:type="dxa"/>
            <w:vAlign w:val="bottom"/>
            <w:gridSpan w:val="38"/>
          </w:tcPr>
          <w:p>
            <w:pPr>
              <w:ind w:left="20"/>
              <w:spacing w:after="0"/>
              <w:rPr>
                <w:sz w:val="20"/>
                <w:szCs w:val="20"/>
                <w:color w:val="auto"/>
              </w:rPr>
            </w:pPr>
            <w:r>
              <w:rPr>
                <w:rFonts w:ascii="Arial" w:cs="Arial" w:eastAsia="Arial" w:hAnsi="Arial"/>
                <w:sz w:val="16"/>
                <w:szCs w:val="16"/>
                <w:b w:val="1"/>
                <w:bCs w:val="1"/>
                <w:color w:val="0000EE"/>
              </w:rPr>
              <w:t>PROPOSAL NO. 2 RATIFICATION OF SELECTION OF INDEPENDENT REGISTERED PUBLIC</w:t>
            </w:r>
          </w:p>
        </w:tc>
        <w:tc>
          <w:tcPr>
            <w:tcW w:w="2060" w:type="dxa"/>
            <w:vAlign w:val="bottom"/>
            <w:gridSpan w:val="4"/>
            <w:vMerge w:val="restart"/>
          </w:tcPr>
          <w:p>
            <w:pPr>
              <w:jc w:val="right"/>
              <w:ind w:right="1580"/>
              <w:spacing w:after="0"/>
              <w:rPr>
                <w:sz w:val="20"/>
                <w:szCs w:val="20"/>
                <w:color w:val="auto"/>
              </w:rPr>
            </w:pPr>
            <w:r>
              <w:rPr>
                <w:rFonts w:ascii="Arial" w:cs="Arial" w:eastAsia="Arial" w:hAnsi="Arial"/>
                <w:sz w:val="16"/>
                <w:szCs w:val="16"/>
                <w:color w:val="0000EE"/>
              </w:rPr>
              <w:t>21</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7020" w:type="dxa"/>
            <w:vAlign w:val="bottom"/>
            <w:tcBorders>
              <w:top w:val="single" w:sz="8" w:color="0000EE"/>
            </w:tcBorders>
            <w:gridSpan w:val="37"/>
          </w:tcPr>
          <w:p>
            <w:pPr>
              <w:ind w:left="20"/>
              <w:spacing w:after="0" w:line="169" w:lineRule="exact"/>
              <w:rPr>
                <w:sz w:val="20"/>
                <w:szCs w:val="20"/>
                <w:color w:val="auto"/>
              </w:rPr>
            </w:pPr>
            <w:r>
              <w:rPr>
                <w:rFonts w:ascii="Arial" w:cs="Arial" w:eastAsia="Arial" w:hAnsi="Arial"/>
                <w:sz w:val="16"/>
                <w:szCs w:val="16"/>
                <w:b w:val="1"/>
                <w:bCs w:val="1"/>
                <w:color w:val="0000EE"/>
              </w:rPr>
              <w:t>ACCOUNTING FIRM</w:t>
            </w:r>
          </w:p>
        </w:tc>
        <w:tc>
          <w:tcPr>
            <w:tcW w:w="100" w:type="dxa"/>
            <w:vAlign w:val="bottom"/>
          </w:tcPr>
          <w:p>
            <w:pPr>
              <w:spacing w:after="0"/>
              <w:rPr>
                <w:sz w:val="14"/>
                <w:szCs w:val="14"/>
                <w:color w:val="auto"/>
              </w:rPr>
            </w:pPr>
          </w:p>
        </w:tc>
        <w:tc>
          <w:tcPr>
            <w:tcW w:w="20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7120" w:type="dxa"/>
            <w:vAlign w:val="bottom"/>
            <w:gridSpan w:val="38"/>
          </w:tcPr>
          <w:p>
            <w:pPr>
              <w:ind w:left="20"/>
              <w:spacing w:after="0"/>
              <w:rPr>
                <w:sz w:val="20"/>
                <w:szCs w:val="20"/>
                <w:color w:val="auto"/>
              </w:rPr>
            </w:pPr>
            <w:r>
              <w:rPr>
                <w:rFonts w:ascii="Arial" w:cs="Arial" w:eastAsia="Arial" w:hAnsi="Arial"/>
                <w:sz w:val="16"/>
                <w:szCs w:val="16"/>
                <w:b w:val="1"/>
                <w:bCs w:val="1"/>
                <w:color w:val="0000EE"/>
              </w:rPr>
              <w:t>PROPOSAL NO. 3 ADVISORY VOTE ON EXECUTIVE COMPENSATION</w:t>
            </w:r>
          </w:p>
        </w:tc>
        <w:tc>
          <w:tcPr>
            <w:tcW w:w="2060" w:type="dxa"/>
            <w:vAlign w:val="bottom"/>
            <w:gridSpan w:val="4"/>
          </w:tcPr>
          <w:p>
            <w:pPr>
              <w:jc w:val="right"/>
              <w:ind w:right="1580"/>
              <w:spacing w:after="0"/>
              <w:rPr>
                <w:sz w:val="20"/>
                <w:szCs w:val="20"/>
                <w:color w:val="auto"/>
              </w:rPr>
            </w:pPr>
            <w:r>
              <w:rPr>
                <w:rFonts w:ascii="Arial" w:cs="Arial" w:eastAsia="Arial" w:hAnsi="Arial"/>
                <w:sz w:val="16"/>
                <w:szCs w:val="16"/>
                <w:color w:val="0000EE"/>
              </w:rPr>
              <w:t>23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7120" w:type="dxa"/>
            <w:vAlign w:val="bottom"/>
            <w:gridSpan w:val="38"/>
          </w:tcPr>
          <w:p>
            <w:pPr>
              <w:ind w:left="20"/>
              <w:spacing w:after="0"/>
              <w:rPr>
                <w:sz w:val="20"/>
                <w:szCs w:val="20"/>
                <w:color w:val="auto"/>
              </w:rPr>
            </w:pPr>
            <w:r>
              <w:rPr>
                <w:rFonts w:ascii="Arial" w:cs="Arial" w:eastAsia="Arial" w:hAnsi="Arial"/>
                <w:sz w:val="16"/>
                <w:szCs w:val="16"/>
                <w:b w:val="1"/>
                <w:bCs w:val="1"/>
                <w:color w:val="0000EE"/>
              </w:rPr>
              <w:t>SECURITY OWNERSHIP OF CERTAIN BENEFICIAL OWNERS AND MANAGEMENT AND</w:t>
            </w:r>
          </w:p>
        </w:tc>
        <w:tc>
          <w:tcPr>
            <w:tcW w:w="300" w:type="dxa"/>
            <w:vAlign w:val="bottom"/>
            <w:vMerge w:val="restart"/>
          </w:tcPr>
          <w:p>
            <w:pPr>
              <w:spacing w:after="0"/>
              <w:rPr>
                <w:sz w:val="19"/>
                <w:szCs w:val="19"/>
                <w:color w:val="auto"/>
              </w:rPr>
            </w:pPr>
          </w:p>
        </w:tc>
        <w:tc>
          <w:tcPr>
            <w:tcW w:w="1760" w:type="dxa"/>
            <w:vAlign w:val="bottom"/>
            <w:gridSpan w:val="3"/>
            <w:vMerge w:val="restart"/>
          </w:tcPr>
          <w:p>
            <w:pPr>
              <w:jc w:val="right"/>
              <w:ind w:right="1580"/>
              <w:spacing w:after="0"/>
              <w:rPr>
                <w:sz w:val="20"/>
                <w:szCs w:val="20"/>
                <w:color w:val="auto"/>
              </w:rPr>
            </w:pPr>
            <w:r>
              <w:rPr>
                <w:rFonts w:ascii="Arial" w:cs="Arial" w:eastAsia="Arial" w:hAnsi="Arial"/>
                <w:sz w:val="16"/>
                <w:szCs w:val="16"/>
                <w:color w:val="0000EE"/>
                <w:w w:val="89"/>
              </w:rPr>
              <w:t>24</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2880" w:type="dxa"/>
            <w:vAlign w:val="bottom"/>
            <w:tcBorders>
              <w:top w:val="single" w:sz="8" w:color="0000EE"/>
            </w:tcBorders>
            <w:gridSpan w:val="14"/>
          </w:tcPr>
          <w:p>
            <w:pPr>
              <w:ind w:left="20"/>
              <w:spacing w:after="0" w:line="169" w:lineRule="exact"/>
              <w:rPr>
                <w:sz w:val="20"/>
                <w:szCs w:val="20"/>
                <w:color w:val="auto"/>
              </w:rPr>
            </w:pPr>
            <w:r>
              <w:rPr>
                <w:rFonts w:ascii="Arial" w:cs="Arial" w:eastAsia="Arial" w:hAnsi="Arial"/>
                <w:sz w:val="16"/>
                <w:szCs w:val="16"/>
                <w:b w:val="1"/>
                <w:bCs w:val="1"/>
                <w:color w:val="0000EE"/>
                <w:w w:val="98"/>
              </w:rPr>
              <w:t>RELATED STOCKHOLDER MATTERS</w:t>
            </w:r>
          </w:p>
        </w:tc>
        <w:tc>
          <w:tcPr>
            <w:tcW w:w="3820" w:type="dxa"/>
            <w:vAlign w:val="bottom"/>
            <w:tcBorders>
              <w:top w:val="single" w:sz="8" w:color="0000EE"/>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30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1740" w:type="dxa"/>
            <w:vAlign w:val="bottom"/>
            <w:gridSpan w:val="6"/>
          </w:tcPr>
          <w:p>
            <w:pPr>
              <w:ind w:left="20"/>
              <w:spacing w:after="0"/>
              <w:rPr>
                <w:sz w:val="20"/>
                <w:szCs w:val="20"/>
                <w:color w:val="auto"/>
              </w:rPr>
            </w:pPr>
            <w:r>
              <w:rPr>
                <w:rFonts w:ascii="Arial" w:cs="Arial" w:eastAsia="Arial" w:hAnsi="Arial"/>
                <w:sz w:val="16"/>
                <w:szCs w:val="16"/>
                <w:b w:val="1"/>
                <w:bCs w:val="1"/>
                <w:color w:val="0000EE"/>
                <w:w w:val="95"/>
              </w:rPr>
              <w:t>EXECUTIVE OFFICERS</w:t>
            </w:r>
          </w:p>
        </w:tc>
        <w:tc>
          <w:tcPr>
            <w:tcW w:w="1140" w:type="dxa"/>
            <w:vAlign w:val="bottom"/>
            <w:gridSpan w:val="8"/>
          </w:tcPr>
          <w:p>
            <w:pPr>
              <w:spacing w:after="0"/>
              <w:rPr>
                <w:sz w:val="19"/>
                <w:szCs w:val="19"/>
                <w:color w:val="auto"/>
              </w:rPr>
            </w:pPr>
          </w:p>
        </w:tc>
        <w:tc>
          <w:tcPr>
            <w:tcW w:w="4240" w:type="dxa"/>
            <w:vAlign w:val="bottom"/>
            <w:gridSpan w:val="24"/>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26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7120" w:type="dxa"/>
            <w:vAlign w:val="bottom"/>
            <w:gridSpan w:val="38"/>
          </w:tcPr>
          <w:p>
            <w:pPr>
              <w:ind w:left="20"/>
              <w:spacing w:after="0"/>
              <w:rPr>
                <w:sz w:val="20"/>
                <w:szCs w:val="20"/>
                <w:color w:val="auto"/>
              </w:rPr>
            </w:pPr>
            <w:r>
              <w:rPr>
                <w:rFonts w:ascii="Arial" w:cs="Arial" w:eastAsia="Arial" w:hAnsi="Arial"/>
                <w:sz w:val="16"/>
                <w:szCs w:val="16"/>
                <w:b w:val="1"/>
                <w:bCs w:val="1"/>
                <w:color w:val="0000EE"/>
              </w:rPr>
              <w:t>EXECUTIVE COMPENSATION</w:t>
            </w:r>
          </w:p>
        </w:tc>
        <w:tc>
          <w:tcPr>
            <w:tcW w:w="2060" w:type="dxa"/>
            <w:vAlign w:val="bottom"/>
            <w:gridSpan w:val="4"/>
          </w:tcPr>
          <w:p>
            <w:pPr>
              <w:jc w:val="right"/>
              <w:ind w:right="1580"/>
              <w:spacing w:after="0"/>
              <w:rPr>
                <w:sz w:val="20"/>
                <w:szCs w:val="20"/>
                <w:color w:val="auto"/>
              </w:rPr>
            </w:pPr>
            <w:r>
              <w:rPr>
                <w:rFonts w:ascii="Arial" w:cs="Arial" w:eastAsia="Arial" w:hAnsi="Arial"/>
                <w:sz w:val="16"/>
                <w:szCs w:val="16"/>
                <w:color w:val="0000EE"/>
              </w:rPr>
              <w:t>27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40" w:type="dxa"/>
            <w:vAlign w:val="bottom"/>
            <w:gridSpan w:val="16"/>
          </w:tcPr>
          <w:p>
            <w:pPr>
              <w:spacing w:after="0"/>
              <w:rPr>
                <w:sz w:val="20"/>
                <w:szCs w:val="20"/>
                <w:color w:val="auto"/>
              </w:rPr>
            </w:pPr>
            <w:r>
              <w:rPr>
                <w:rFonts w:ascii="Arial" w:cs="Arial" w:eastAsia="Arial" w:hAnsi="Arial"/>
                <w:sz w:val="16"/>
                <w:szCs w:val="16"/>
                <w:color w:val="0000EE"/>
                <w:w w:val="99"/>
              </w:rPr>
              <w:t>Compensation Discussion and Analysis</w:t>
            </w:r>
          </w:p>
        </w:tc>
        <w:tc>
          <w:tcPr>
            <w:tcW w:w="3980" w:type="dxa"/>
            <w:vAlign w:val="bottom"/>
            <w:gridSpan w:val="21"/>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27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5"/>
          </w:tcPr>
          <w:p>
            <w:pPr>
              <w:spacing w:after="0"/>
              <w:rPr>
                <w:sz w:val="20"/>
                <w:szCs w:val="20"/>
                <w:color w:val="auto"/>
              </w:rPr>
            </w:pPr>
            <w:r>
              <w:rPr>
                <w:rFonts w:ascii="Arial" w:cs="Arial" w:eastAsia="Arial" w:hAnsi="Arial"/>
                <w:sz w:val="16"/>
                <w:szCs w:val="16"/>
                <w:color w:val="0000EE"/>
                <w:w w:val="98"/>
              </w:rPr>
              <w:t>Executive Summary</w:t>
            </w:r>
          </w:p>
        </w:tc>
        <w:tc>
          <w:tcPr>
            <w:tcW w:w="1400" w:type="dxa"/>
            <w:vAlign w:val="bottom"/>
            <w:gridSpan w:val="11"/>
          </w:tcPr>
          <w:p>
            <w:pPr>
              <w:spacing w:after="0"/>
              <w:rPr>
                <w:sz w:val="19"/>
                <w:szCs w:val="19"/>
                <w:color w:val="auto"/>
              </w:rPr>
            </w:pPr>
          </w:p>
        </w:tc>
        <w:tc>
          <w:tcPr>
            <w:tcW w:w="3980" w:type="dxa"/>
            <w:vAlign w:val="bottom"/>
            <w:gridSpan w:val="21"/>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27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20" w:type="dxa"/>
            <w:vAlign w:val="bottom"/>
            <w:gridSpan w:val="37"/>
          </w:tcPr>
          <w:p>
            <w:pPr>
              <w:spacing w:after="0"/>
              <w:rPr>
                <w:sz w:val="20"/>
                <w:szCs w:val="20"/>
                <w:color w:val="auto"/>
              </w:rPr>
            </w:pPr>
            <w:r>
              <w:rPr>
                <w:rFonts w:ascii="Arial" w:cs="Arial" w:eastAsia="Arial" w:hAnsi="Arial"/>
                <w:sz w:val="16"/>
                <w:szCs w:val="16"/>
                <w:color w:val="0000EE"/>
              </w:rPr>
              <w:t>2025 Chief Executive Officer and Leadership Transitions</w:t>
            </w:r>
          </w:p>
        </w:tc>
        <w:tc>
          <w:tcPr>
            <w:tcW w:w="2060" w:type="dxa"/>
            <w:vAlign w:val="bottom"/>
            <w:gridSpan w:val="4"/>
          </w:tcPr>
          <w:p>
            <w:pPr>
              <w:jc w:val="right"/>
              <w:ind w:right="1580"/>
              <w:spacing w:after="0"/>
              <w:rPr>
                <w:sz w:val="20"/>
                <w:szCs w:val="20"/>
                <w:color w:val="auto"/>
              </w:rPr>
            </w:pPr>
            <w:r>
              <w:rPr>
                <w:rFonts w:ascii="Arial" w:cs="Arial" w:eastAsia="Arial" w:hAnsi="Arial"/>
                <w:sz w:val="16"/>
                <w:szCs w:val="16"/>
                <w:color w:val="0000EE"/>
              </w:rPr>
              <w:t>27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80" w:type="dxa"/>
            <w:vAlign w:val="bottom"/>
            <w:gridSpan w:val="7"/>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gridSpan w:val="7"/>
          </w:tcPr>
          <w:p>
            <w:pPr>
              <w:spacing w:after="0"/>
              <w:rPr>
                <w:sz w:val="20"/>
                <w:szCs w:val="20"/>
                <w:color w:val="auto"/>
              </w:rPr>
            </w:pPr>
            <w:r>
              <w:rPr>
                <w:rFonts w:ascii="Arial" w:cs="Arial" w:eastAsia="Arial" w:hAnsi="Arial"/>
                <w:sz w:val="16"/>
                <w:szCs w:val="16"/>
                <w:color w:val="0000EE"/>
                <w:w w:val="99"/>
              </w:rPr>
              <w:t>2025 Business Highlights</w:t>
            </w:r>
          </w:p>
        </w:tc>
        <w:tc>
          <w:tcPr>
            <w:tcW w:w="2220" w:type="dxa"/>
            <w:vAlign w:val="bottom"/>
            <w:gridSpan w:val="19"/>
          </w:tcPr>
          <w:p>
            <w:pPr>
              <w:spacing w:after="0"/>
              <w:rPr>
                <w:sz w:val="19"/>
                <w:szCs w:val="19"/>
                <w:color w:val="auto"/>
              </w:rPr>
            </w:pPr>
          </w:p>
        </w:tc>
        <w:tc>
          <w:tcPr>
            <w:tcW w:w="2780" w:type="dxa"/>
            <w:vAlign w:val="bottom"/>
            <w:gridSpan w:val="11"/>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27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20" w:type="dxa"/>
            <w:vAlign w:val="bottom"/>
            <w:gridSpan w:val="37"/>
          </w:tcPr>
          <w:p>
            <w:pPr>
              <w:spacing w:after="0"/>
              <w:rPr>
                <w:sz w:val="20"/>
                <w:szCs w:val="20"/>
                <w:color w:val="auto"/>
              </w:rPr>
            </w:pPr>
            <w:r>
              <w:rPr>
                <w:rFonts w:ascii="Arial" w:cs="Arial" w:eastAsia="Arial" w:hAnsi="Arial"/>
                <w:sz w:val="16"/>
                <w:szCs w:val="16"/>
                <w:color w:val="0000EE"/>
              </w:rPr>
              <w:t>2025 “Say-on-Pay” Advisory Stockholder Vote on Executive Compensation &amp; Stockholder</w:t>
            </w:r>
          </w:p>
        </w:tc>
        <w:tc>
          <w:tcPr>
            <w:tcW w:w="300" w:type="dxa"/>
            <w:vAlign w:val="bottom"/>
            <w:vMerge w:val="restart"/>
          </w:tcPr>
          <w:p>
            <w:pPr>
              <w:spacing w:after="0"/>
              <w:rPr>
                <w:sz w:val="19"/>
                <w:szCs w:val="19"/>
                <w:color w:val="auto"/>
              </w:rPr>
            </w:pPr>
          </w:p>
        </w:tc>
        <w:tc>
          <w:tcPr>
            <w:tcW w:w="1760" w:type="dxa"/>
            <w:vAlign w:val="bottom"/>
            <w:gridSpan w:val="3"/>
            <w:vMerge w:val="restart"/>
          </w:tcPr>
          <w:p>
            <w:pPr>
              <w:jc w:val="right"/>
              <w:ind w:right="1580"/>
              <w:spacing w:after="0"/>
              <w:rPr>
                <w:sz w:val="20"/>
                <w:szCs w:val="20"/>
                <w:color w:val="auto"/>
              </w:rPr>
            </w:pPr>
            <w:r>
              <w:rPr>
                <w:rFonts w:ascii="Arial" w:cs="Arial" w:eastAsia="Arial" w:hAnsi="Arial"/>
                <w:sz w:val="16"/>
                <w:szCs w:val="16"/>
                <w:color w:val="0000EE"/>
                <w:w w:val="89"/>
              </w:rPr>
              <w:t>28</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top w:val="single" w:sz="8" w:color="0000EE"/>
            </w:tcBorders>
            <w:gridSpan w:val="2"/>
          </w:tcPr>
          <w:p>
            <w:pPr>
              <w:spacing w:after="0" w:line="169" w:lineRule="exact"/>
              <w:rPr>
                <w:sz w:val="20"/>
                <w:szCs w:val="20"/>
                <w:color w:val="auto"/>
              </w:rPr>
            </w:pPr>
            <w:r>
              <w:rPr>
                <w:rFonts w:ascii="Arial" w:cs="Arial" w:eastAsia="Arial" w:hAnsi="Arial"/>
                <w:sz w:val="16"/>
                <w:szCs w:val="16"/>
                <w:color w:val="0000EE"/>
                <w:w w:val="99"/>
              </w:rPr>
              <w:t>Engagement</w:t>
            </w:r>
          </w:p>
        </w:tc>
        <w:tc>
          <w:tcPr>
            <w:tcW w:w="5500" w:type="dxa"/>
            <w:vAlign w:val="bottom"/>
            <w:tcBorders>
              <w:top w:val="single" w:sz="8" w:color="0000EE"/>
            </w:tcBorders>
            <w:gridSpan w:val="31"/>
          </w:tcPr>
          <w:p>
            <w:pPr>
              <w:spacing w:after="0"/>
              <w:rPr>
                <w:sz w:val="14"/>
                <w:szCs w:val="14"/>
                <w:color w:val="auto"/>
              </w:rPr>
            </w:pPr>
          </w:p>
        </w:tc>
        <w:tc>
          <w:tcPr>
            <w:tcW w:w="240" w:type="dxa"/>
            <w:vAlign w:val="bottom"/>
            <w:gridSpan w:val="2"/>
          </w:tcPr>
          <w:p>
            <w:pPr>
              <w:spacing w:after="0"/>
              <w:rPr>
                <w:sz w:val="14"/>
                <w:szCs w:val="14"/>
                <w:color w:val="auto"/>
              </w:rPr>
            </w:pPr>
          </w:p>
        </w:tc>
        <w:tc>
          <w:tcPr>
            <w:tcW w:w="160" w:type="dxa"/>
            <w:vAlign w:val="bottom"/>
            <w:gridSpan w:val="2"/>
          </w:tcPr>
          <w:p>
            <w:pPr>
              <w:spacing w:after="0"/>
              <w:rPr>
                <w:sz w:val="14"/>
                <w:szCs w:val="14"/>
                <w:color w:val="auto"/>
              </w:rPr>
            </w:pPr>
          </w:p>
        </w:tc>
        <w:tc>
          <w:tcPr>
            <w:tcW w:w="30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10"/>
          </w:tcPr>
          <w:p>
            <w:pPr>
              <w:spacing w:after="0"/>
              <w:rPr>
                <w:sz w:val="20"/>
                <w:szCs w:val="20"/>
                <w:color w:val="auto"/>
              </w:rPr>
            </w:pPr>
            <w:r>
              <w:rPr>
                <w:rFonts w:ascii="Arial" w:cs="Arial" w:eastAsia="Arial" w:hAnsi="Arial"/>
                <w:sz w:val="16"/>
                <w:szCs w:val="16"/>
                <w:color w:val="0000EE"/>
                <w:w w:val="99"/>
              </w:rPr>
              <w:t>2025 Compensation Highlights</w:t>
            </w:r>
          </w:p>
        </w:tc>
        <w:tc>
          <w:tcPr>
            <w:tcW w:w="4620" w:type="dxa"/>
            <w:vAlign w:val="bottom"/>
            <w:gridSpan w:val="27"/>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31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17"/>
          </w:tcPr>
          <w:p>
            <w:pPr>
              <w:spacing w:after="0"/>
              <w:rPr>
                <w:sz w:val="20"/>
                <w:szCs w:val="20"/>
                <w:color w:val="auto"/>
              </w:rPr>
            </w:pPr>
            <w:r>
              <w:rPr>
                <w:rFonts w:ascii="Arial" w:cs="Arial" w:eastAsia="Arial" w:hAnsi="Arial"/>
                <w:sz w:val="16"/>
                <w:szCs w:val="16"/>
                <w:color w:val="0000EE"/>
                <w:w w:val="99"/>
              </w:rPr>
              <w:t>Preview of Changes for Fiscal Year 2026</w:t>
            </w:r>
          </w:p>
        </w:tc>
        <w:tc>
          <w:tcPr>
            <w:tcW w:w="3900" w:type="dxa"/>
            <w:vAlign w:val="bottom"/>
            <w:gridSpan w:val="20"/>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31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18"/>
          </w:tcPr>
          <w:p>
            <w:pPr>
              <w:spacing w:after="0"/>
              <w:rPr>
                <w:sz w:val="20"/>
                <w:szCs w:val="20"/>
                <w:color w:val="auto"/>
              </w:rPr>
            </w:pPr>
            <w:r>
              <w:rPr>
                <w:rFonts w:ascii="Arial" w:cs="Arial" w:eastAsia="Arial" w:hAnsi="Arial"/>
                <w:sz w:val="16"/>
                <w:szCs w:val="16"/>
                <w:color w:val="0000EE"/>
              </w:rPr>
              <w:t>Compensation Philosophy and Objectives</w:t>
            </w:r>
          </w:p>
        </w:tc>
        <w:tc>
          <w:tcPr>
            <w:tcW w:w="3820" w:type="dxa"/>
            <w:vAlign w:val="bottom"/>
            <w:gridSpan w:val="19"/>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32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20" w:type="dxa"/>
            <w:vAlign w:val="bottom"/>
            <w:gridSpan w:val="37"/>
          </w:tcPr>
          <w:p>
            <w:pPr>
              <w:spacing w:after="0"/>
              <w:rPr>
                <w:sz w:val="20"/>
                <w:szCs w:val="20"/>
                <w:color w:val="auto"/>
              </w:rPr>
            </w:pPr>
            <w:r>
              <w:rPr>
                <w:rFonts w:ascii="Arial" w:cs="Arial" w:eastAsia="Arial" w:hAnsi="Arial"/>
                <w:sz w:val="16"/>
                <w:szCs w:val="16"/>
                <w:color w:val="0000EE"/>
              </w:rPr>
              <w:t>Executive Compensation Program Design</w:t>
            </w:r>
          </w:p>
        </w:tc>
        <w:tc>
          <w:tcPr>
            <w:tcW w:w="2060" w:type="dxa"/>
            <w:vAlign w:val="bottom"/>
            <w:gridSpan w:val="4"/>
          </w:tcPr>
          <w:p>
            <w:pPr>
              <w:jc w:val="right"/>
              <w:ind w:right="1580"/>
              <w:spacing w:after="0"/>
              <w:rPr>
                <w:sz w:val="20"/>
                <w:szCs w:val="20"/>
                <w:color w:val="auto"/>
              </w:rPr>
            </w:pPr>
            <w:r>
              <w:rPr>
                <w:rFonts w:ascii="Arial" w:cs="Arial" w:eastAsia="Arial" w:hAnsi="Arial"/>
                <w:sz w:val="16"/>
                <w:szCs w:val="16"/>
                <w:color w:val="0000EE"/>
              </w:rPr>
              <w:t>33</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20" w:type="dxa"/>
            <w:vAlign w:val="bottom"/>
            <w:gridSpan w:val="11"/>
          </w:tcPr>
          <w:p>
            <w:pPr>
              <w:spacing w:after="0"/>
              <w:rPr>
                <w:sz w:val="20"/>
                <w:szCs w:val="20"/>
                <w:color w:val="auto"/>
              </w:rPr>
            </w:pPr>
            <w:r>
              <w:rPr>
                <w:rFonts w:ascii="Arial" w:cs="Arial" w:eastAsia="Arial" w:hAnsi="Arial"/>
                <w:sz w:val="16"/>
                <w:szCs w:val="16"/>
                <w:color w:val="0000EE"/>
                <w:w w:val="99"/>
              </w:rPr>
              <w:t>Fiscal Year 2025 Target Pay Mix</w:t>
            </w:r>
          </w:p>
        </w:tc>
        <w:tc>
          <w:tcPr>
            <w:tcW w:w="680" w:type="dxa"/>
            <w:vAlign w:val="bottom"/>
            <w:gridSpan w:val="7"/>
          </w:tcPr>
          <w:p>
            <w:pPr>
              <w:spacing w:after="0"/>
              <w:rPr>
                <w:sz w:val="19"/>
                <w:szCs w:val="19"/>
                <w:color w:val="auto"/>
              </w:rPr>
            </w:pPr>
          </w:p>
        </w:tc>
        <w:tc>
          <w:tcPr>
            <w:tcW w:w="3820" w:type="dxa"/>
            <w:vAlign w:val="bottom"/>
            <w:gridSpan w:val="19"/>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34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17"/>
          </w:tcPr>
          <w:p>
            <w:pPr>
              <w:spacing w:after="0"/>
              <w:rPr>
                <w:sz w:val="20"/>
                <w:szCs w:val="20"/>
                <w:color w:val="auto"/>
              </w:rPr>
            </w:pPr>
            <w:r>
              <w:rPr>
                <w:rFonts w:ascii="Arial" w:cs="Arial" w:eastAsia="Arial" w:hAnsi="Arial"/>
                <w:sz w:val="16"/>
                <w:szCs w:val="16"/>
                <w:color w:val="0000EE"/>
                <w:w w:val="99"/>
              </w:rPr>
              <w:t>Compensation Decision-Making Process</w:t>
            </w:r>
          </w:p>
        </w:tc>
        <w:tc>
          <w:tcPr>
            <w:tcW w:w="3900" w:type="dxa"/>
            <w:vAlign w:val="bottom"/>
            <w:gridSpan w:val="20"/>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35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4"/>
            <w:shd w:val="clear" w:color="auto" w:fill="0000EE"/>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20" w:type="dxa"/>
            <w:vAlign w:val="bottom"/>
            <w:gridSpan w:val="17"/>
          </w:tcPr>
          <w:p>
            <w:pPr>
              <w:spacing w:after="0"/>
              <w:rPr>
                <w:sz w:val="20"/>
                <w:szCs w:val="20"/>
                <w:color w:val="auto"/>
              </w:rPr>
            </w:pPr>
            <w:r>
              <w:rPr>
                <w:rFonts w:ascii="Arial" w:cs="Arial" w:eastAsia="Arial" w:hAnsi="Arial"/>
                <w:sz w:val="16"/>
                <w:szCs w:val="16"/>
                <w:color w:val="0000EE"/>
              </w:rPr>
              <w:t>Principal Elements of Compensation</w:t>
            </w:r>
          </w:p>
        </w:tc>
        <w:tc>
          <w:tcPr>
            <w:tcW w:w="3900" w:type="dxa"/>
            <w:vAlign w:val="bottom"/>
            <w:gridSpan w:val="20"/>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37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9"/>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gridSpan w:val="24"/>
          </w:tcPr>
          <w:p>
            <w:pPr>
              <w:spacing w:after="0"/>
              <w:rPr>
                <w:sz w:val="20"/>
                <w:szCs w:val="20"/>
                <w:color w:val="auto"/>
              </w:rPr>
            </w:pPr>
            <w:r>
              <w:rPr>
                <w:rFonts w:ascii="Arial" w:cs="Arial" w:eastAsia="Arial" w:hAnsi="Arial"/>
                <w:sz w:val="16"/>
                <w:szCs w:val="16"/>
                <w:color w:val="0000EE"/>
                <w:w w:val="99"/>
              </w:rPr>
              <w:t>Fiscal Year 2025 Annual Long-Term Incentive Equity</w:t>
            </w:r>
          </w:p>
        </w:tc>
        <w:tc>
          <w:tcPr>
            <w:tcW w:w="3060" w:type="dxa"/>
            <w:vAlign w:val="bottom"/>
            <w:gridSpan w:val="13"/>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40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9"/>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900" w:type="dxa"/>
            <w:vAlign w:val="bottom"/>
            <w:gridSpan w:val="11"/>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760" w:type="dxa"/>
            <w:vAlign w:val="bottom"/>
            <w:gridSpan w:val="24"/>
          </w:tcPr>
          <w:p>
            <w:pPr>
              <w:spacing w:after="0"/>
              <w:rPr>
                <w:sz w:val="20"/>
                <w:szCs w:val="20"/>
                <w:color w:val="auto"/>
              </w:rPr>
            </w:pPr>
            <w:r>
              <w:rPr>
                <w:rFonts w:ascii="Arial" w:cs="Arial" w:eastAsia="Arial" w:hAnsi="Arial"/>
                <w:sz w:val="16"/>
                <w:szCs w:val="16"/>
                <w:color w:val="0000EE"/>
              </w:rPr>
              <w:t>Additional Information</w:t>
            </w:r>
          </w:p>
        </w:tc>
        <w:tc>
          <w:tcPr>
            <w:tcW w:w="3060" w:type="dxa"/>
            <w:vAlign w:val="bottom"/>
            <w:gridSpan w:val="13"/>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44</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60" w:type="dxa"/>
            <w:vAlign w:val="bottom"/>
            <w:tcBorders>
              <w:left w:val="single" w:sz="8" w:color="0000EE"/>
            </w:tcBorders>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3100" w:type="dxa"/>
            <w:vAlign w:val="bottom"/>
            <w:gridSpan w:val="1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gridSpan w:val="6"/>
          </w:tcPr>
          <w:p>
            <w:pPr>
              <w:spacing w:after="0"/>
              <w:rPr>
                <w:sz w:val="20"/>
                <w:szCs w:val="20"/>
                <w:color w:val="auto"/>
              </w:rPr>
            </w:pPr>
            <w:r>
              <w:rPr>
                <w:rFonts w:ascii="Arial" w:cs="Arial" w:eastAsia="Arial" w:hAnsi="Arial"/>
                <w:sz w:val="16"/>
                <w:szCs w:val="16"/>
                <w:color w:val="0000EE"/>
              </w:rPr>
              <w:t>401(k) Plan</w:t>
            </w:r>
          </w:p>
        </w:tc>
        <w:tc>
          <w:tcPr>
            <w:tcW w:w="5280" w:type="dxa"/>
            <w:vAlign w:val="bottom"/>
            <w:gridSpan w:val="31"/>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45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80" w:type="dxa"/>
            <w:vAlign w:val="bottom"/>
            <w:gridSpan w:val="9"/>
          </w:tcPr>
          <w:p>
            <w:pPr>
              <w:spacing w:after="0" w:line="20" w:lineRule="exact"/>
              <w:rPr>
                <w:sz w:val="1"/>
                <w:szCs w:val="1"/>
                <w:color w:val="auto"/>
              </w:rPr>
            </w:pPr>
          </w:p>
        </w:tc>
        <w:tc>
          <w:tcPr>
            <w:tcW w:w="3100" w:type="dxa"/>
            <w:vAlign w:val="bottom"/>
            <w:gridSpan w:val="1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gridSpan w:val="22"/>
          </w:tcPr>
          <w:p>
            <w:pPr>
              <w:spacing w:after="0"/>
              <w:rPr>
                <w:sz w:val="20"/>
                <w:szCs w:val="20"/>
                <w:color w:val="auto"/>
              </w:rPr>
            </w:pPr>
            <w:r>
              <w:rPr>
                <w:rFonts w:ascii="Arial" w:cs="Arial" w:eastAsia="Arial" w:hAnsi="Arial"/>
                <w:sz w:val="16"/>
                <w:szCs w:val="16"/>
                <w:color w:val="0000EE"/>
              </w:rPr>
              <w:t>Executive Change in Control and Severance Plan</w:t>
            </w:r>
          </w:p>
        </w:tc>
        <w:tc>
          <w:tcPr>
            <w:tcW w:w="3260" w:type="dxa"/>
            <w:vAlign w:val="bottom"/>
            <w:gridSpan w:val="15"/>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45</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980" w:type="dxa"/>
            <w:vAlign w:val="bottom"/>
            <w:tcBorders>
              <w:left w:val="single" w:sz="8" w:color="0000EE"/>
            </w:tcBorders>
            <w:gridSpan w:val="9"/>
            <w:shd w:val="clear" w:color="auto" w:fill="0000EE"/>
          </w:tcPr>
          <w:p>
            <w:pPr>
              <w:spacing w:after="0" w:line="20" w:lineRule="exact"/>
              <w:rPr>
                <w:sz w:val="1"/>
                <w:szCs w:val="1"/>
                <w:color w:val="auto"/>
              </w:rPr>
            </w:pPr>
          </w:p>
        </w:tc>
        <w:tc>
          <w:tcPr>
            <w:tcW w:w="3100" w:type="dxa"/>
            <w:vAlign w:val="bottom"/>
            <w:gridSpan w:val="1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560" w:type="dxa"/>
            <w:vAlign w:val="bottom"/>
            <w:gridSpan w:val="22"/>
          </w:tcPr>
          <w:p>
            <w:pPr>
              <w:spacing w:after="0"/>
              <w:rPr>
                <w:sz w:val="20"/>
                <w:szCs w:val="20"/>
                <w:color w:val="auto"/>
              </w:rPr>
            </w:pPr>
            <w:r>
              <w:rPr>
                <w:rFonts w:ascii="Arial" w:cs="Arial" w:eastAsia="Arial" w:hAnsi="Arial"/>
                <w:sz w:val="16"/>
                <w:szCs w:val="16"/>
                <w:color w:val="0000EE"/>
              </w:rPr>
              <w:t>Employee Stock Purchase Plan</w:t>
            </w:r>
          </w:p>
        </w:tc>
        <w:tc>
          <w:tcPr>
            <w:tcW w:w="3260" w:type="dxa"/>
            <w:vAlign w:val="bottom"/>
            <w:gridSpan w:val="15"/>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46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660" w:type="dxa"/>
            <w:vAlign w:val="bottom"/>
            <w:tcBorders>
              <w:left w:val="single" w:sz="8" w:color="0000EE"/>
            </w:tcBorders>
            <w:gridSpan w:val="4"/>
            <w:shd w:val="clear" w:color="auto" w:fill="0000EE"/>
          </w:tcPr>
          <w:p>
            <w:pPr>
              <w:spacing w:after="0" w:line="20" w:lineRule="exact"/>
              <w:rPr>
                <w:sz w:val="1"/>
                <w:szCs w:val="1"/>
                <w:color w:val="auto"/>
              </w:rPr>
            </w:pPr>
          </w:p>
        </w:tc>
        <w:tc>
          <w:tcPr>
            <w:tcW w:w="380" w:type="dxa"/>
            <w:vAlign w:val="bottom"/>
            <w:tcBorders>
              <w:left w:val="single" w:sz="8" w:color="0000EE"/>
            </w:tcBorders>
            <w:gridSpan w:val="3"/>
          </w:tcPr>
          <w:p>
            <w:pPr>
              <w:spacing w:after="0" w:line="20" w:lineRule="exact"/>
              <w:rPr>
                <w:sz w:val="1"/>
                <w:szCs w:val="1"/>
                <w:color w:val="auto"/>
              </w:rPr>
            </w:pPr>
          </w:p>
        </w:tc>
        <w:tc>
          <w:tcPr>
            <w:tcW w:w="4080" w:type="dxa"/>
            <w:vAlign w:val="bottom"/>
            <w:gridSpan w:val="2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0" w:type="dxa"/>
            <w:vAlign w:val="bottom"/>
            <w:gridSpan w:val="10"/>
          </w:tcPr>
          <w:p>
            <w:pPr>
              <w:spacing w:after="0"/>
              <w:rPr>
                <w:sz w:val="20"/>
                <w:szCs w:val="20"/>
                <w:color w:val="auto"/>
              </w:rPr>
            </w:pPr>
            <w:r>
              <w:rPr>
                <w:rFonts w:ascii="Arial" w:cs="Arial" w:eastAsia="Arial" w:hAnsi="Arial"/>
                <w:sz w:val="16"/>
                <w:szCs w:val="16"/>
                <w:color w:val="0000EE"/>
              </w:rPr>
              <w:t>Insider Trading Policy</w:t>
            </w:r>
          </w:p>
        </w:tc>
        <w:tc>
          <w:tcPr>
            <w:tcW w:w="4620" w:type="dxa"/>
            <w:vAlign w:val="bottom"/>
            <w:gridSpan w:val="27"/>
          </w:tcPr>
          <w:p>
            <w:pPr>
              <w:spacing w:after="0"/>
              <w:rPr>
                <w:sz w:val="19"/>
                <w:szCs w:val="19"/>
                <w:color w:val="auto"/>
              </w:rPr>
            </w:pPr>
          </w:p>
        </w:tc>
        <w:tc>
          <w:tcPr>
            <w:tcW w:w="300" w:type="dxa"/>
            <w:vAlign w:val="bottom"/>
          </w:tcPr>
          <w:p>
            <w:pPr>
              <w:spacing w:after="0"/>
              <w:rPr>
                <w:sz w:val="19"/>
                <w:szCs w:val="19"/>
                <w:color w:val="auto"/>
              </w:rPr>
            </w:pPr>
          </w:p>
        </w:tc>
        <w:tc>
          <w:tcPr>
            <w:tcW w:w="1760" w:type="dxa"/>
            <w:vAlign w:val="bottom"/>
            <w:gridSpan w:val="3"/>
          </w:tcPr>
          <w:p>
            <w:pPr>
              <w:jc w:val="right"/>
              <w:ind w:right="1580"/>
              <w:spacing w:after="0"/>
              <w:rPr>
                <w:sz w:val="20"/>
                <w:szCs w:val="20"/>
                <w:color w:val="auto"/>
              </w:rPr>
            </w:pPr>
            <w:r>
              <w:rPr>
                <w:rFonts w:ascii="Arial" w:cs="Arial" w:eastAsia="Arial" w:hAnsi="Arial"/>
                <w:sz w:val="16"/>
                <w:szCs w:val="16"/>
                <w:color w:val="0000EE"/>
                <w:w w:val="89"/>
              </w:rPr>
              <w:t>46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80" w:type="dxa"/>
            <w:vAlign w:val="bottom"/>
            <w:gridSpan w:val="2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20" w:type="dxa"/>
            <w:vAlign w:val="bottom"/>
            <w:gridSpan w:val="37"/>
          </w:tcPr>
          <w:p>
            <w:pPr>
              <w:spacing w:after="0"/>
              <w:rPr>
                <w:sz w:val="20"/>
                <w:szCs w:val="20"/>
                <w:color w:val="auto"/>
              </w:rPr>
            </w:pPr>
            <w:r>
              <w:rPr>
                <w:rFonts w:ascii="Arial" w:cs="Arial" w:eastAsia="Arial" w:hAnsi="Arial"/>
                <w:sz w:val="16"/>
                <w:szCs w:val="16"/>
                <w:color w:val="0000EE"/>
              </w:rPr>
              <w:t>Policies and Practices Related to the Grant of Equity Awards Close in Time to the Release of</w:t>
            </w:r>
          </w:p>
        </w:tc>
        <w:tc>
          <w:tcPr>
            <w:tcW w:w="300" w:type="dxa"/>
            <w:vAlign w:val="bottom"/>
            <w:vMerge w:val="restart"/>
          </w:tcPr>
          <w:p>
            <w:pPr>
              <w:spacing w:after="0"/>
              <w:rPr>
                <w:sz w:val="19"/>
                <w:szCs w:val="19"/>
                <w:color w:val="auto"/>
              </w:rPr>
            </w:pPr>
          </w:p>
        </w:tc>
        <w:tc>
          <w:tcPr>
            <w:tcW w:w="1760" w:type="dxa"/>
            <w:vAlign w:val="bottom"/>
            <w:gridSpan w:val="3"/>
            <w:vMerge w:val="restart"/>
          </w:tcPr>
          <w:p>
            <w:pPr>
              <w:jc w:val="right"/>
              <w:ind w:right="1580"/>
              <w:spacing w:after="0"/>
              <w:rPr>
                <w:sz w:val="20"/>
                <w:szCs w:val="20"/>
                <w:color w:val="auto"/>
              </w:rPr>
            </w:pPr>
            <w:r>
              <w:rPr>
                <w:rFonts w:ascii="Arial" w:cs="Arial" w:eastAsia="Arial" w:hAnsi="Arial"/>
                <w:sz w:val="16"/>
                <w:szCs w:val="16"/>
                <w:color w:val="0000EE"/>
                <w:w w:val="89"/>
              </w:rPr>
              <w:t>46</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0" w:type="dxa"/>
            <w:vAlign w:val="bottom"/>
            <w:tcBorders>
              <w:top w:val="single" w:sz="8" w:color="0000EE"/>
            </w:tcBorders>
            <w:gridSpan w:val="10"/>
          </w:tcPr>
          <w:p>
            <w:pPr>
              <w:spacing w:after="0" w:line="169" w:lineRule="exact"/>
              <w:rPr>
                <w:sz w:val="20"/>
                <w:szCs w:val="20"/>
                <w:color w:val="auto"/>
              </w:rPr>
            </w:pPr>
            <w:r>
              <w:rPr>
                <w:rFonts w:ascii="Arial" w:cs="Arial" w:eastAsia="Arial" w:hAnsi="Arial"/>
                <w:sz w:val="16"/>
                <w:szCs w:val="16"/>
                <w:color w:val="0000EE"/>
                <w:w w:val="99"/>
              </w:rPr>
              <w:t>Material Nonpublic Information</w:t>
            </w:r>
          </w:p>
        </w:tc>
        <w:tc>
          <w:tcPr>
            <w:tcW w:w="4460" w:type="dxa"/>
            <w:vAlign w:val="bottom"/>
            <w:tcBorders>
              <w:top w:val="single" w:sz="8" w:color="0000EE"/>
            </w:tcBorders>
            <w:gridSpan w:val="25"/>
          </w:tcPr>
          <w:p>
            <w:pPr>
              <w:spacing w:after="0"/>
              <w:rPr>
                <w:sz w:val="14"/>
                <w:szCs w:val="14"/>
                <w:color w:val="auto"/>
              </w:rPr>
            </w:pPr>
          </w:p>
        </w:tc>
        <w:tc>
          <w:tcPr>
            <w:tcW w:w="160" w:type="dxa"/>
            <w:vAlign w:val="bottom"/>
            <w:gridSpan w:val="2"/>
          </w:tcPr>
          <w:p>
            <w:pPr>
              <w:spacing w:after="0"/>
              <w:rPr>
                <w:sz w:val="14"/>
                <w:szCs w:val="14"/>
                <w:color w:val="auto"/>
              </w:rPr>
            </w:pPr>
          </w:p>
        </w:tc>
        <w:tc>
          <w:tcPr>
            <w:tcW w:w="300" w:type="dxa"/>
            <w:vAlign w:val="bottom"/>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gridSpan w:val="10"/>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240" w:type="dxa"/>
            <w:vAlign w:val="bottom"/>
            <w:gridSpan w:val="2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20" w:type="dxa"/>
            <w:vAlign w:val="bottom"/>
            <w:gridSpan w:val="37"/>
          </w:tcPr>
          <w:p>
            <w:pPr>
              <w:spacing w:after="0"/>
              <w:rPr>
                <w:sz w:val="20"/>
                <w:szCs w:val="20"/>
                <w:color w:val="auto"/>
              </w:rPr>
            </w:pPr>
            <w:r>
              <w:rPr>
                <w:rFonts w:ascii="Arial" w:cs="Arial" w:eastAsia="Arial" w:hAnsi="Arial"/>
                <w:sz w:val="16"/>
                <w:szCs w:val="16"/>
                <w:color w:val="0000EE"/>
              </w:rPr>
              <w:t>Perquisites and Employee Benefits</w:t>
            </w:r>
          </w:p>
        </w:tc>
        <w:tc>
          <w:tcPr>
            <w:tcW w:w="2060" w:type="dxa"/>
            <w:vAlign w:val="bottom"/>
            <w:gridSpan w:val="4"/>
          </w:tcPr>
          <w:p>
            <w:pPr>
              <w:jc w:val="right"/>
              <w:ind w:right="1580"/>
              <w:spacing w:after="0"/>
              <w:rPr>
                <w:sz w:val="20"/>
                <w:szCs w:val="20"/>
                <w:color w:val="auto"/>
              </w:rPr>
            </w:pPr>
            <w:r>
              <w:rPr>
                <w:rFonts w:ascii="Arial" w:cs="Arial" w:eastAsia="Arial" w:hAnsi="Arial"/>
                <w:sz w:val="16"/>
                <w:szCs w:val="16"/>
                <w:color w:val="0000EE"/>
              </w:rPr>
              <w:t>46</w:t>
            </w:r>
          </w:p>
        </w:tc>
        <w:tc>
          <w:tcPr>
            <w:tcW w:w="0" w:type="dxa"/>
            <w:vAlign w:val="bottom"/>
          </w:tcPr>
          <w:p>
            <w:pPr>
              <w:spacing w:after="0"/>
              <w:rPr>
                <w:sz w:val="1"/>
                <w:szCs w:val="1"/>
                <w:color w:val="auto"/>
              </w:rPr>
            </w:pPr>
          </w:p>
        </w:tc>
      </w:tr>
      <w:tr>
        <w:trPr>
          <w:trHeight w:val="190"/>
        </w:trPr>
        <w:tc>
          <w:tcPr>
            <w:tcW w:w="1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top w:val="single" w:sz="8" w:color="0000EE"/>
              <w:bottom w:val="single" w:sz="8" w:color="auto"/>
            </w:tcBorders>
          </w:tcPr>
          <w:p>
            <w:pPr>
              <w:spacing w:after="0"/>
              <w:rPr>
                <w:sz w:val="16"/>
                <w:szCs w:val="16"/>
                <w:color w:val="auto"/>
              </w:rPr>
            </w:pPr>
          </w:p>
        </w:tc>
        <w:tc>
          <w:tcPr>
            <w:tcW w:w="100" w:type="dxa"/>
            <w:vAlign w:val="bottom"/>
            <w:tcBorders>
              <w:top w:val="single" w:sz="8" w:color="0000EE"/>
              <w:bottom w:val="single" w:sz="8" w:color="auto"/>
            </w:tcBorders>
          </w:tcPr>
          <w:p>
            <w:pPr>
              <w:spacing w:after="0"/>
              <w:rPr>
                <w:sz w:val="16"/>
                <w:szCs w:val="16"/>
                <w:color w:val="auto"/>
              </w:rPr>
            </w:pPr>
          </w:p>
        </w:tc>
        <w:tc>
          <w:tcPr>
            <w:tcW w:w="28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200" w:type="dxa"/>
            <w:vAlign w:val="bottom"/>
            <w:tcBorders>
              <w:top w:val="single" w:sz="8" w:color="0000EE"/>
              <w:bottom w:val="single" w:sz="8" w:color="auto"/>
            </w:tcBorders>
          </w:tcPr>
          <w:p>
            <w:pPr>
              <w:spacing w:after="0"/>
              <w:rPr>
                <w:sz w:val="16"/>
                <w:szCs w:val="16"/>
                <w:color w:val="auto"/>
              </w:rPr>
            </w:pPr>
          </w:p>
        </w:tc>
        <w:tc>
          <w:tcPr>
            <w:tcW w:w="100" w:type="dxa"/>
            <w:vAlign w:val="bottom"/>
            <w:tcBorders>
              <w:top w:val="single" w:sz="8" w:color="0000EE"/>
              <w:bottom w:val="single" w:sz="8" w:color="auto"/>
            </w:tcBorders>
          </w:tcPr>
          <w:p>
            <w:pPr>
              <w:spacing w:after="0"/>
              <w:rPr>
                <w:sz w:val="16"/>
                <w:szCs w:val="16"/>
                <w:color w:val="auto"/>
              </w:rPr>
            </w:pPr>
          </w:p>
        </w:tc>
        <w:tc>
          <w:tcPr>
            <w:tcW w:w="280" w:type="dxa"/>
            <w:vAlign w:val="bottom"/>
            <w:tcBorders>
              <w:top w:val="single" w:sz="8" w:color="0000EE"/>
              <w:bottom w:val="single" w:sz="8" w:color="auto"/>
            </w:tcBorders>
          </w:tcPr>
          <w:p>
            <w:pPr>
              <w:spacing w:after="0"/>
              <w:rPr>
                <w:sz w:val="16"/>
                <w:szCs w:val="16"/>
                <w:color w:val="auto"/>
              </w:rPr>
            </w:pPr>
          </w:p>
        </w:tc>
        <w:tc>
          <w:tcPr>
            <w:tcW w:w="120" w:type="dxa"/>
            <w:vAlign w:val="bottom"/>
            <w:tcBorders>
              <w:top w:val="single" w:sz="8" w:color="0000EE"/>
              <w:bottom w:val="single" w:sz="8" w:color="auto"/>
            </w:tcBorders>
          </w:tcPr>
          <w:p>
            <w:pPr>
              <w:spacing w:after="0"/>
              <w:rPr>
                <w:sz w:val="16"/>
                <w:szCs w:val="16"/>
                <w:color w:val="auto"/>
              </w:rPr>
            </w:pPr>
          </w:p>
        </w:tc>
        <w:tc>
          <w:tcPr>
            <w:tcW w:w="40" w:type="dxa"/>
            <w:vAlign w:val="bottom"/>
            <w:tcBorders>
              <w:top w:val="single" w:sz="8" w:color="0000EE"/>
              <w:bottom w:val="single" w:sz="8" w:color="auto"/>
            </w:tcBorders>
          </w:tcPr>
          <w:p>
            <w:pPr>
              <w:spacing w:after="0"/>
              <w:rPr>
                <w:sz w:val="16"/>
                <w:szCs w:val="16"/>
                <w:color w:val="auto"/>
              </w:rPr>
            </w:pPr>
          </w:p>
        </w:tc>
        <w:tc>
          <w:tcPr>
            <w:tcW w:w="220" w:type="dxa"/>
            <w:vAlign w:val="bottom"/>
            <w:tcBorders>
              <w:top w:val="single" w:sz="8" w:color="0000EE"/>
              <w:bottom w:val="single" w:sz="8" w:color="auto"/>
            </w:tcBorders>
          </w:tcPr>
          <w:p>
            <w:pPr>
              <w:spacing w:after="0"/>
              <w:rPr>
                <w:sz w:val="16"/>
                <w:szCs w:val="16"/>
                <w:color w:val="auto"/>
              </w:rPr>
            </w:pPr>
          </w:p>
        </w:tc>
        <w:tc>
          <w:tcPr>
            <w:tcW w:w="120" w:type="dxa"/>
            <w:vAlign w:val="bottom"/>
            <w:tcBorders>
              <w:top w:val="single" w:sz="8" w:color="0000EE"/>
              <w:bottom w:val="single" w:sz="8" w:color="auto"/>
            </w:tcBorders>
          </w:tcPr>
          <w:p>
            <w:pPr>
              <w:spacing w:after="0"/>
              <w:rPr>
                <w:sz w:val="16"/>
                <w:szCs w:val="16"/>
                <w:color w:val="auto"/>
              </w:rPr>
            </w:pPr>
          </w:p>
        </w:tc>
        <w:tc>
          <w:tcPr>
            <w:tcW w:w="140" w:type="dxa"/>
            <w:vAlign w:val="bottom"/>
            <w:tcBorders>
              <w:top w:val="single" w:sz="8" w:color="0000EE"/>
              <w:bottom w:val="single" w:sz="8" w:color="auto"/>
            </w:tcBorders>
          </w:tcPr>
          <w:p>
            <w:pPr>
              <w:spacing w:after="0"/>
              <w:rPr>
                <w:sz w:val="16"/>
                <w:szCs w:val="16"/>
                <w:color w:val="auto"/>
              </w:rPr>
            </w:pPr>
          </w:p>
        </w:tc>
        <w:tc>
          <w:tcPr>
            <w:tcW w:w="120" w:type="dxa"/>
            <w:vAlign w:val="bottom"/>
            <w:tcBorders>
              <w:top w:val="single" w:sz="8" w:color="0000EE"/>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top w:val="single" w:sz="8" w:color="0000EE"/>
              <w:bottom w:val="single" w:sz="8" w:color="auto"/>
            </w:tcBorders>
          </w:tcPr>
          <w:p>
            <w:pPr>
              <w:spacing w:after="0"/>
              <w:rPr>
                <w:sz w:val="16"/>
                <w:szCs w:val="16"/>
                <w:color w:val="auto"/>
              </w:rPr>
            </w:pPr>
          </w:p>
        </w:tc>
        <w:tc>
          <w:tcPr>
            <w:tcW w:w="80" w:type="dxa"/>
            <w:vAlign w:val="bottom"/>
            <w:tcBorders>
              <w:top w:val="single" w:sz="8" w:color="0000EE"/>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826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33"/>
        </w:trPr>
        <w:tc>
          <w:tcPr>
            <w:tcW w:w="480" w:type="dxa"/>
            <w:vAlign w:val="bottom"/>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gridSpan w:val="4"/>
          </w:tcPr>
          <w:p>
            <w:pPr>
              <w:jc w:val="right"/>
              <w:ind w:right="1580"/>
              <w:spacing w:after="0"/>
              <w:rPr>
                <w:sz w:val="20"/>
                <w:szCs w:val="20"/>
                <w:color w:val="auto"/>
              </w:rPr>
            </w:pPr>
            <w:r>
              <w:rPr>
                <w:rFonts w:ascii="Arial" w:cs="Arial" w:eastAsia="Arial" w:hAnsi="Arial"/>
                <w:sz w:val="15"/>
                <w:szCs w:val="15"/>
                <w:b w:val="1"/>
                <w:bCs w:val="1"/>
                <w:color w:val="auto"/>
              </w:rPr>
              <w:t>Page</w:t>
            </w:r>
          </w:p>
        </w:tc>
      </w:tr>
      <w:tr>
        <w:trPr>
          <w:trHeight w:val="187"/>
        </w:trPr>
        <w:tc>
          <w:tcPr>
            <w:tcW w:w="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60" w:type="dxa"/>
            <w:vAlign w:val="bottom"/>
            <w:gridSpan w:val="10"/>
          </w:tcPr>
          <w:p>
            <w:pPr>
              <w:spacing w:after="0"/>
              <w:rPr>
                <w:sz w:val="20"/>
                <w:szCs w:val="20"/>
                <w:color w:val="auto"/>
              </w:rPr>
            </w:pPr>
            <w:r>
              <w:rPr>
                <w:rFonts w:ascii="Arial" w:cs="Arial" w:eastAsia="Arial" w:hAnsi="Arial"/>
                <w:sz w:val="16"/>
                <w:szCs w:val="16"/>
                <w:color w:val="0000EE"/>
                <w:w w:val="99"/>
              </w:rPr>
              <w:t>Tax and Accounting Treatment of Compensation</w:t>
            </w:r>
          </w:p>
        </w:tc>
        <w:tc>
          <w:tcPr>
            <w:tcW w:w="3140" w:type="dxa"/>
            <w:vAlign w:val="bottom"/>
            <w:gridSpan w:val="6"/>
          </w:tcPr>
          <w:p>
            <w:pPr>
              <w:spacing w:after="0"/>
              <w:rPr>
                <w:sz w:val="16"/>
                <w:szCs w:val="16"/>
                <w:color w:val="auto"/>
              </w:rPr>
            </w:pPr>
          </w:p>
        </w:tc>
        <w:tc>
          <w:tcPr>
            <w:tcW w:w="520" w:type="dxa"/>
            <w:vAlign w:val="bottom"/>
            <w:gridSpan w:val="2"/>
          </w:tcPr>
          <w:p>
            <w:pPr>
              <w:spacing w:after="0"/>
              <w:rPr>
                <w:sz w:val="16"/>
                <w:szCs w:val="16"/>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46</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20" w:type="dxa"/>
            <w:vAlign w:val="bottom"/>
            <w:gridSpan w:val="5"/>
          </w:tcPr>
          <w:p>
            <w:pPr>
              <w:spacing w:after="0"/>
              <w:rPr>
                <w:sz w:val="20"/>
                <w:szCs w:val="20"/>
                <w:color w:val="auto"/>
              </w:rPr>
            </w:pPr>
            <w:r>
              <w:rPr>
                <w:rFonts w:ascii="Arial" w:cs="Arial" w:eastAsia="Arial" w:hAnsi="Arial"/>
                <w:sz w:val="16"/>
                <w:szCs w:val="16"/>
                <w:color w:val="0000EE"/>
                <w:w w:val="99"/>
              </w:rPr>
              <w:t>2025 Summary Compensation Table</w:t>
            </w:r>
          </w:p>
        </w:tc>
        <w:tc>
          <w:tcPr>
            <w:tcW w:w="840" w:type="dxa"/>
            <w:vAlign w:val="bottom"/>
            <w:gridSpan w:val="5"/>
          </w:tcPr>
          <w:p>
            <w:pPr>
              <w:spacing w:after="0"/>
              <w:rPr>
                <w:sz w:val="19"/>
                <w:szCs w:val="19"/>
                <w:color w:val="auto"/>
              </w:rPr>
            </w:pPr>
          </w:p>
        </w:tc>
        <w:tc>
          <w:tcPr>
            <w:tcW w:w="3140" w:type="dxa"/>
            <w:vAlign w:val="bottom"/>
            <w:gridSpan w:val="6"/>
          </w:tcPr>
          <w:p>
            <w:pPr>
              <w:spacing w:after="0"/>
              <w:rPr>
                <w:sz w:val="19"/>
                <w:szCs w:val="19"/>
                <w:color w:val="auto"/>
              </w:rPr>
            </w:pPr>
          </w:p>
        </w:tc>
        <w:tc>
          <w:tcPr>
            <w:tcW w:w="520" w:type="dxa"/>
            <w:vAlign w:val="bottom"/>
            <w:gridSpan w:val="2"/>
          </w:tcPr>
          <w:p>
            <w:pPr>
              <w:spacing w:after="0"/>
              <w:rPr>
                <w:sz w:val="19"/>
                <w:szCs w:val="19"/>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48</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0" w:type="dxa"/>
            <w:vAlign w:val="bottom"/>
            <w:gridSpan w:val="16"/>
          </w:tcPr>
          <w:p>
            <w:pPr>
              <w:spacing w:after="0"/>
              <w:rPr>
                <w:sz w:val="20"/>
                <w:szCs w:val="20"/>
                <w:color w:val="auto"/>
              </w:rPr>
            </w:pPr>
            <w:r>
              <w:rPr>
                <w:rFonts w:ascii="Arial" w:cs="Arial" w:eastAsia="Arial" w:hAnsi="Arial"/>
                <w:sz w:val="16"/>
                <w:szCs w:val="16"/>
                <w:color w:val="0000EE"/>
              </w:rPr>
              <w:t>2025 Grants of Plan-Based Awards Table</w:t>
            </w:r>
          </w:p>
        </w:tc>
        <w:tc>
          <w:tcPr>
            <w:tcW w:w="2280" w:type="dxa"/>
            <w:vAlign w:val="bottom"/>
            <w:gridSpan w:val="4"/>
          </w:tcPr>
          <w:p>
            <w:pPr>
              <w:jc w:val="right"/>
              <w:ind w:right="1580"/>
              <w:spacing w:after="0"/>
              <w:rPr>
                <w:sz w:val="20"/>
                <w:szCs w:val="20"/>
                <w:color w:val="auto"/>
              </w:rPr>
            </w:pPr>
            <w:r>
              <w:rPr>
                <w:rFonts w:ascii="Arial" w:cs="Arial" w:eastAsia="Arial" w:hAnsi="Arial"/>
                <w:sz w:val="16"/>
                <w:szCs w:val="16"/>
                <w:color w:val="0000EE"/>
              </w:rPr>
              <w:t>49</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0" w:type="dxa"/>
            <w:vAlign w:val="bottom"/>
            <w:gridSpan w:val="16"/>
          </w:tcPr>
          <w:p>
            <w:pPr>
              <w:spacing w:after="0"/>
              <w:rPr>
                <w:sz w:val="20"/>
                <w:szCs w:val="20"/>
                <w:color w:val="auto"/>
              </w:rPr>
            </w:pPr>
            <w:r>
              <w:rPr>
                <w:rFonts w:ascii="Arial" w:cs="Arial" w:eastAsia="Arial" w:hAnsi="Arial"/>
                <w:sz w:val="16"/>
                <w:szCs w:val="16"/>
                <w:color w:val="0000EE"/>
              </w:rPr>
              <w:t>2025 Outstanding Equity Awards as of Fiscal Year-End Table</w:t>
            </w:r>
          </w:p>
        </w:tc>
        <w:tc>
          <w:tcPr>
            <w:tcW w:w="2280" w:type="dxa"/>
            <w:vAlign w:val="bottom"/>
            <w:gridSpan w:val="4"/>
          </w:tcPr>
          <w:p>
            <w:pPr>
              <w:jc w:val="right"/>
              <w:ind w:right="1580"/>
              <w:spacing w:after="0"/>
              <w:rPr>
                <w:sz w:val="20"/>
                <w:szCs w:val="20"/>
                <w:color w:val="auto"/>
              </w:rPr>
            </w:pPr>
            <w:r>
              <w:rPr>
                <w:rFonts w:ascii="Arial" w:cs="Arial" w:eastAsia="Arial" w:hAnsi="Arial"/>
                <w:sz w:val="16"/>
                <w:szCs w:val="16"/>
                <w:color w:val="0000EE"/>
              </w:rPr>
              <w:t>51</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gridSpan w:val="10"/>
          </w:tcPr>
          <w:p>
            <w:pPr>
              <w:spacing w:after="0"/>
              <w:rPr>
                <w:sz w:val="20"/>
                <w:szCs w:val="20"/>
                <w:color w:val="auto"/>
              </w:rPr>
            </w:pPr>
            <w:r>
              <w:rPr>
                <w:rFonts w:ascii="Arial" w:cs="Arial" w:eastAsia="Arial" w:hAnsi="Arial"/>
                <w:sz w:val="16"/>
                <w:szCs w:val="16"/>
                <w:color w:val="0000EE"/>
                <w:w w:val="99"/>
              </w:rPr>
              <w:t>2025 Options Exercised and Stock Vested Table</w:t>
            </w:r>
          </w:p>
        </w:tc>
        <w:tc>
          <w:tcPr>
            <w:tcW w:w="900" w:type="dxa"/>
            <w:vAlign w:val="bottom"/>
            <w:gridSpan w:val="3"/>
          </w:tcPr>
          <w:p>
            <w:pPr>
              <w:spacing w:after="0"/>
              <w:rPr>
                <w:sz w:val="19"/>
                <w:szCs w:val="19"/>
                <w:color w:val="auto"/>
              </w:rPr>
            </w:pPr>
          </w:p>
        </w:tc>
        <w:tc>
          <w:tcPr>
            <w:tcW w:w="2240" w:type="dxa"/>
            <w:vAlign w:val="bottom"/>
            <w:gridSpan w:val="3"/>
          </w:tcPr>
          <w:p>
            <w:pPr>
              <w:spacing w:after="0"/>
              <w:rPr>
                <w:sz w:val="19"/>
                <w:szCs w:val="19"/>
                <w:color w:val="auto"/>
              </w:rPr>
            </w:pPr>
          </w:p>
        </w:tc>
        <w:tc>
          <w:tcPr>
            <w:tcW w:w="520" w:type="dxa"/>
            <w:vAlign w:val="bottom"/>
            <w:gridSpan w:val="2"/>
          </w:tcPr>
          <w:p>
            <w:pPr>
              <w:spacing w:after="0"/>
              <w:rPr>
                <w:sz w:val="19"/>
                <w:szCs w:val="19"/>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52</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gridSpan w:val="10"/>
          </w:tcPr>
          <w:p>
            <w:pPr>
              <w:spacing w:after="0"/>
              <w:rPr>
                <w:sz w:val="20"/>
                <w:szCs w:val="20"/>
                <w:color w:val="auto"/>
              </w:rPr>
            </w:pPr>
            <w:r>
              <w:rPr>
                <w:rFonts w:ascii="Arial" w:cs="Arial" w:eastAsia="Arial" w:hAnsi="Arial"/>
                <w:sz w:val="16"/>
                <w:szCs w:val="16"/>
                <w:color w:val="0000EE"/>
              </w:rPr>
              <w:t>Employment Arrangements</w:t>
            </w:r>
          </w:p>
        </w:tc>
        <w:tc>
          <w:tcPr>
            <w:tcW w:w="3140" w:type="dxa"/>
            <w:vAlign w:val="bottom"/>
            <w:gridSpan w:val="6"/>
          </w:tcPr>
          <w:p>
            <w:pPr>
              <w:spacing w:after="0"/>
              <w:rPr>
                <w:sz w:val="19"/>
                <w:szCs w:val="19"/>
                <w:color w:val="auto"/>
              </w:rPr>
            </w:pPr>
          </w:p>
        </w:tc>
        <w:tc>
          <w:tcPr>
            <w:tcW w:w="520" w:type="dxa"/>
            <w:vAlign w:val="bottom"/>
            <w:gridSpan w:val="2"/>
          </w:tcPr>
          <w:p>
            <w:pPr>
              <w:spacing w:after="0"/>
              <w:rPr>
                <w:sz w:val="19"/>
                <w:szCs w:val="19"/>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52</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4"/>
          </w:tcPr>
          <w:p>
            <w:pPr>
              <w:spacing w:after="0"/>
              <w:rPr>
                <w:sz w:val="20"/>
                <w:szCs w:val="20"/>
                <w:color w:val="auto"/>
              </w:rPr>
            </w:pPr>
            <w:r>
              <w:rPr>
                <w:rFonts w:ascii="Arial" w:cs="Arial" w:eastAsia="Arial" w:hAnsi="Arial"/>
                <w:sz w:val="16"/>
                <w:szCs w:val="16"/>
                <w:color w:val="0000EE"/>
              </w:rPr>
              <w:t>Other Named Executive Officers</w:t>
            </w:r>
          </w:p>
        </w:tc>
        <w:tc>
          <w:tcPr>
            <w:tcW w:w="4280" w:type="dxa"/>
            <w:vAlign w:val="bottom"/>
            <w:gridSpan w:val="12"/>
          </w:tcPr>
          <w:p>
            <w:pPr>
              <w:spacing w:after="0"/>
              <w:rPr>
                <w:sz w:val="19"/>
                <w:szCs w:val="19"/>
                <w:color w:val="auto"/>
              </w:rPr>
            </w:pPr>
          </w:p>
        </w:tc>
        <w:tc>
          <w:tcPr>
            <w:tcW w:w="520" w:type="dxa"/>
            <w:vAlign w:val="bottom"/>
            <w:gridSpan w:val="2"/>
          </w:tcPr>
          <w:p>
            <w:pPr>
              <w:spacing w:after="0"/>
              <w:rPr>
                <w:sz w:val="19"/>
                <w:szCs w:val="19"/>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55</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0" w:type="dxa"/>
            <w:vAlign w:val="bottom"/>
            <w:gridSpan w:val="16"/>
          </w:tcPr>
          <w:p>
            <w:pPr>
              <w:spacing w:after="0"/>
              <w:rPr>
                <w:sz w:val="20"/>
                <w:szCs w:val="20"/>
                <w:color w:val="auto"/>
              </w:rPr>
            </w:pPr>
            <w:r>
              <w:rPr>
                <w:rFonts w:ascii="Arial" w:cs="Arial" w:eastAsia="Arial" w:hAnsi="Arial"/>
                <w:sz w:val="16"/>
                <w:szCs w:val="16"/>
                <w:color w:val="0000EE"/>
              </w:rPr>
              <w:t>Potential Payments on Termination or Change of Control</w:t>
            </w:r>
          </w:p>
        </w:tc>
        <w:tc>
          <w:tcPr>
            <w:tcW w:w="2280" w:type="dxa"/>
            <w:vAlign w:val="bottom"/>
            <w:gridSpan w:val="4"/>
          </w:tcPr>
          <w:p>
            <w:pPr>
              <w:jc w:val="right"/>
              <w:ind w:right="1580"/>
              <w:spacing w:after="0"/>
              <w:rPr>
                <w:sz w:val="20"/>
                <w:szCs w:val="20"/>
                <w:color w:val="auto"/>
              </w:rPr>
            </w:pPr>
            <w:r>
              <w:rPr>
                <w:rFonts w:ascii="Arial" w:cs="Arial" w:eastAsia="Arial" w:hAnsi="Arial"/>
                <w:sz w:val="16"/>
                <w:szCs w:val="16"/>
                <w:color w:val="0000EE"/>
              </w:rPr>
              <w:t>56</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gridSpan w:val="12"/>
          </w:tcPr>
          <w:p>
            <w:pPr>
              <w:spacing w:after="0"/>
              <w:rPr>
                <w:sz w:val="20"/>
                <w:szCs w:val="20"/>
                <w:color w:val="auto"/>
              </w:rPr>
            </w:pPr>
            <w:r>
              <w:rPr>
                <w:rFonts w:ascii="Arial" w:cs="Arial" w:eastAsia="Arial" w:hAnsi="Arial"/>
                <w:sz w:val="16"/>
                <w:szCs w:val="16"/>
                <w:color w:val="0000EE"/>
              </w:rPr>
              <w:t>Pay vs. Performance</w:t>
            </w:r>
          </w:p>
        </w:tc>
        <w:tc>
          <w:tcPr>
            <w:tcW w:w="2560" w:type="dxa"/>
            <w:vAlign w:val="bottom"/>
            <w:gridSpan w:val="4"/>
          </w:tcPr>
          <w:p>
            <w:pPr>
              <w:spacing w:after="0"/>
              <w:rPr>
                <w:sz w:val="19"/>
                <w:szCs w:val="19"/>
                <w:color w:val="auto"/>
              </w:rPr>
            </w:pPr>
          </w:p>
        </w:tc>
        <w:tc>
          <w:tcPr>
            <w:tcW w:w="520" w:type="dxa"/>
            <w:vAlign w:val="bottom"/>
            <w:gridSpan w:val="2"/>
          </w:tcPr>
          <w:p>
            <w:pPr>
              <w:spacing w:after="0"/>
              <w:rPr>
                <w:sz w:val="19"/>
                <w:szCs w:val="19"/>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57</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6"/>
                <w:szCs w:val="16"/>
                <w:color w:val="0000EE"/>
                <w:w w:val="97"/>
              </w:rPr>
              <w:t>CEO Pay Ratio</w:t>
            </w:r>
          </w:p>
        </w:tc>
        <w:tc>
          <w:tcPr>
            <w:tcW w:w="400" w:type="dxa"/>
            <w:vAlign w:val="bottom"/>
          </w:tcPr>
          <w:p>
            <w:pPr>
              <w:spacing w:after="0"/>
              <w:rPr>
                <w:sz w:val="19"/>
                <w:szCs w:val="19"/>
                <w:color w:val="auto"/>
              </w:rPr>
            </w:pPr>
          </w:p>
        </w:tc>
        <w:tc>
          <w:tcPr>
            <w:tcW w:w="5100" w:type="dxa"/>
            <w:vAlign w:val="bottom"/>
            <w:gridSpan w:val="14"/>
          </w:tcPr>
          <w:p>
            <w:pPr>
              <w:spacing w:after="0"/>
              <w:rPr>
                <w:sz w:val="19"/>
                <w:szCs w:val="19"/>
                <w:color w:val="auto"/>
              </w:rPr>
            </w:pPr>
          </w:p>
        </w:tc>
        <w:tc>
          <w:tcPr>
            <w:tcW w:w="520" w:type="dxa"/>
            <w:vAlign w:val="bottom"/>
            <w:gridSpan w:val="2"/>
          </w:tcPr>
          <w:p>
            <w:pPr>
              <w:spacing w:after="0"/>
              <w:rPr>
                <w:sz w:val="19"/>
                <w:szCs w:val="19"/>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61</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580" w:type="dxa"/>
            <w:vAlign w:val="bottom"/>
            <w:gridSpan w:val="17"/>
          </w:tcPr>
          <w:p>
            <w:pPr>
              <w:ind w:left="20"/>
              <w:spacing w:after="0"/>
              <w:rPr>
                <w:sz w:val="20"/>
                <w:szCs w:val="20"/>
                <w:color w:val="auto"/>
              </w:rPr>
            </w:pPr>
            <w:r>
              <w:rPr>
                <w:rFonts w:ascii="Arial" w:cs="Arial" w:eastAsia="Arial" w:hAnsi="Arial"/>
                <w:sz w:val="16"/>
                <w:szCs w:val="16"/>
                <w:b w:val="1"/>
                <w:bCs w:val="1"/>
                <w:color w:val="0000EE"/>
              </w:rPr>
              <w:t>SECURITIES AUTHORIZED FOR ISSUANCE UNDER EQUITY COMPENSATION PLANS</w:t>
            </w:r>
          </w:p>
        </w:tc>
        <w:tc>
          <w:tcPr>
            <w:tcW w:w="32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62</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68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80" w:type="dxa"/>
            <w:vAlign w:val="bottom"/>
            <w:tcBorders>
              <w:right w:val="single" w:sz="8" w:color="0000EE"/>
            </w:tcBorders>
            <w:gridSpan w:val="3"/>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580" w:type="dxa"/>
            <w:vAlign w:val="bottom"/>
            <w:gridSpan w:val="17"/>
          </w:tcPr>
          <w:p>
            <w:pPr>
              <w:ind w:left="20"/>
              <w:spacing w:after="0"/>
              <w:rPr>
                <w:sz w:val="20"/>
                <w:szCs w:val="20"/>
                <w:color w:val="auto"/>
              </w:rPr>
            </w:pPr>
            <w:r>
              <w:rPr>
                <w:rFonts w:ascii="Arial" w:cs="Arial" w:eastAsia="Arial" w:hAnsi="Arial"/>
                <w:sz w:val="16"/>
                <w:szCs w:val="16"/>
                <w:b w:val="1"/>
                <w:bCs w:val="1"/>
                <w:color w:val="0000EE"/>
              </w:rPr>
              <w:t>COMPENSATION OF NON-EMPLOYEE DIRECTORS</w:t>
            </w:r>
          </w:p>
        </w:tc>
        <w:tc>
          <w:tcPr>
            <w:tcW w:w="32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63</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40" w:type="dxa"/>
            <w:vAlign w:val="bottom"/>
            <w:gridSpan w:val="11"/>
          </w:tcPr>
          <w:p>
            <w:pPr>
              <w:spacing w:after="0"/>
              <w:rPr>
                <w:sz w:val="20"/>
                <w:szCs w:val="20"/>
                <w:color w:val="auto"/>
              </w:rPr>
            </w:pPr>
            <w:r>
              <w:rPr>
                <w:rFonts w:ascii="Arial" w:cs="Arial" w:eastAsia="Arial" w:hAnsi="Arial"/>
                <w:sz w:val="16"/>
                <w:szCs w:val="16"/>
                <w:color w:val="0000EE"/>
              </w:rPr>
              <w:t>Non-Employee Director Compensation Policy</w:t>
            </w:r>
          </w:p>
        </w:tc>
        <w:tc>
          <w:tcPr>
            <w:tcW w:w="2960" w:type="dxa"/>
            <w:vAlign w:val="bottom"/>
            <w:gridSpan w:val="5"/>
          </w:tcPr>
          <w:p>
            <w:pPr>
              <w:spacing w:after="0"/>
              <w:rPr>
                <w:sz w:val="19"/>
                <w:szCs w:val="19"/>
                <w:color w:val="auto"/>
              </w:rPr>
            </w:pPr>
          </w:p>
        </w:tc>
        <w:tc>
          <w:tcPr>
            <w:tcW w:w="520" w:type="dxa"/>
            <w:vAlign w:val="bottom"/>
            <w:gridSpan w:val="2"/>
          </w:tcPr>
          <w:p>
            <w:pPr>
              <w:spacing w:after="0"/>
              <w:rPr>
                <w:sz w:val="19"/>
                <w:szCs w:val="19"/>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63</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900" w:type="dxa"/>
            <w:vAlign w:val="bottom"/>
            <w:gridSpan w:val="18"/>
          </w:tcPr>
          <w:p>
            <w:pPr>
              <w:ind w:left="20"/>
              <w:spacing w:after="0"/>
              <w:rPr>
                <w:sz w:val="20"/>
                <w:szCs w:val="20"/>
                <w:color w:val="auto"/>
              </w:rPr>
            </w:pPr>
            <w:r>
              <w:rPr>
                <w:rFonts w:ascii="Arial" w:cs="Arial" w:eastAsia="Arial" w:hAnsi="Arial"/>
                <w:sz w:val="16"/>
                <w:szCs w:val="16"/>
                <w:b w:val="1"/>
                <w:bCs w:val="1"/>
                <w:color w:val="0000EE"/>
              </w:rPr>
              <w:t>CERTAIN RELATIONSHIPS AND RELATED-PERSON TRANSACTIONS</w:t>
            </w:r>
          </w:p>
        </w:tc>
        <w:tc>
          <w:tcPr>
            <w:tcW w:w="2280" w:type="dxa"/>
            <w:vAlign w:val="bottom"/>
            <w:gridSpan w:val="4"/>
          </w:tcPr>
          <w:p>
            <w:pPr>
              <w:jc w:val="right"/>
              <w:ind w:right="1580"/>
              <w:spacing w:after="0"/>
              <w:rPr>
                <w:sz w:val="20"/>
                <w:szCs w:val="20"/>
                <w:color w:val="auto"/>
              </w:rPr>
            </w:pPr>
            <w:r>
              <w:rPr>
                <w:rFonts w:ascii="Arial" w:cs="Arial" w:eastAsia="Arial" w:hAnsi="Arial"/>
                <w:sz w:val="16"/>
                <w:szCs w:val="16"/>
                <w:color w:val="0000EE"/>
              </w:rPr>
              <w:t>65</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68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00" w:type="dxa"/>
            <w:vAlign w:val="bottom"/>
            <w:tcBorders>
              <w:right w:val="single" w:sz="8" w:color="0000EE"/>
            </w:tcBorders>
            <w:gridSpan w:val="6"/>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80" w:type="dxa"/>
            <w:vAlign w:val="bottom"/>
            <w:gridSpan w:val="8"/>
          </w:tcPr>
          <w:p>
            <w:pPr>
              <w:ind w:left="20"/>
              <w:spacing w:after="0"/>
              <w:rPr>
                <w:sz w:val="20"/>
                <w:szCs w:val="20"/>
                <w:color w:val="auto"/>
              </w:rPr>
            </w:pPr>
            <w:r>
              <w:rPr>
                <w:rFonts w:ascii="Arial" w:cs="Arial" w:eastAsia="Arial" w:hAnsi="Arial"/>
                <w:sz w:val="16"/>
                <w:szCs w:val="16"/>
                <w:b w:val="1"/>
                <w:bCs w:val="1"/>
                <w:color w:val="0000EE"/>
              </w:rPr>
              <w:t>DELINQUENT SECTION 16(a) REPORTS</w:t>
            </w:r>
          </w:p>
        </w:tc>
        <w:tc>
          <w:tcPr>
            <w:tcW w:w="2240" w:type="dxa"/>
            <w:vAlign w:val="bottom"/>
            <w:gridSpan w:val="8"/>
          </w:tcPr>
          <w:p>
            <w:pPr>
              <w:spacing w:after="0"/>
              <w:rPr>
                <w:sz w:val="19"/>
                <w:szCs w:val="19"/>
                <w:color w:val="auto"/>
              </w:rPr>
            </w:pPr>
          </w:p>
        </w:tc>
        <w:tc>
          <w:tcPr>
            <w:tcW w:w="1580" w:type="dxa"/>
            <w:vAlign w:val="bottom"/>
            <w:gridSpan w:val="2"/>
          </w:tcPr>
          <w:p>
            <w:pPr>
              <w:spacing w:after="0"/>
              <w:rPr>
                <w:sz w:val="19"/>
                <w:szCs w:val="19"/>
                <w:color w:val="auto"/>
              </w:rPr>
            </w:pPr>
          </w:p>
        </w:tc>
        <w:tc>
          <w:tcPr>
            <w:tcW w:w="520" w:type="dxa"/>
            <w:vAlign w:val="bottom"/>
            <w:gridSpan w:val="2"/>
          </w:tcPr>
          <w:p>
            <w:pPr>
              <w:spacing w:after="0"/>
              <w:rPr>
                <w:sz w:val="19"/>
                <w:szCs w:val="19"/>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66</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680" w:type="dxa"/>
            <w:vAlign w:val="bottom"/>
            <w:tcBorders>
              <w:left w:val="single" w:sz="8" w:color="0000EE"/>
            </w:tcBorders>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320" w:type="dxa"/>
            <w:vAlign w:val="bottom"/>
            <w:gridSpan w:val="10"/>
          </w:tcPr>
          <w:p>
            <w:pPr>
              <w:ind w:left="20"/>
              <w:spacing w:after="0"/>
              <w:rPr>
                <w:sz w:val="20"/>
                <w:szCs w:val="20"/>
                <w:color w:val="auto"/>
              </w:rPr>
            </w:pPr>
            <w:r>
              <w:rPr>
                <w:rFonts w:ascii="Arial" w:cs="Arial" w:eastAsia="Arial" w:hAnsi="Arial"/>
                <w:sz w:val="16"/>
                <w:szCs w:val="16"/>
                <w:b w:val="1"/>
                <w:bCs w:val="1"/>
                <w:color w:val="0000EE"/>
                <w:w w:val="99"/>
              </w:rPr>
              <w:t>HOUSEHOLDING AND PROXY MATERIALS</w:t>
            </w:r>
          </w:p>
        </w:tc>
        <w:tc>
          <w:tcPr>
            <w:tcW w:w="3580" w:type="dxa"/>
            <w:vAlign w:val="bottom"/>
            <w:gridSpan w:val="8"/>
          </w:tcPr>
          <w:p>
            <w:pPr>
              <w:spacing w:after="0"/>
              <w:rPr>
                <w:sz w:val="19"/>
                <w:szCs w:val="19"/>
                <w:color w:val="auto"/>
              </w:rPr>
            </w:pPr>
          </w:p>
        </w:tc>
        <w:tc>
          <w:tcPr>
            <w:tcW w:w="520" w:type="dxa"/>
            <w:vAlign w:val="bottom"/>
            <w:gridSpan w:val="2"/>
          </w:tcPr>
          <w:p>
            <w:pPr>
              <w:spacing w:after="0"/>
              <w:rPr>
                <w:sz w:val="19"/>
                <w:szCs w:val="19"/>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67</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920" w:type="dxa"/>
            <w:vAlign w:val="bottom"/>
            <w:tcBorders>
              <w:left w:val="single" w:sz="8" w:color="0000EE"/>
            </w:tcBorders>
            <w:gridSpan w:val="7"/>
            <w:shd w:val="clear" w:color="auto" w:fill="0000EE"/>
          </w:tcPr>
          <w:p>
            <w:pPr>
              <w:spacing w:after="0" w:line="20" w:lineRule="exact"/>
              <w:rPr>
                <w:sz w:val="1"/>
                <w:szCs w:val="1"/>
                <w:color w:val="auto"/>
              </w:rPr>
            </w:pPr>
          </w:p>
        </w:tc>
        <w:tc>
          <w:tcPr>
            <w:tcW w:w="2000" w:type="dxa"/>
            <w:vAlign w:val="bottom"/>
            <w:gridSpan w:val="6"/>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6"/>
                <w:szCs w:val="16"/>
                <w:b w:val="1"/>
                <w:bCs w:val="1"/>
                <w:color w:val="0000EE"/>
                <w:w w:val="97"/>
              </w:rPr>
              <w:t>OTHER MATTERS</w:t>
            </w:r>
          </w:p>
        </w:tc>
        <w:tc>
          <w:tcPr>
            <w:tcW w:w="1920" w:type="dxa"/>
            <w:vAlign w:val="bottom"/>
            <w:gridSpan w:val="7"/>
          </w:tcPr>
          <w:p>
            <w:pPr>
              <w:spacing w:after="0"/>
              <w:rPr>
                <w:sz w:val="19"/>
                <w:szCs w:val="19"/>
                <w:color w:val="auto"/>
              </w:rPr>
            </w:pPr>
          </w:p>
        </w:tc>
        <w:tc>
          <w:tcPr>
            <w:tcW w:w="3580" w:type="dxa"/>
            <w:vAlign w:val="bottom"/>
            <w:gridSpan w:val="8"/>
          </w:tcPr>
          <w:p>
            <w:pPr>
              <w:spacing w:after="0"/>
              <w:rPr>
                <w:sz w:val="19"/>
                <w:szCs w:val="19"/>
                <w:color w:val="auto"/>
              </w:rPr>
            </w:pPr>
          </w:p>
        </w:tc>
        <w:tc>
          <w:tcPr>
            <w:tcW w:w="520" w:type="dxa"/>
            <w:vAlign w:val="bottom"/>
            <w:gridSpan w:val="2"/>
          </w:tcPr>
          <w:p>
            <w:pPr>
              <w:spacing w:after="0"/>
              <w:rPr>
                <w:sz w:val="19"/>
                <w:szCs w:val="19"/>
                <w:color w:val="auto"/>
              </w:rPr>
            </w:pPr>
          </w:p>
        </w:tc>
        <w:tc>
          <w:tcPr>
            <w:tcW w:w="1760" w:type="dxa"/>
            <w:vAlign w:val="bottom"/>
            <w:gridSpan w:val="2"/>
          </w:tcPr>
          <w:p>
            <w:pPr>
              <w:jc w:val="right"/>
              <w:ind w:right="1580"/>
              <w:spacing w:after="0"/>
              <w:rPr>
                <w:sz w:val="20"/>
                <w:szCs w:val="20"/>
                <w:color w:val="auto"/>
              </w:rPr>
            </w:pPr>
            <w:r>
              <w:rPr>
                <w:rFonts w:ascii="Arial" w:cs="Arial" w:eastAsia="Arial" w:hAnsi="Arial"/>
                <w:sz w:val="16"/>
                <w:szCs w:val="16"/>
                <w:color w:val="0000EE"/>
                <w:w w:val="89"/>
              </w:rPr>
              <w:t>68</w:t>
            </w:r>
          </w:p>
        </w:tc>
      </w:tr>
      <w:tr>
        <w:trPr>
          <w:trHeight w:val="20"/>
        </w:trPr>
        <w:tc>
          <w:tcPr>
            <w:tcW w:w="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920" w:type="dxa"/>
            <w:vAlign w:val="bottom"/>
            <w:gridSpan w:val="1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3"/>
        </w:trPr>
        <w:tc>
          <w:tcPr>
            <w:tcW w:w="4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900" w:type="dxa"/>
            <w:vAlign w:val="bottom"/>
            <w:gridSpan w:val="18"/>
          </w:tcPr>
          <w:p>
            <w:pPr>
              <w:ind w:left="20"/>
              <w:spacing w:after="0"/>
              <w:rPr>
                <w:sz w:val="20"/>
                <w:szCs w:val="20"/>
                <w:color w:val="auto"/>
              </w:rPr>
            </w:pPr>
            <w:r>
              <w:rPr>
                <w:rFonts w:ascii="Arial" w:cs="Arial" w:eastAsia="Arial" w:hAnsi="Arial"/>
                <w:sz w:val="16"/>
                <w:szCs w:val="16"/>
                <w:b w:val="1"/>
                <w:bCs w:val="1"/>
                <w:color w:val="0000EE"/>
              </w:rPr>
              <w:t>RECONCILIATION OF GAAP TO NON-GAAP FINANCIAL MEASURES</w:t>
            </w:r>
          </w:p>
        </w:tc>
        <w:tc>
          <w:tcPr>
            <w:tcW w:w="460" w:type="dxa"/>
            <w:vAlign w:val="bottom"/>
          </w:tcPr>
          <w:p>
            <w:pPr>
              <w:spacing w:after="0"/>
              <w:rPr>
                <w:sz w:val="19"/>
                <w:szCs w:val="19"/>
                <w:color w:val="auto"/>
              </w:rPr>
            </w:pPr>
          </w:p>
        </w:tc>
        <w:tc>
          <w:tcPr>
            <w:tcW w:w="1820" w:type="dxa"/>
            <w:vAlign w:val="bottom"/>
            <w:gridSpan w:val="3"/>
          </w:tcPr>
          <w:p>
            <w:pPr>
              <w:jc w:val="right"/>
              <w:ind w:right="1580"/>
              <w:spacing w:after="0"/>
              <w:rPr>
                <w:sz w:val="20"/>
                <w:szCs w:val="20"/>
                <w:color w:val="auto"/>
              </w:rPr>
            </w:pPr>
            <w:r>
              <w:rPr>
                <w:rFonts w:ascii="Arial" w:cs="Arial" w:eastAsia="Arial" w:hAnsi="Arial"/>
                <w:sz w:val="16"/>
                <w:szCs w:val="16"/>
                <w:color w:val="0000EE"/>
                <w:w w:val="88"/>
              </w:rPr>
              <w:t>A-1</w:t>
            </w:r>
          </w:p>
        </w:tc>
      </w:tr>
      <w:tr>
        <w:trPr>
          <w:trHeight w:val="190"/>
        </w:trPr>
        <w:tc>
          <w:tcPr>
            <w:tcW w:w="4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top w:val="single" w:sz="8" w:color="0000EE"/>
              <w:bottom w:val="single" w:sz="8" w:color="auto"/>
            </w:tcBorders>
          </w:tcPr>
          <w:p>
            <w:pPr>
              <w:spacing w:after="0"/>
              <w:rPr>
                <w:sz w:val="16"/>
                <w:szCs w:val="16"/>
                <w:color w:val="auto"/>
              </w:rPr>
            </w:pPr>
          </w:p>
        </w:tc>
        <w:tc>
          <w:tcPr>
            <w:tcW w:w="120" w:type="dxa"/>
            <w:vAlign w:val="bottom"/>
            <w:tcBorders>
              <w:top w:val="single" w:sz="8" w:color="0000EE"/>
              <w:bottom w:val="single" w:sz="8" w:color="auto"/>
            </w:tcBorders>
          </w:tcPr>
          <w:p>
            <w:pPr>
              <w:spacing w:after="0"/>
              <w:rPr>
                <w:sz w:val="16"/>
                <w:szCs w:val="16"/>
                <w:color w:val="auto"/>
              </w:rPr>
            </w:pPr>
          </w:p>
        </w:tc>
        <w:tc>
          <w:tcPr>
            <w:tcW w:w="1100" w:type="dxa"/>
            <w:vAlign w:val="bottom"/>
            <w:tcBorders>
              <w:top w:val="single" w:sz="8" w:color="0000EE"/>
              <w:bottom w:val="single" w:sz="8" w:color="auto"/>
            </w:tcBorders>
          </w:tcPr>
          <w:p>
            <w:pPr>
              <w:spacing w:after="0"/>
              <w:rPr>
                <w:sz w:val="16"/>
                <w:szCs w:val="16"/>
                <w:color w:val="auto"/>
              </w:rPr>
            </w:pPr>
          </w:p>
        </w:tc>
        <w:tc>
          <w:tcPr>
            <w:tcW w:w="400" w:type="dxa"/>
            <w:vAlign w:val="bottom"/>
            <w:tcBorders>
              <w:top w:val="single" w:sz="8" w:color="0000EE"/>
              <w:bottom w:val="single" w:sz="8" w:color="auto"/>
            </w:tcBorders>
          </w:tcPr>
          <w:p>
            <w:pPr>
              <w:spacing w:after="0"/>
              <w:rPr>
                <w:sz w:val="16"/>
                <w:szCs w:val="16"/>
                <w:color w:val="auto"/>
              </w:rPr>
            </w:pPr>
          </w:p>
        </w:tc>
        <w:tc>
          <w:tcPr>
            <w:tcW w:w="460" w:type="dxa"/>
            <w:vAlign w:val="bottom"/>
            <w:tcBorders>
              <w:top w:val="single" w:sz="8" w:color="0000EE"/>
              <w:bottom w:val="single" w:sz="8" w:color="auto"/>
            </w:tcBorders>
          </w:tcPr>
          <w:p>
            <w:pPr>
              <w:spacing w:after="0"/>
              <w:rPr>
                <w:sz w:val="16"/>
                <w:szCs w:val="16"/>
                <w:color w:val="auto"/>
              </w:rPr>
            </w:pPr>
          </w:p>
        </w:tc>
        <w:tc>
          <w:tcPr>
            <w:tcW w:w="360" w:type="dxa"/>
            <w:vAlign w:val="bottom"/>
            <w:tcBorders>
              <w:top w:val="single" w:sz="8" w:color="0000EE"/>
              <w:bottom w:val="single" w:sz="8" w:color="auto"/>
            </w:tcBorders>
          </w:tcPr>
          <w:p>
            <w:pPr>
              <w:spacing w:after="0"/>
              <w:rPr>
                <w:sz w:val="16"/>
                <w:szCs w:val="16"/>
                <w:color w:val="auto"/>
              </w:rPr>
            </w:pPr>
          </w:p>
        </w:tc>
        <w:tc>
          <w:tcPr>
            <w:tcW w:w="300" w:type="dxa"/>
            <w:vAlign w:val="bottom"/>
            <w:tcBorders>
              <w:top w:val="single" w:sz="8" w:color="0000EE"/>
              <w:bottom w:val="single" w:sz="8" w:color="auto"/>
            </w:tcBorders>
          </w:tcPr>
          <w:p>
            <w:pPr>
              <w:spacing w:after="0"/>
              <w:rPr>
                <w:sz w:val="16"/>
                <w:szCs w:val="16"/>
                <w:color w:val="auto"/>
              </w:rPr>
            </w:pPr>
          </w:p>
        </w:tc>
        <w:tc>
          <w:tcPr>
            <w:tcW w:w="160" w:type="dxa"/>
            <w:vAlign w:val="bottom"/>
            <w:tcBorders>
              <w:top w:val="single" w:sz="8" w:color="0000EE"/>
              <w:bottom w:val="single" w:sz="8" w:color="auto"/>
            </w:tcBorders>
          </w:tcPr>
          <w:p>
            <w:pPr>
              <w:spacing w:after="0"/>
              <w:rPr>
                <w:sz w:val="16"/>
                <w:szCs w:val="16"/>
                <w:color w:val="auto"/>
              </w:rPr>
            </w:pPr>
          </w:p>
        </w:tc>
        <w:tc>
          <w:tcPr>
            <w:tcW w:w="180" w:type="dxa"/>
            <w:vAlign w:val="bottom"/>
            <w:tcBorders>
              <w:top w:val="single" w:sz="8" w:color="0000EE"/>
              <w:bottom w:val="single" w:sz="8" w:color="auto"/>
            </w:tcBorders>
          </w:tcPr>
          <w:p>
            <w:pPr>
              <w:spacing w:after="0"/>
              <w:rPr>
                <w:sz w:val="16"/>
                <w:szCs w:val="16"/>
                <w:color w:val="auto"/>
              </w:rPr>
            </w:pPr>
          </w:p>
        </w:tc>
        <w:tc>
          <w:tcPr>
            <w:tcW w:w="60" w:type="dxa"/>
            <w:vAlign w:val="bottom"/>
            <w:tcBorders>
              <w:top w:val="single" w:sz="8" w:color="0000EE"/>
              <w:bottom w:val="single" w:sz="8" w:color="auto"/>
            </w:tcBorders>
          </w:tcPr>
          <w:p>
            <w:pPr>
              <w:spacing w:after="0"/>
              <w:rPr>
                <w:sz w:val="16"/>
                <w:szCs w:val="16"/>
                <w:color w:val="auto"/>
              </w:rPr>
            </w:pPr>
          </w:p>
        </w:tc>
        <w:tc>
          <w:tcPr>
            <w:tcW w:w="220" w:type="dxa"/>
            <w:vAlign w:val="bottom"/>
            <w:tcBorders>
              <w:top w:val="single" w:sz="8" w:color="0000EE"/>
              <w:bottom w:val="single" w:sz="8" w:color="auto"/>
            </w:tcBorders>
          </w:tcPr>
          <w:p>
            <w:pPr>
              <w:spacing w:after="0"/>
              <w:rPr>
                <w:sz w:val="16"/>
                <w:szCs w:val="16"/>
                <w:color w:val="auto"/>
              </w:rPr>
            </w:pPr>
          </w:p>
        </w:tc>
        <w:tc>
          <w:tcPr>
            <w:tcW w:w="220" w:type="dxa"/>
            <w:vAlign w:val="bottom"/>
            <w:tcBorders>
              <w:top w:val="single" w:sz="8" w:color="0000EE"/>
              <w:bottom w:val="single" w:sz="8" w:color="auto"/>
            </w:tcBorders>
          </w:tcPr>
          <w:p>
            <w:pPr>
              <w:spacing w:after="0"/>
              <w:rPr>
                <w:sz w:val="16"/>
                <w:szCs w:val="16"/>
                <w:color w:val="auto"/>
              </w:rPr>
            </w:pPr>
          </w:p>
        </w:tc>
        <w:tc>
          <w:tcPr>
            <w:tcW w:w="180" w:type="dxa"/>
            <w:vAlign w:val="bottom"/>
            <w:tcBorders>
              <w:top w:val="single" w:sz="8" w:color="0000EE"/>
              <w:bottom w:val="single" w:sz="8" w:color="auto"/>
            </w:tcBorders>
          </w:tcPr>
          <w:p>
            <w:pPr>
              <w:spacing w:after="0"/>
              <w:rPr>
                <w:sz w:val="16"/>
                <w:szCs w:val="16"/>
                <w:color w:val="auto"/>
              </w:rPr>
            </w:pPr>
          </w:p>
        </w:tc>
        <w:tc>
          <w:tcPr>
            <w:tcW w:w="400" w:type="dxa"/>
            <w:vAlign w:val="bottom"/>
            <w:tcBorders>
              <w:top w:val="single" w:sz="8" w:color="0000EE"/>
              <w:bottom w:val="single" w:sz="8" w:color="auto"/>
            </w:tcBorders>
          </w:tcPr>
          <w:p>
            <w:pPr>
              <w:spacing w:after="0"/>
              <w:rPr>
                <w:sz w:val="16"/>
                <w:szCs w:val="16"/>
                <w:color w:val="auto"/>
              </w:rPr>
            </w:pPr>
          </w:p>
        </w:tc>
        <w:tc>
          <w:tcPr>
            <w:tcW w:w="320" w:type="dxa"/>
            <w:vAlign w:val="bottom"/>
            <w:tcBorders>
              <w:top w:val="single" w:sz="8" w:color="0000EE"/>
              <w:bottom w:val="single" w:sz="8" w:color="auto"/>
            </w:tcBorders>
          </w:tcPr>
          <w:p>
            <w:pPr>
              <w:spacing w:after="0"/>
              <w:rPr>
                <w:sz w:val="16"/>
                <w:szCs w:val="16"/>
                <w:color w:val="auto"/>
              </w:rPr>
            </w:pPr>
          </w:p>
        </w:tc>
        <w:tc>
          <w:tcPr>
            <w:tcW w:w="660" w:type="dxa"/>
            <w:vAlign w:val="bottom"/>
            <w:tcBorders>
              <w:top w:val="single" w:sz="8" w:color="0000EE"/>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60" w:type="dxa"/>
            <w:vAlign w:val="bottom"/>
            <w:tcBorders>
              <w:top w:val="single" w:sz="8" w:color="0000EE"/>
              <w:bottom w:val="single" w:sz="8" w:color="auto"/>
            </w:tcBorders>
          </w:tcPr>
          <w:p>
            <w:pPr>
              <w:spacing w:after="0"/>
              <w:rPr>
                <w:sz w:val="16"/>
                <w:szCs w:val="16"/>
                <w:color w:val="auto"/>
              </w:rPr>
            </w:pPr>
          </w:p>
        </w:tc>
        <w:tc>
          <w:tcPr>
            <w:tcW w:w="180" w:type="dxa"/>
            <w:vAlign w:val="bottom"/>
            <w:tcBorders>
              <w:top w:val="single" w:sz="8" w:color="0000EE"/>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bl>
    <w:p>
      <w:pPr>
        <w:sectPr>
          <w:pgSz w:w="11900" w:h="16838" w:orient="portrait"/>
          <w:cols w:equalWidth="0" w:num="1">
            <w:col w:w="11020"/>
          </w:cols>
          <w:pgMar w:left="440" w:top="114" w:right="439"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jc w:val="both"/>
        <w:ind w:left="300" w:right="299"/>
        <w:spacing w:after="0" w:line="248" w:lineRule="auto"/>
        <w:rPr>
          <w:sz w:val="20"/>
          <w:szCs w:val="20"/>
          <w:color w:val="auto"/>
        </w:rPr>
      </w:pPr>
      <w:r>
        <w:rPr>
          <w:rFonts w:ascii="Arial" w:cs="Arial" w:eastAsia="Arial" w:hAnsi="Arial"/>
          <w:sz w:val="16"/>
          <w:szCs w:val="16"/>
          <w:color w:val="auto"/>
        </w:rPr>
        <w:t>This proxy statement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contained in this proxy statement,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“commit,” “could,” “design,” “estimate,” “expect,” “intend,” “may,” “plan,” “potentially,” “predict,” “project,” “should,” “will,” “would,” “target,” or the negative of these terms or other similar expressions. Accordingly, these statements are only predictions and involve estimates, known and unknown risks, assumptions and uncertainties that could cause actual results, performance or achievements, or industry results to differ materially from those expressed in such statements. Our actual results, performance or achievements, or industry results could differ materially from those anticipated in such forward-looking statements as a result of the following factors, among others: our ability to address defects, interruptions, outages, delays in performance, or similar problems with our platform; our ability to attract new customers and have existing customers increase their use of our platform; component delays, shortages and price increases; our ability to develop and sell new products; our ability to respond to rapidly changing technology; other general market, political, economic and business conditions; and any additional factors discussed under “Part I — Item 1A. Risk Factors,” in our Annual Report on Form 10-K for the year ended December 31, 2025 (our “Annual Report”) and other filings we make with the Securities and Exchange Commission (the “SEC”), including future SEC filings.</w:t>
      </w:r>
    </w:p>
    <w:p>
      <w:pPr>
        <w:spacing w:after="0" w:line="127" w:lineRule="exact"/>
        <w:rPr>
          <w:sz w:val="20"/>
          <w:szCs w:val="20"/>
          <w:color w:val="auto"/>
        </w:rPr>
      </w:pPr>
    </w:p>
    <w:p>
      <w:pPr>
        <w:jc w:val="both"/>
        <w:ind w:left="300" w:right="299"/>
        <w:spacing w:after="0" w:line="250" w:lineRule="auto"/>
        <w:rPr>
          <w:sz w:val="20"/>
          <w:szCs w:val="20"/>
          <w:color w:val="auto"/>
        </w:rPr>
      </w:pPr>
      <w:r>
        <w:rPr>
          <w:rFonts w:ascii="Arial" w:cs="Arial" w:eastAsia="Arial" w:hAnsi="Arial"/>
          <w:sz w:val="16"/>
          <w:szCs w:val="16"/>
          <w:color w:val="auto"/>
        </w:rPr>
        <w:t>All forward-looking statements are necessarily only estimates of future results, and there can be no assurance that actual results will not differ materially from our expectations. You are therefore cautioned not to place undue reliance on such statements. Any forward-looking statements are qualified in their entirety by reference to the risk factors discussed throughout the documents incorporated by reference in this proxy statement. Further, any forward-looking statement speaks only as of the date on which it is made, and we undertake no obligation to update any forward-looking statement to reflect actual results or events or circumstances after the date on which the statement is made or to reflect the occurrence of unanticipated events. Additionally, certain information herein or elsewhere (including our website) is informed by various stakeholder expectations or frameworks and is thus not necessarily material for SEC reporting purposes. This is the case even if we use “material” or similar language, due to the various definitions of materiality used by stakeholders, including in the environmental, social and governance (“ESG”) context.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103505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FASTLY, INC.</w:t>
      </w:r>
    </w:p>
    <w:p>
      <w:pPr>
        <w:spacing w:after="0" w:line="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PROXY STATEMENT</w:t>
      </w:r>
    </w:p>
    <w:p>
      <w:pPr>
        <w:ind w:left="2480"/>
        <w:spacing w:after="0" w:line="234" w:lineRule="auto"/>
        <w:rPr>
          <w:sz w:val="20"/>
          <w:szCs w:val="20"/>
          <w:color w:val="auto"/>
        </w:rPr>
      </w:pPr>
      <w:r>
        <w:rPr>
          <w:rFonts w:ascii="Arial" w:cs="Arial" w:eastAsia="Arial" w:hAnsi="Arial"/>
          <w:sz w:val="18"/>
          <w:szCs w:val="18"/>
          <w:b w:val="1"/>
          <w:bCs w:val="1"/>
          <w:color w:val="auto"/>
        </w:rPr>
        <w:t>FOR THE 2026 ANNUAL MEETING OF STOCKHOLDERS</w:t>
      </w:r>
    </w:p>
    <w:p>
      <w:pPr>
        <w:spacing w:after="0" w:line="1"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JUNE 3, 2026</w:t>
      </w:r>
    </w:p>
    <w:p>
      <w:pPr>
        <w:spacing w:after="0" w:line="169" w:lineRule="exact"/>
        <w:rPr>
          <w:sz w:val="20"/>
          <w:szCs w:val="20"/>
          <w:color w:val="auto"/>
        </w:rPr>
      </w:pPr>
    </w:p>
    <w:p>
      <w:pPr>
        <w:ind w:left="660" w:right="1480"/>
        <w:spacing w:after="0" w:line="258" w:lineRule="auto"/>
        <w:rPr>
          <w:sz w:val="20"/>
          <w:szCs w:val="20"/>
          <w:color w:val="auto"/>
        </w:rPr>
      </w:pPr>
      <w:r>
        <w:rPr>
          <w:rFonts w:ascii="Arial" w:cs="Arial" w:eastAsia="Arial" w:hAnsi="Arial"/>
          <w:sz w:val="43"/>
          <w:szCs w:val="43"/>
          <w:b w:val="1"/>
          <w:bCs w:val="1"/>
          <w:color w:val="auto"/>
        </w:rPr>
        <w:t>QUESTIONS AND ANSWERS ABOUT THESE PROXY MATERIALS AND VOTING</w:t>
      </w:r>
    </w:p>
    <w:p>
      <w:pPr>
        <w:spacing w:after="0" w:line="1" w:lineRule="exact"/>
        <w:rPr>
          <w:sz w:val="20"/>
          <w:szCs w:val="20"/>
          <w:color w:val="auto"/>
        </w:rPr>
      </w:pPr>
    </w:p>
    <w:p>
      <w:pPr>
        <w:ind w:left="660" w:right="1200"/>
        <w:spacing w:after="0" w:line="271" w:lineRule="auto"/>
        <w:rPr>
          <w:sz w:val="20"/>
          <w:szCs w:val="20"/>
          <w:color w:val="auto"/>
        </w:rPr>
      </w:pPr>
      <w:r>
        <w:rPr>
          <w:rFonts w:ascii="Arial" w:cs="Arial" w:eastAsia="Arial" w:hAnsi="Arial"/>
          <w:sz w:val="22"/>
          <w:szCs w:val="22"/>
          <w:b w:val="1"/>
          <w:bCs w:val="1"/>
          <w:color w:val="EE3434"/>
        </w:rPr>
        <w:t>Why did I receive a notice regarding the availability of proxy materials on the internet?</w:t>
      </w:r>
    </w:p>
    <w:p>
      <w:pPr>
        <w:spacing w:after="0" w:line="76" w:lineRule="exact"/>
        <w:rPr>
          <w:sz w:val="20"/>
          <w:szCs w:val="20"/>
          <w:color w:val="auto"/>
        </w:rPr>
      </w:pPr>
    </w:p>
    <w:p>
      <w:pPr>
        <w:jc w:val="both"/>
        <w:ind w:left="660" w:right="640"/>
        <w:spacing w:after="0" w:line="253" w:lineRule="auto"/>
        <w:rPr>
          <w:sz w:val="20"/>
          <w:szCs w:val="20"/>
          <w:color w:val="auto"/>
        </w:rPr>
      </w:pPr>
      <w:r>
        <w:rPr>
          <w:rFonts w:ascii="Arial" w:cs="Arial" w:eastAsia="Arial" w:hAnsi="Arial"/>
          <w:sz w:val="16"/>
          <w:szCs w:val="16"/>
          <w:color w:val="auto"/>
        </w:rPr>
        <w:t>Pursuant to rules adopted by the SEC, we have elected to provide access to our proxy materials over the internet. Accordingly, we have sent you a Notice of Internet Availability of Proxy Materials (the “Notice”) because the Board of Directors of Fastly, Inc. (sometimes referred to as the “Company” or “Fastly”) is soliciting your proxy to vote at the 2026 annual meeting of stockholders (the “annual meeting”), including at any adjournments or postponements of the annual meeting.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114" w:lineRule="exact"/>
        <w:rPr>
          <w:sz w:val="20"/>
          <w:szCs w:val="20"/>
          <w:color w:val="auto"/>
        </w:rPr>
      </w:pPr>
    </w:p>
    <w:p>
      <w:pPr>
        <w:jc w:val="both"/>
        <w:ind w:left="660" w:right="660"/>
        <w:spacing w:after="0" w:line="286" w:lineRule="auto"/>
        <w:rPr>
          <w:sz w:val="20"/>
          <w:szCs w:val="20"/>
          <w:color w:val="auto"/>
        </w:rPr>
      </w:pPr>
      <w:r>
        <w:rPr>
          <w:rFonts w:ascii="Arial" w:cs="Arial" w:eastAsia="Arial" w:hAnsi="Arial"/>
          <w:sz w:val="16"/>
          <w:szCs w:val="16"/>
          <w:color w:val="auto"/>
        </w:rPr>
        <w:t>We intend to mail the Notice on or about April 22, 2026 to all stockholders of record entitled to vote at the annual meeting.</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Will I receive any other proxy materials by mail?</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may send you a proxy card, along with a second Notice, on or after April 24, 2026.</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How do I attend the annual meeting?</w:t>
      </w:r>
    </w:p>
    <w:p>
      <w:pPr>
        <w:spacing w:after="0" w:line="153" w:lineRule="exact"/>
        <w:rPr>
          <w:sz w:val="20"/>
          <w:szCs w:val="20"/>
          <w:color w:val="auto"/>
        </w:rPr>
      </w:pPr>
    </w:p>
    <w:p>
      <w:pPr>
        <w:jc w:val="both"/>
        <w:ind w:left="660" w:right="640"/>
        <w:spacing w:after="0" w:line="250" w:lineRule="auto"/>
        <w:rPr>
          <w:sz w:val="20"/>
          <w:szCs w:val="20"/>
          <w:color w:val="auto"/>
        </w:rPr>
      </w:pPr>
      <w:r>
        <w:rPr>
          <w:rFonts w:ascii="Arial" w:cs="Arial" w:eastAsia="Arial" w:hAnsi="Arial"/>
          <w:sz w:val="16"/>
          <w:szCs w:val="16"/>
          <w:color w:val="auto"/>
        </w:rPr>
        <w:t>We will be hosting the annual meeting via live webcast only. Any stockholder of record can attend the annual meeting live online at www.virtualshareholdermeeting.com/FSLY2026. The webcast will start at 9:00 a.m. Pacific Time on Wednesday, June 3, 2026. Stockholders may vote and submit questions while attending the annual meeting online. The webcast will open 15 minutes before the start of the annual meeting. In order to enter the annual meeting, you will need the control number, which is included in the Notice or on your proxy card if you are a stockholder of record of shares of our Class A common stock (“common stock”), or included with your voting instruction card and voting instructions received from your broker, bank or other agent if you hold your shares of common stock in a “street name.” Instructions on how to attend and participate online are available at www.proxyvote.com. We encourage you to access the annual meeting prior to the start time. If you encounter any difficulties accessing the virtual meeting during the check-in or meeting time, please call the technical support number that will be posted on the Virtual Stockholder Meeting login page.</w:t>
      </w:r>
    </w:p>
    <w:p>
      <w:pPr>
        <w:spacing w:after="0" w:line="26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What if I can’t find my control number?</w:t>
      </w:r>
    </w:p>
    <w:p>
      <w:pPr>
        <w:spacing w:after="0" w:line="139" w:lineRule="exact"/>
        <w:rPr>
          <w:sz w:val="20"/>
          <w:szCs w:val="20"/>
          <w:color w:val="auto"/>
        </w:rPr>
      </w:pPr>
    </w:p>
    <w:p>
      <w:pPr>
        <w:jc w:val="both"/>
        <w:ind w:left="660" w:right="660"/>
        <w:spacing w:after="0" w:line="266" w:lineRule="auto"/>
        <w:rPr>
          <w:sz w:val="20"/>
          <w:szCs w:val="20"/>
          <w:color w:val="auto"/>
        </w:rPr>
      </w:pPr>
      <w:r>
        <w:rPr>
          <w:rFonts w:ascii="Arial" w:cs="Arial" w:eastAsia="Arial" w:hAnsi="Arial"/>
          <w:sz w:val="16"/>
          <w:szCs w:val="16"/>
          <w:color w:val="auto"/>
        </w:rPr>
        <w:t>Please note that if you do not have your control number and you are a registered stockholder, you will be able to login as a guest. To view the annual meeting webcast, visit www.virtualshareholdermeeting.com/FSLY2026 and register as a guest. If you login as a guest, you will not be able to vote your shares or ask questions during the annual meeting.</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both"/>
        <w:ind w:left="660" w:right="319"/>
        <w:spacing w:after="0" w:line="270" w:lineRule="auto"/>
        <w:rPr>
          <w:sz w:val="20"/>
          <w:szCs w:val="20"/>
          <w:color w:val="auto"/>
        </w:rPr>
      </w:pPr>
      <w:r>
        <w:rPr>
          <w:rFonts w:ascii="Arial" w:cs="Arial" w:eastAsia="Arial" w:hAnsi="Arial"/>
          <w:sz w:val="16"/>
          <w:szCs w:val="16"/>
          <w:b w:val="1"/>
          <w:bCs w:val="1"/>
          <w:i w:val="1"/>
          <w:iCs w:val="1"/>
          <w:color w:val="auto"/>
        </w:rPr>
        <w:t>If you are a beneficial owner (that is, you hold your shares in an account at a broker, bank, or other holder of record), you will need to contact that broker, bank, or other holder of record to obtain your control number prior to the annual meeting.</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Will a list of record stockholders as of the record date be available?</w:t>
      </w:r>
    </w:p>
    <w:p>
      <w:pPr>
        <w:spacing w:after="0" w:line="153" w:lineRule="exact"/>
        <w:rPr>
          <w:sz w:val="20"/>
          <w:szCs w:val="20"/>
          <w:color w:val="auto"/>
        </w:rPr>
      </w:pPr>
    </w:p>
    <w:p>
      <w:pPr>
        <w:jc w:val="both"/>
        <w:ind w:left="660" w:right="299"/>
        <w:spacing w:after="0" w:line="256" w:lineRule="auto"/>
        <w:rPr>
          <w:sz w:val="20"/>
          <w:szCs w:val="20"/>
          <w:color w:val="auto"/>
        </w:rPr>
      </w:pPr>
      <w:r>
        <w:rPr>
          <w:rFonts w:ascii="Arial" w:cs="Arial" w:eastAsia="Arial" w:hAnsi="Arial"/>
          <w:sz w:val="16"/>
          <w:szCs w:val="16"/>
          <w:color w:val="auto"/>
        </w:rPr>
        <w:t>A list of our record stockholders as of the close of business on April 13, 2026 (the “Record Date”) will be made available to stockholders during the annual meeting at www.virtualshareholdermeeting.com/FSLY2026. In addition, for the ten days ending the day prior to the annual meeting, the list will be available for examination by any stockholder of record for a legally valid purpose. To arrange a time to access the list of record stockholders beginning May 24, 2026 and until the annual meeting, stockholders should email IR@fastly.com.</w:t>
      </w:r>
    </w:p>
    <w:p>
      <w:pPr>
        <w:spacing w:after="0" w:line="219" w:lineRule="exact"/>
        <w:rPr>
          <w:sz w:val="20"/>
          <w:szCs w:val="20"/>
          <w:color w:val="auto"/>
        </w:rPr>
      </w:pPr>
    </w:p>
    <w:p>
      <w:pPr>
        <w:ind w:left="660" w:right="459"/>
        <w:spacing w:after="0" w:line="272" w:lineRule="auto"/>
        <w:rPr>
          <w:sz w:val="20"/>
          <w:szCs w:val="20"/>
          <w:color w:val="auto"/>
        </w:rPr>
      </w:pPr>
      <w:r>
        <w:rPr>
          <w:rFonts w:ascii="Arial" w:cs="Arial" w:eastAsia="Arial" w:hAnsi="Arial"/>
          <w:sz w:val="22"/>
          <w:szCs w:val="22"/>
          <w:b w:val="1"/>
          <w:bCs w:val="1"/>
          <w:color w:val="EE3434"/>
        </w:rPr>
        <w:t>For the annual meeting, how do we ask questions of management and the Board of Directors?</w:t>
      </w:r>
    </w:p>
    <w:p>
      <w:pPr>
        <w:spacing w:after="0" w:line="62" w:lineRule="exact"/>
        <w:rPr>
          <w:sz w:val="20"/>
          <w:szCs w:val="20"/>
          <w:color w:val="auto"/>
        </w:rPr>
      </w:pPr>
    </w:p>
    <w:p>
      <w:pPr>
        <w:jc w:val="both"/>
        <w:ind w:left="660" w:right="299"/>
        <w:spacing w:after="0" w:line="256" w:lineRule="auto"/>
        <w:rPr>
          <w:sz w:val="20"/>
          <w:szCs w:val="20"/>
          <w:color w:val="auto"/>
        </w:rPr>
      </w:pPr>
      <w:r>
        <w:rPr>
          <w:rFonts w:ascii="Arial" w:cs="Arial" w:eastAsia="Arial" w:hAnsi="Arial"/>
          <w:sz w:val="16"/>
          <w:szCs w:val="16"/>
          <w:color w:val="auto"/>
        </w:rPr>
        <w:t>We plan to have a Q&amp;A session at the annual meeting and will include as many stockholder questions as the allotted time permits. Stockholders may submit questions that are relevant to our business in advance of the annual meeting as well as live during the annual meeting. If you are a stockholder, you may submit a question in advance of the annual meeting at www.proxyvote.com after logging in with your control number. Questions may be submitted during the annual meeting through www.virtualshareholdermeeting.com/FSLY2026.</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If I miss the annual meeting, will there be a copy posted online?</w:t>
      </w:r>
    </w:p>
    <w:p>
      <w:pPr>
        <w:spacing w:after="0" w:line="139" w:lineRule="exact"/>
        <w:rPr>
          <w:sz w:val="20"/>
          <w:szCs w:val="20"/>
          <w:color w:val="auto"/>
        </w:rPr>
      </w:pPr>
    </w:p>
    <w:p>
      <w:pPr>
        <w:jc w:val="both"/>
        <w:ind w:left="660" w:right="319"/>
        <w:spacing w:after="0" w:line="286" w:lineRule="auto"/>
        <w:rPr>
          <w:sz w:val="20"/>
          <w:szCs w:val="20"/>
          <w:color w:val="auto"/>
        </w:rPr>
      </w:pPr>
      <w:r>
        <w:rPr>
          <w:rFonts w:ascii="Arial" w:cs="Arial" w:eastAsia="Arial" w:hAnsi="Arial"/>
          <w:sz w:val="16"/>
          <w:szCs w:val="16"/>
          <w:color w:val="auto"/>
        </w:rPr>
        <w:t>Yes, a replay of the annual meeting webcast will be posted at www.virtualshareholdermeeting.com/FSLY2026 and will be available for one year after the date of the annual meeting.</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Who can vote at the annual meeting?</w:t>
      </w:r>
    </w:p>
    <w:p>
      <w:pPr>
        <w:spacing w:after="0" w:line="139" w:lineRule="exact"/>
        <w:rPr>
          <w:sz w:val="20"/>
          <w:szCs w:val="20"/>
          <w:color w:val="auto"/>
        </w:rPr>
      </w:pPr>
    </w:p>
    <w:p>
      <w:pPr>
        <w:jc w:val="both"/>
        <w:ind w:left="660" w:right="319"/>
        <w:spacing w:after="0" w:line="266" w:lineRule="auto"/>
        <w:rPr>
          <w:sz w:val="20"/>
          <w:szCs w:val="20"/>
          <w:color w:val="auto"/>
        </w:rPr>
      </w:pPr>
      <w:r>
        <w:rPr>
          <w:rFonts w:ascii="Arial" w:cs="Arial" w:eastAsia="Arial" w:hAnsi="Arial"/>
          <w:sz w:val="16"/>
          <w:szCs w:val="16"/>
          <w:color w:val="auto"/>
        </w:rPr>
        <w:t>Only stockholders of record at the close of business on the Record Date will be entitled to vote at the annual meeting. On the Record Date, there were 156,367,942 shares of common stock outstanding and entitled to vote at the annual meeting and no shares of Class B common stock outstanding and entitled to vote at the annual meeting.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Stockholder of Record: Shares Registered in Your Name</w:t>
      </w:r>
    </w:p>
    <w:p>
      <w:pPr>
        <w:spacing w:after="0" w:line="149" w:lineRule="exact"/>
        <w:rPr>
          <w:sz w:val="20"/>
          <w:szCs w:val="20"/>
          <w:color w:val="auto"/>
        </w:rPr>
      </w:pPr>
    </w:p>
    <w:p>
      <w:pPr>
        <w:jc w:val="both"/>
        <w:ind w:left="660" w:right="299"/>
        <w:spacing w:after="0" w:line="256" w:lineRule="auto"/>
        <w:rPr>
          <w:sz w:val="20"/>
          <w:szCs w:val="20"/>
          <w:color w:val="auto"/>
        </w:rPr>
      </w:pPr>
      <w:r>
        <w:rPr>
          <w:rFonts w:ascii="Arial" w:cs="Arial" w:eastAsia="Arial" w:hAnsi="Arial"/>
          <w:sz w:val="16"/>
          <w:szCs w:val="16"/>
          <w:color w:val="auto"/>
        </w:rPr>
        <w:t>If on the Record Date your shares were registered directly in your name with our transfer agent, Equiniti Trust Company, LLC, then you are a stockholder of record. As a stockholder of record, you may vote online at the annual meeting or vote by proxy. Whether or not you plan to attend the annual meeting, we urge you to fill out and return the enclosed proxy card or vote by proxy over the telephone or on the internet as instructed below to ensure your vote is counted.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Beneficial Owner: Shares Registered in the Name of a Broker or Bank</w:t>
      </w:r>
    </w:p>
    <w:p>
      <w:pPr>
        <w:spacing w:after="0" w:line="149" w:lineRule="exact"/>
        <w:rPr>
          <w:sz w:val="20"/>
          <w:szCs w:val="20"/>
          <w:color w:val="auto"/>
        </w:rPr>
      </w:pPr>
    </w:p>
    <w:p>
      <w:pPr>
        <w:jc w:val="both"/>
        <w:ind w:left="660" w:right="299"/>
        <w:spacing w:after="0" w:line="253" w:lineRule="auto"/>
        <w:rPr>
          <w:sz w:val="20"/>
          <w:szCs w:val="20"/>
          <w:color w:val="auto"/>
        </w:rPr>
      </w:pPr>
      <w:r>
        <w:rPr>
          <w:rFonts w:ascii="Arial" w:cs="Arial" w:eastAsia="Arial" w:hAnsi="Arial"/>
          <w:sz w:val="16"/>
          <w:szCs w:val="16"/>
          <w:color w:val="auto"/>
        </w:rPr>
        <w:t>If on the Record Date, your shares were held not in your name, but rather in an account at a brokerage firm, bank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may not vote your shares online at the annual meeting unless you request and obtain a valid proxy from your broker, bank or other agent.</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Why a virtual only meeting?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conducting the annual meeting virtually for several reasons.</w:t>
      </w:r>
    </w:p>
    <w:p>
      <w:pPr>
        <w:spacing w:after="0" w:line="154"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6"/>
          <w:szCs w:val="16"/>
          <w:color w:val="auto"/>
        </w:rPr>
        <w:t>Conducting the annual meeting virtually increases the opportunity for all stockholders to participate and communicate their views to a much wider audience without the added cost, time or planning involved in attending in-person stockholder meetings. Stockholders can submit questions in advance in order to get a better-formulated response.</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left="660" w:right="640"/>
        <w:spacing w:after="0" w:line="256" w:lineRule="auto"/>
        <w:rPr>
          <w:sz w:val="20"/>
          <w:szCs w:val="20"/>
          <w:color w:val="auto"/>
        </w:rPr>
      </w:pPr>
      <w:r>
        <w:rPr>
          <w:rFonts w:ascii="Arial" w:cs="Arial" w:eastAsia="Arial" w:hAnsi="Arial"/>
          <w:sz w:val="16"/>
          <w:szCs w:val="16"/>
          <w:color w:val="auto"/>
        </w:rPr>
        <w:t>We will use software that verifies the identity of each participating stockholder and ensures during the question and answer portion of the annual meeting that they are granted the same rights they would have at an in-person meeting. In this way, stockholder rights are not negatively affected. In the event stockholders representing a substantial number of shares of our outstanding common stock communicate a desire for in-person meetings, we will consider a change in our virtual-only meeting practice.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Given these factors, we feel a virtual-only meeting is the right choice for us and our stockholders at this time.</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What am I voting 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are three matters scheduled for a vote:</w:t>
      </w:r>
    </w:p>
    <w:p>
      <w:pPr>
        <w:spacing w:after="0" w:line="154" w:lineRule="exact"/>
        <w:rPr>
          <w:sz w:val="20"/>
          <w:szCs w:val="20"/>
          <w:color w:val="auto"/>
        </w:rPr>
      </w:pPr>
    </w:p>
    <w:p>
      <w:pPr>
        <w:jc w:val="both"/>
        <w:ind w:left="1360" w:right="640" w:hanging="348"/>
        <w:spacing w:after="0" w:line="275"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Election of each of the Board of Directors’ three nominees, Aida Álvarez, Charles Compton, and Richard Daniels, as a Class I director, to serve until our annual meeting of stockholders in 2029 (Proposal 1);</w:t>
      </w:r>
    </w:p>
    <w:p>
      <w:pPr>
        <w:spacing w:after="0" w:line="280" w:lineRule="exact"/>
        <w:rPr>
          <w:rFonts w:ascii="Arial" w:cs="Arial" w:eastAsia="Arial" w:hAnsi="Arial"/>
          <w:sz w:val="16"/>
          <w:szCs w:val="16"/>
          <w:color w:val="auto"/>
        </w:rPr>
      </w:pPr>
    </w:p>
    <w:p>
      <w:pPr>
        <w:ind w:left="1360" w:right="660" w:hanging="348"/>
        <w:spacing w:after="0" w:line="286"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Ratification of selection by the Audit Committee of the Board of Directors of KPMG LLP as our independent registered public accounting firm for the year ending December 31, 2026 (Proposal 2); and</w:t>
      </w:r>
    </w:p>
    <w:p>
      <w:pPr>
        <w:spacing w:after="0" w:line="88" w:lineRule="exact"/>
        <w:rPr>
          <w:rFonts w:ascii="Arial" w:cs="Arial" w:eastAsia="Arial" w:hAnsi="Arial"/>
          <w:sz w:val="16"/>
          <w:szCs w:val="16"/>
          <w:color w:val="auto"/>
        </w:rPr>
      </w:pPr>
    </w:p>
    <w:p>
      <w:pPr>
        <w:ind w:left="1360" w:right="660" w:hanging="348"/>
        <w:spacing w:after="0" w:line="286" w:lineRule="auto"/>
        <w:tabs>
          <w:tab w:leader="none" w:pos="13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conduct an advisory vote to approve the compensation of our named executive officers (our “Named Executive Officers”), as disclosed in this Proxy Statement (Proposal 3).</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What if another matter is properly brought before the annual meeting?</w:t>
      </w:r>
    </w:p>
    <w:p>
      <w:pPr>
        <w:spacing w:after="0" w:line="153" w:lineRule="exact"/>
        <w:rPr>
          <w:sz w:val="20"/>
          <w:szCs w:val="20"/>
          <w:color w:val="auto"/>
        </w:rPr>
      </w:pPr>
    </w:p>
    <w:p>
      <w:pPr>
        <w:jc w:val="both"/>
        <w:ind w:left="660" w:right="640"/>
        <w:spacing w:after="0" w:line="266"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How do I vote?</w:t>
      </w:r>
    </w:p>
    <w:p>
      <w:pPr>
        <w:spacing w:after="0" w:line="153" w:lineRule="exact"/>
        <w:rPr>
          <w:sz w:val="20"/>
          <w:szCs w:val="20"/>
          <w:color w:val="auto"/>
        </w:rPr>
      </w:pPr>
    </w:p>
    <w:p>
      <w:pPr>
        <w:jc w:val="both"/>
        <w:ind w:left="660" w:right="640"/>
        <w:spacing w:after="0" w:line="286" w:lineRule="auto"/>
        <w:rPr>
          <w:sz w:val="20"/>
          <w:szCs w:val="20"/>
          <w:color w:val="auto"/>
        </w:rPr>
      </w:pPr>
      <w:r>
        <w:rPr>
          <w:rFonts w:ascii="Arial" w:cs="Arial" w:eastAsia="Arial" w:hAnsi="Arial"/>
          <w:sz w:val="16"/>
          <w:szCs w:val="16"/>
          <w:color w:val="auto"/>
        </w:rPr>
        <w:t>You may either vote “For” all the nominees to the Board of Directors or you may “Withhold” your vote for any nominee you specify. For each of the other matters to be voted on, you may vote “For” or “Against” or abstain from voting.</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procedures for voting are fairly simple:</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Stockholder of Record: Shares Registered in Your Name</w:t>
      </w:r>
    </w:p>
    <w:p>
      <w:pPr>
        <w:spacing w:after="0" w:line="135" w:lineRule="exact"/>
        <w:rPr>
          <w:sz w:val="20"/>
          <w:szCs w:val="20"/>
          <w:color w:val="auto"/>
        </w:rPr>
      </w:pPr>
    </w:p>
    <w:p>
      <w:pPr>
        <w:jc w:val="both"/>
        <w:ind w:left="660" w:right="640"/>
        <w:spacing w:after="0" w:line="256" w:lineRule="auto"/>
        <w:rPr>
          <w:sz w:val="20"/>
          <w:szCs w:val="20"/>
          <w:color w:val="auto"/>
        </w:rPr>
      </w:pPr>
      <w:r>
        <w:rPr>
          <w:rFonts w:ascii="Arial" w:cs="Arial" w:eastAsia="Arial" w:hAnsi="Arial"/>
          <w:sz w:val="16"/>
          <w:szCs w:val="16"/>
          <w:color w:val="auto"/>
        </w:rPr>
        <w:t>If you are a stockholder of record, you may vote online during the annual meeting, vote by proxy over the telephone, vote by proxy through the internet, or vote by proxy using a proxy card that you may request. Whether or not you plan to attend the annual meeting, we urge you to vote by proxy to ensure your vote is counted. Even if you have submitted a proxy before the annual meeting, you may still attend online and vote during the annual meeting. In such case, your previously submitted proxy will be disregarded.</w:t>
      </w:r>
    </w:p>
    <w:p>
      <w:pPr>
        <w:spacing w:after="0" w:line="72" w:lineRule="exact"/>
        <w:rPr>
          <w:sz w:val="20"/>
          <w:szCs w:val="20"/>
          <w:color w:val="auto"/>
        </w:rPr>
      </w:pPr>
    </w:p>
    <w:p>
      <w:pPr>
        <w:ind w:left="1100" w:right="660" w:hanging="268"/>
        <w:spacing w:after="0" w:line="286" w:lineRule="auto"/>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vote online during the annual meeting, follow the provided instructions to join the annual meeting at www.virtualshareholdermeeting.com/FSLY2026, which begins at 9:00 a.m. Pacific Time on June 3, 2026.</w:t>
      </w:r>
    </w:p>
    <w:p>
      <w:pPr>
        <w:spacing w:after="0" w:line="47" w:lineRule="exact"/>
        <w:rPr>
          <w:rFonts w:ascii="Arial" w:cs="Arial" w:eastAsia="Arial" w:hAnsi="Arial"/>
          <w:sz w:val="16"/>
          <w:szCs w:val="16"/>
          <w:color w:val="auto"/>
        </w:rPr>
      </w:pPr>
    </w:p>
    <w:p>
      <w:pPr>
        <w:ind w:left="1100" w:hanging="268"/>
        <w:spacing w:after="0"/>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vote online before the annual meeting, go to www.proxyvote.com.</w:t>
      </w:r>
    </w:p>
    <w:p>
      <w:pPr>
        <w:spacing w:after="0" w:line="113" w:lineRule="exact"/>
        <w:rPr>
          <w:rFonts w:ascii="Arial" w:cs="Arial" w:eastAsia="Arial" w:hAnsi="Arial"/>
          <w:sz w:val="16"/>
          <w:szCs w:val="16"/>
          <w:color w:val="auto"/>
        </w:rPr>
      </w:pPr>
    </w:p>
    <w:p>
      <w:pPr>
        <w:ind w:left="1100" w:hanging="268"/>
        <w:spacing w:after="0"/>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vote by telephone, call 1-800-690-6903.</w:t>
      </w:r>
    </w:p>
    <w:p>
      <w:pPr>
        <w:spacing w:after="0" w:line="113" w:lineRule="exact"/>
        <w:rPr>
          <w:rFonts w:ascii="Arial" w:cs="Arial" w:eastAsia="Arial" w:hAnsi="Arial"/>
          <w:sz w:val="16"/>
          <w:szCs w:val="16"/>
          <w:color w:val="auto"/>
        </w:rPr>
      </w:pPr>
    </w:p>
    <w:p>
      <w:pPr>
        <w:ind w:left="1100" w:right="660" w:hanging="268"/>
        <w:spacing w:after="0" w:line="286" w:lineRule="auto"/>
        <w:tabs>
          <w:tab w:leader="none" w:pos="11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vote by mail, simply complete, sign and date the proxy card or voting instruction card, and return it promptly in the envelope provided.</w:t>
      </w:r>
    </w:p>
    <w:p>
      <w:pPr>
        <w:spacing w:after="0" w:line="88" w:lineRule="exact"/>
        <w:rPr>
          <w:sz w:val="20"/>
          <w:szCs w:val="20"/>
          <w:color w:val="auto"/>
        </w:rPr>
      </w:pPr>
    </w:p>
    <w:p>
      <w:pPr>
        <w:jc w:val="both"/>
        <w:ind w:left="660" w:right="640"/>
        <w:spacing w:after="0" w:line="266" w:lineRule="auto"/>
        <w:rPr>
          <w:sz w:val="20"/>
          <w:szCs w:val="20"/>
          <w:color w:val="auto"/>
        </w:rPr>
      </w:pPr>
      <w:r>
        <w:rPr>
          <w:rFonts w:ascii="Arial" w:cs="Arial" w:eastAsia="Arial" w:hAnsi="Arial"/>
          <w:sz w:val="16"/>
          <w:szCs w:val="16"/>
          <w:color w:val="auto"/>
        </w:rPr>
        <w:t>If we receive your vote by internet or phone or your signed proxy card up until 11:59 p.m. Eastern Time the day before the annual meeting, we will vote your shares as you direct. To vote, you will need the control number in the Notice, on your proxy card or in the instructions that accompanied the proxy materials.</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Beneficial Owner: Shares Registered in the Name of Broker or Bank</w:t>
      </w:r>
    </w:p>
    <w:p>
      <w:pPr>
        <w:spacing w:after="0" w:line="135" w:lineRule="exact"/>
        <w:rPr>
          <w:sz w:val="20"/>
          <w:szCs w:val="20"/>
          <w:color w:val="auto"/>
        </w:rPr>
      </w:pPr>
    </w:p>
    <w:p>
      <w:pPr>
        <w:jc w:val="both"/>
        <w:ind w:left="660" w:right="299"/>
        <w:spacing w:after="0" w:line="254" w:lineRule="auto"/>
        <w:rPr>
          <w:sz w:val="20"/>
          <w:szCs w:val="20"/>
          <w:color w:val="auto"/>
        </w:rPr>
      </w:pPr>
      <w:r>
        <w:rPr>
          <w:rFonts w:ascii="Arial" w:cs="Arial" w:eastAsia="Arial" w:hAnsi="Arial"/>
          <w:sz w:val="16"/>
          <w:szCs w:val="16"/>
          <w:color w:val="auto"/>
        </w:rPr>
        <w:t>If you are a beneficial owner of shares registered in the name of your broker, bank or other agent, you should have received a Notice containing voting instructions from that organization, rather than from Fastly. Simply follow the voting instructions in the Notice to ensure that your vote is counted. Alternatively, you may vote by telephone or over the internet as instructed by your broker or bank. To vote online during the webcast of the annual meeting, you must obtain a valid proxy from your broker, bank or other agent. Follow the instructions from your broker, bank or other agent included with these proxy materials, or contact that organization to request a proxy form.</w:t>
      </w:r>
    </w:p>
    <w:p>
      <w:pPr>
        <w:spacing w:after="0" w:line="114" w:lineRule="exact"/>
        <w:rPr>
          <w:sz w:val="20"/>
          <w:szCs w:val="20"/>
          <w:color w:val="auto"/>
        </w:rPr>
      </w:pPr>
    </w:p>
    <w:p>
      <w:pPr>
        <w:jc w:val="both"/>
        <w:ind w:left="660" w:right="299"/>
        <w:spacing w:after="0" w:line="262" w:lineRule="auto"/>
        <w:rPr>
          <w:sz w:val="20"/>
          <w:szCs w:val="20"/>
          <w:color w:val="auto"/>
        </w:rPr>
      </w:pPr>
      <w:r>
        <w:rPr>
          <w:rFonts w:ascii="Arial" w:cs="Arial" w:eastAsia="Arial" w:hAnsi="Arial"/>
          <w:sz w:val="16"/>
          <w:szCs w:val="16"/>
          <w:color w:val="auto"/>
        </w:rPr>
        <w:t>Internet proxy voting may be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How many votes do I have?</w:t>
      </w:r>
    </w:p>
    <w:p>
      <w:pPr>
        <w:spacing w:after="0" w:line="153"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6"/>
          <w:szCs w:val="16"/>
          <w:color w:val="auto"/>
        </w:rPr>
        <w:t>Each holder of common stock will have the right to one vote per share held of Class A common stock as of the Record Date. On the Record Date, no shares of Class B common stock were outstanding and entitled to vote at the annual meeting.</w:t>
      </w:r>
    </w:p>
    <w:p>
      <w:pPr>
        <w:spacing w:after="0" w:line="211" w:lineRule="exact"/>
        <w:rPr>
          <w:sz w:val="20"/>
          <w:szCs w:val="20"/>
          <w:color w:val="auto"/>
        </w:rPr>
      </w:pPr>
    </w:p>
    <w:p>
      <w:pPr>
        <w:ind w:left="660" w:right="899"/>
        <w:spacing w:after="0" w:line="297" w:lineRule="auto"/>
        <w:rPr>
          <w:sz w:val="20"/>
          <w:szCs w:val="20"/>
          <w:color w:val="auto"/>
        </w:rPr>
      </w:pPr>
      <w:r>
        <w:rPr>
          <w:rFonts w:ascii="Arial" w:cs="Arial" w:eastAsia="Arial" w:hAnsi="Arial"/>
          <w:sz w:val="21"/>
          <w:szCs w:val="21"/>
          <w:b w:val="1"/>
          <w:bCs w:val="1"/>
          <w:color w:val="EE3434"/>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If you are a stockholder of record and do not vote by completing your proxy card, by telephone, or online during the webcast of the annual meeting, your shares will not be voted.</w:t>
      </w:r>
    </w:p>
    <w:p>
      <w:pPr>
        <w:spacing w:after="0" w:line="75" w:lineRule="exact"/>
        <w:rPr>
          <w:sz w:val="20"/>
          <w:szCs w:val="20"/>
          <w:color w:val="auto"/>
        </w:rPr>
      </w:pPr>
    </w:p>
    <w:p>
      <w:pPr>
        <w:jc w:val="both"/>
        <w:ind w:left="660" w:right="299"/>
        <w:spacing w:after="0" w:line="253" w:lineRule="auto"/>
        <w:rPr>
          <w:sz w:val="20"/>
          <w:szCs w:val="20"/>
          <w:color w:val="auto"/>
        </w:rPr>
      </w:pPr>
      <w:r>
        <w:rPr>
          <w:rFonts w:ascii="Arial" w:cs="Arial" w:eastAsia="Arial" w:hAnsi="Arial"/>
          <w:sz w:val="16"/>
          <w:szCs w:val="16"/>
          <w:color w:val="auto"/>
        </w:rPr>
        <w:t>If you return a signed and dated proxy card or otherwise vote without marking voting selections, your shares will be voted, as applicable, “For” the election of the three nominees for director, “For” the ratification of selection by the Audit Committee of the Board of Directors of KPMG LLP (“KPMG”) as our independent registered public accounting firm for our fiscal year ending December 31, 2026, and “For” the approval, on an advisory basis, of the compensation of our Named Executive Officers, as disclosed in this Proxy Statement. If any other matter is properly presented at the annual meeting, your proxyholder (one of the individuals named on your proxy card) will vote your shares using his or her best judgment.</w:t>
      </w:r>
    </w:p>
    <w:p>
      <w:pPr>
        <w:spacing w:after="0" w:line="221" w:lineRule="exact"/>
        <w:rPr>
          <w:sz w:val="20"/>
          <w:szCs w:val="20"/>
          <w:color w:val="auto"/>
        </w:rPr>
      </w:pPr>
    </w:p>
    <w:p>
      <w:pPr>
        <w:ind w:left="660" w:right="619"/>
        <w:spacing w:after="0" w:line="272" w:lineRule="auto"/>
        <w:rPr>
          <w:sz w:val="20"/>
          <w:szCs w:val="20"/>
          <w:color w:val="auto"/>
        </w:rPr>
      </w:pPr>
      <w:r>
        <w:rPr>
          <w:rFonts w:ascii="Arial" w:cs="Arial" w:eastAsia="Arial" w:hAnsi="Arial"/>
          <w:sz w:val="22"/>
          <w:szCs w:val="22"/>
          <w:b w:val="1"/>
          <w:bCs w:val="1"/>
          <w:color w:val="EE3434"/>
        </w:rPr>
        <w:t>If I am a beneficial owner of shares held in street name and I do not provide my broker or bank with voting instructions, what happens?</w:t>
      </w:r>
    </w:p>
    <w:p>
      <w:pPr>
        <w:spacing w:after="0" w:line="75" w:lineRule="exact"/>
        <w:rPr>
          <w:sz w:val="20"/>
          <w:szCs w:val="20"/>
          <w:color w:val="auto"/>
        </w:rPr>
      </w:pPr>
    </w:p>
    <w:p>
      <w:pPr>
        <w:jc w:val="both"/>
        <w:ind w:left="660" w:right="299"/>
        <w:spacing w:after="0" w:line="250" w:lineRule="auto"/>
        <w:rPr>
          <w:sz w:val="20"/>
          <w:szCs w:val="20"/>
          <w:color w:val="auto"/>
        </w:rPr>
      </w:pPr>
      <w:r>
        <w:rPr>
          <w:rFonts w:ascii="Arial" w:cs="Arial" w:eastAsia="Arial" w:hAnsi="Arial"/>
          <w:sz w:val="16"/>
          <w:szCs w:val="16"/>
          <w:color w:val="auto"/>
        </w:rPr>
        <w:t>If you are a beneficial owner of shares held in street name and you do not instruct your broker, bank or other agent how to vote your shares, your broker, bank or other agent may still be able to vote your shares at its discretion. In this regard, brokers, banks, and other securities intermediaries may use their discretion to vote your “uninstructed” shares with respect to matters considered to be “routine,” but not with respect to “non-routine” matters. In this regard, Proposal 1, the election of directors and Proposal 3, the advisory vote on the compensation of our Named Executive Officers, are considered to be “non-routine” matters, meaning that your broker may not vote your shares on that proposal in the absence of your voting instructions. However, Proposal 2, the ratification of KPMG as our independent registered public accounting firm for our fiscal year ending December 31, 2026, is considered to be a “routine” matter meaning that if you do not return voting instructions to your broker by its deadline, your shares may be voted by your broker in its discretion on Proposal 2.</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both"/>
        <w:ind w:left="660" w:right="640"/>
        <w:spacing w:after="0" w:line="270" w:lineRule="auto"/>
        <w:rPr>
          <w:sz w:val="20"/>
          <w:szCs w:val="20"/>
          <w:color w:val="auto"/>
        </w:rPr>
      </w:pPr>
      <w:r>
        <w:rPr>
          <w:rFonts w:ascii="Arial" w:cs="Arial" w:eastAsia="Arial" w:hAnsi="Arial"/>
          <w:sz w:val="16"/>
          <w:szCs w:val="16"/>
          <w:b w:val="1"/>
          <w:bCs w:val="1"/>
          <w:i w:val="1"/>
          <w:iCs w:val="1"/>
          <w:color w:val="auto"/>
        </w:rPr>
        <w:t>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Who is paying for this proxy solicitation?</w:t>
      </w:r>
    </w:p>
    <w:p>
      <w:pPr>
        <w:spacing w:after="0" w:line="153" w:lineRule="exact"/>
        <w:rPr>
          <w:sz w:val="20"/>
          <w:szCs w:val="20"/>
          <w:color w:val="auto"/>
        </w:rPr>
      </w:pPr>
    </w:p>
    <w:p>
      <w:pPr>
        <w:jc w:val="both"/>
        <w:ind w:left="660" w:right="640"/>
        <w:spacing w:after="0" w:line="256" w:lineRule="auto"/>
        <w:rPr>
          <w:sz w:val="20"/>
          <w:szCs w:val="20"/>
          <w:color w:val="auto"/>
        </w:rPr>
      </w:pPr>
      <w:r>
        <w:rPr>
          <w:rFonts w:ascii="Arial" w:cs="Arial" w:eastAsia="Arial" w:hAnsi="Arial"/>
          <w:sz w:val="16"/>
          <w:szCs w:val="16"/>
          <w:color w:val="auto"/>
        </w:rPr>
        <w:t>We will pay for the entire cost of soliciting proxies. In addition to these proxy materials, our directors and employees may also solicit proxies online, by telephone, or by other means of communication. Directors and employees will not be paid any additional compensation for soliciting proxies. We may also reimburse brokerage firms, banks, and other agents for the cost of forwarding proxy materials to beneficial owners. We have retained Alliance Advisors, LLC to assist in the solicitation of proxies for a fee of approximately $33,000, plus reasonable out-of-pocket expenses.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What does it mean if I receive more than one Notice?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you receive more than one Notice, your shares may be registered in more than one name or in different accounts.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follow the voting instructions on the Notices to ensure that all of your shares are voted.</w:t>
      </w:r>
    </w:p>
    <w:p>
      <w:pPr>
        <w:spacing w:after="0" w:line="28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Can I change my vote after submitting my proxy?</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Stockholder of Record: Shares Registered in Your Name</w:t>
      </w:r>
    </w:p>
    <w:p>
      <w:pPr>
        <w:spacing w:after="0" w:line="149" w:lineRule="exact"/>
        <w:rPr>
          <w:sz w:val="20"/>
          <w:szCs w:val="20"/>
          <w:color w:val="auto"/>
        </w:rPr>
      </w:pPr>
    </w:p>
    <w:p>
      <w:pPr>
        <w:jc w:val="both"/>
        <w:ind w:left="660" w:right="660"/>
        <w:spacing w:after="0" w:line="286" w:lineRule="auto"/>
        <w:rPr>
          <w:sz w:val="20"/>
          <w:szCs w:val="20"/>
          <w:color w:val="auto"/>
        </w:rPr>
      </w:pPr>
      <w:r>
        <w:rPr>
          <w:rFonts w:ascii="Arial" w:cs="Arial" w:eastAsia="Arial" w:hAnsi="Arial"/>
          <w:sz w:val="16"/>
          <w:szCs w:val="16"/>
          <w:color w:val="auto"/>
        </w:rPr>
        <w:t>Yes. You can revoke your proxy at any time before the final vote at the annual meeting. If you are the record holder of your shares, you may revoke your proxy in any one of the following ways:</w:t>
      </w:r>
    </w:p>
    <w:p>
      <w:pPr>
        <w:spacing w:after="0" w:line="48" w:lineRule="exact"/>
        <w:rPr>
          <w:sz w:val="20"/>
          <w:szCs w:val="20"/>
          <w:color w:val="auto"/>
        </w:rPr>
      </w:pPr>
    </w:p>
    <w:p>
      <w:pPr>
        <w:ind w:left="1100" w:hanging="268"/>
        <w:spacing w:after="0"/>
        <w:tabs>
          <w:tab w:leader="none" w:pos="1100"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may submit another properly completed proxy card with a later date.</w:t>
      </w:r>
    </w:p>
    <w:p>
      <w:pPr>
        <w:spacing w:after="0" w:line="113" w:lineRule="exact"/>
        <w:rPr>
          <w:rFonts w:ascii="Arial" w:cs="Arial" w:eastAsia="Arial" w:hAnsi="Arial"/>
          <w:sz w:val="16"/>
          <w:szCs w:val="16"/>
          <w:color w:val="auto"/>
        </w:rPr>
      </w:pPr>
    </w:p>
    <w:p>
      <w:pPr>
        <w:ind w:left="1100" w:hanging="268"/>
        <w:spacing w:after="0"/>
        <w:tabs>
          <w:tab w:leader="none" w:pos="1100"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may grant a subsequent proxy by telephone or through the internet.</w:t>
      </w:r>
    </w:p>
    <w:p>
      <w:pPr>
        <w:spacing w:after="0" w:line="113" w:lineRule="exact"/>
        <w:rPr>
          <w:rFonts w:ascii="Arial" w:cs="Arial" w:eastAsia="Arial" w:hAnsi="Arial"/>
          <w:sz w:val="16"/>
          <w:szCs w:val="16"/>
          <w:color w:val="auto"/>
        </w:rPr>
      </w:pPr>
    </w:p>
    <w:p>
      <w:pPr>
        <w:ind w:left="1100" w:right="660" w:hanging="268"/>
        <w:spacing w:after="0" w:line="286" w:lineRule="auto"/>
        <w:tabs>
          <w:tab w:leader="none" w:pos="1100"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may send a timely written notice that you are revoking your proxy to our Secretary at 475 Brannan Street, Suite 300, San Francisco, CA 94107.</w:t>
      </w:r>
    </w:p>
    <w:p>
      <w:pPr>
        <w:spacing w:after="0" w:line="47" w:lineRule="exact"/>
        <w:rPr>
          <w:rFonts w:ascii="Arial" w:cs="Arial" w:eastAsia="Arial" w:hAnsi="Arial"/>
          <w:sz w:val="16"/>
          <w:szCs w:val="16"/>
          <w:color w:val="auto"/>
        </w:rPr>
      </w:pPr>
    </w:p>
    <w:p>
      <w:pPr>
        <w:ind w:left="1100" w:right="660" w:hanging="268"/>
        <w:spacing w:after="0" w:line="286" w:lineRule="auto"/>
        <w:tabs>
          <w:tab w:leader="none" w:pos="1100" w:val="left"/>
        </w:tabs>
        <w:numPr>
          <w:ilvl w:val="0"/>
          <w:numId w:val="9"/>
        </w:numPr>
        <w:rPr>
          <w:rFonts w:ascii="Arial" w:cs="Arial" w:eastAsia="Arial" w:hAnsi="Arial"/>
          <w:sz w:val="16"/>
          <w:szCs w:val="16"/>
          <w:color w:val="auto"/>
        </w:rPr>
      </w:pPr>
      <w:r>
        <w:rPr>
          <w:rFonts w:ascii="Arial" w:cs="Arial" w:eastAsia="Arial" w:hAnsi="Arial"/>
          <w:sz w:val="16"/>
          <w:szCs w:val="16"/>
          <w:color w:val="auto"/>
        </w:rPr>
        <w:t>You may attend the annual meeting and vote online during the annual meeting. Simply attending the annual meeting will not, by itself, revoke your proxy.</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Your most current proxy card or telephone or internet proxy is the one that is counted.</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Beneficial Owner: Shares Registered in the Name of Broker or Bank</w:t>
      </w:r>
    </w:p>
    <w:p>
      <w:pPr>
        <w:spacing w:after="0" w:line="135" w:lineRule="exact"/>
        <w:rPr>
          <w:sz w:val="20"/>
          <w:szCs w:val="20"/>
          <w:color w:val="auto"/>
        </w:rPr>
      </w:pPr>
    </w:p>
    <w:p>
      <w:pPr>
        <w:jc w:val="both"/>
        <w:ind w:left="660" w:right="660"/>
        <w:spacing w:after="0" w:line="286" w:lineRule="auto"/>
        <w:rPr>
          <w:sz w:val="20"/>
          <w:szCs w:val="20"/>
          <w:color w:val="auto"/>
        </w:rPr>
      </w:pPr>
      <w:r>
        <w:rPr>
          <w:rFonts w:ascii="Arial" w:cs="Arial" w:eastAsia="Arial" w:hAnsi="Arial"/>
          <w:sz w:val="16"/>
          <w:szCs w:val="16"/>
          <w:color w:val="auto"/>
        </w:rPr>
        <w:t>If your shares are held by your broker, bank or other agent, you should follow the instructions provided by your broker, bank, or other agent.</w:t>
      </w:r>
    </w:p>
    <w:p>
      <w:pPr>
        <w:spacing w:after="0" w:line="195" w:lineRule="exact"/>
        <w:rPr>
          <w:sz w:val="20"/>
          <w:szCs w:val="20"/>
          <w:color w:val="auto"/>
        </w:rPr>
      </w:pPr>
    </w:p>
    <w:p>
      <w:pPr>
        <w:ind w:left="660" w:right="1080"/>
        <w:spacing w:after="0" w:line="272" w:lineRule="auto"/>
        <w:rPr>
          <w:sz w:val="20"/>
          <w:szCs w:val="20"/>
          <w:color w:val="auto"/>
        </w:rPr>
      </w:pPr>
      <w:r>
        <w:rPr>
          <w:rFonts w:ascii="Arial" w:cs="Arial" w:eastAsia="Arial" w:hAnsi="Arial"/>
          <w:sz w:val="22"/>
          <w:szCs w:val="22"/>
          <w:b w:val="1"/>
          <w:bCs w:val="1"/>
          <w:color w:val="EE3434"/>
        </w:rPr>
        <w:t>When are stockholder proposals and director nominations due for next year’s annual meeting?</w:t>
      </w:r>
    </w:p>
    <w:p>
      <w:pPr>
        <w:spacing w:after="0" w:line="75" w:lineRule="exact"/>
        <w:rPr>
          <w:sz w:val="20"/>
          <w:szCs w:val="20"/>
          <w:color w:val="auto"/>
        </w:rPr>
      </w:pPr>
    </w:p>
    <w:p>
      <w:pPr>
        <w:jc w:val="both"/>
        <w:ind w:left="660" w:right="660"/>
        <w:spacing w:after="0" w:line="286"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by December 23, 2026 to Fastly, Inc., Attn: Secretary, 475 Brannan Street, Suite 300, San Francisco, CA 94107.</w:t>
      </w:r>
    </w:p>
    <w:p>
      <w:pPr>
        <w:spacing w:after="0" w:line="88" w:lineRule="exact"/>
        <w:rPr>
          <w:sz w:val="20"/>
          <w:szCs w:val="20"/>
          <w:color w:val="auto"/>
        </w:rPr>
      </w:pPr>
    </w:p>
    <w:p>
      <w:pPr>
        <w:jc w:val="both"/>
        <w:ind w:left="660" w:right="640"/>
        <w:spacing w:after="0" w:line="249" w:lineRule="auto"/>
        <w:rPr>
          <w:sz w:val="20"/>
          <w:szCs w:val="20"/>
          <w:color w:val="auto"/>
        </w:rPr>
      </w:pPr>
      <w:r>
        <w:rPr>
          <w:rFonts w:ascii="Arial" w:cs="Arial" w:eastAsia="Arial" w:hAnsi="Arial"/>
          <w:sz w:val="16"/>
          <w:szCs w:val="16"/>
          <w:color w:val="auto"/>
        </w:rPr>
        <w:t>Our Amended and Restated Bylaws, which were adopted by us in August 2024, require advanced notice of any stockholder proposal for nomination of candidates for election as a director. Any stockholder considering a proposal for nomination of candidates for election as a director should carefully review our Amended and Restated Bylaws, which describe the timing, procedural, and substantive requirements for such proposal. The proposals for director nominations must be submitted in writing, in proper form, and received by our Secretary at our executive offices located at 475 Brannan Street, Suite 300, San Francisco, CA 94107, not later than March 5, 2027 nor earlier than February 3, 2027; provided that if the date of next year’s annual meeting of stockholders is earlier than May 4, 2027,</w:t>
      </w:r>
    </w:p>
    <w:p>
      <w:pPr>
        <w:jc w:val="center"/>
        <w:spacing w:after="0" w:line="184" w:lineRule="auto"/>
        <w:rPr>
          <w:sz w:val="20"/>
          <w:szCs w:val="20"/>
          <w:color w:val="auto"/>
        </w:rPr>
      </w:pPr>
      <w:r>
        <w:rPr>
          <w:rFonts w:ascii="Arial" w:cs="Arial" w:eastAsia="Arial" w:hAnsi="Arial"/>
          <w:sz w:val="16"/>
          <w:szCs w:val="16"/>
          <w:color w:val="auto"/>
        </w:rPr>
        <w:t>or later than August 2, 2027, you must give the required notice not earlier than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meeting date</w:t>
      </w:r>
    </w:p>
    <w:p>
      <w:pPr>
        <w:spacing w:after="0" w:line="1" w:lineRule="exact"/>
        <w:rPr>
          <w:sz w:val="20"/>
          <w:szCs w:val="20"/>
          <w:color w:val="auto"/>
        </w:rPr>
      </w:pPr>
    </w:p>
    <w:p>
      <w:pPr>
        <w:jc w:val="both"/>
        <w:ind w:left="660" w:right="640"/>
        <w:spacing w:after="0" w:line="231" w:lineRule="auto"/>
        <w:rPr>
          <w:sz w:val="20"/>
          <w:szCs w:val="20"/>
          <w:color w:val="auto"/>
        </w:rPr>
      </w:pPr>
      <w:r>
        <w:rPr>
          <w:rFonts w:ascii="Arial" w:cs="Arial" w:eastAsia="Arial" w:hAnsi="Arial"/>
          <w:sz w:val="16"/>
          <w:szCs w:val="16"/>
          <w:color w:val="auto"/>
        </w:rPr>
        <w:t>and not later than the later of (i)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meeting date or (ii)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disclosure of that meeting date is first made. In addition, stockholders who intend to solicit proxies in support of director nominees other than the Fastly nominees must also comply with the additional requirements of Rule 14a-19(b). You are also advised to review our Amended and Restated Bylaws, which contain additional requirements about advance notice of stockholder proposals and director nominations.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left="660" w:right="299"/>
        <w:spacing w:after="0" w:line="250" w:lineRule="auto"/>
        <w:rPr>
          <w:sz w:val="20"/>
          <w:szCs w:val="20"/>
          <w:color w:val="auto"/>
        </w:rPr>
      </w:pPr>
      <w:r>
        <w:rPr>
          <w:rFonts w:ascii="Arial" w:cs="Arial" w:eastAsia="Arial" w:hAnsi="Arial"/>
          <w:sz w:val="16"/>
          <w:szCs w:val="16"/>
          <w:color w:val="auto"/>
        </w:rPr>
        <w:t>If you wish to submit a proposal (other than the nomination of candidates for election as a director) at the annual meeting that is not to be included in next year’s proxy materials, your proposal must be submitted in writing, in proper form, and received by our Secretary at our executive offices located at 475 Brannan Street, Suite 300, San Francisco, CA 94107, not later than March 5, 2027 nor earlier than February 3, 2027; provided that if the date of next year’s annual meeting of stockholders is earlier than May 4, 2027, or later than August 2, 2027, you must give the required</w:t>
      </w:r>
    </w:p>
    <w:p>
      <w:pPr>
        <w:jc w:val="both"/>
        <w:ind w:left="660" w:right="319"/>
        <w:spacing w:after="0" w:line="231" w:lineRule="auto"/>
        <w:rPr>
          <w:sz w:val="20"/>
          <w:szCs w:val="20"/>
          <w:color w:val="auto"/>
        </w:rPr>
      </w:pPr>
      <w:r>
        <w:rPr>
          <w:rFonts w:ascii="Arial" w:cs="Arial" w:eastAsia="Arial" w:hAnsi="Arial"/>
          <w:sz w:val="16"/>
          <w:szCs w:val="16"/>
          <w:color w:val="auto"/>
        </w:rPr>
        <w:t>notice not earlier than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meeting date and not later than the later of (i)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meeting date or (ii)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disclosure of that meeting date is first made.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How are votes counted?</w:t>
      </w:r>
    </w:p>
    <w:p>
      <w:pPr>
        <w:spacing w:after="0" w:line="153"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6"/>
          <w:szCs w:val="16"/>
          <w:color w:val="auto"/>
        </w:rPr>
        <w:t>Votes will be counted by the inspector of election appointed for the annual meeting, who will separately count, (a) for the proposal to elect directors, votes “For,” votes “Withheld” and broker non-votes, and (b) with respect to the other proposals, votes “For” and “Against,” abstentions and, if applicable, broker non-votes.</w:t>
      </w:r>
    </w:p>
    <w:p>
      <w:pPr>
        <w:spacing w:after="0" w:line="90" w:lineRule="exact"/>
        <w:rPr>
          <w:sz w:val="20"/>
          <w:szCs w:val="20"/>
          <w:color w:val="auto"/>
        </w:rPr>
      </w:pPr>
    </w:p>
    <w:p>
      <w:pPr>
        <w:jc w:val="both"/>
        <w:ind w:left="660" w:right="299"/>
        <w:spacing w:after="0" w:line="256" w:lineRule="auto"/>
        <w:rPr>
          <w:sz w:val="20"/>
          <w:szCs w:val="20"/>
          <w:color w:val="auto"/>
        </w:rPr>
      </w:pPr>
      <w:r>
        <w:rPr>
          <w:rFonts w:ascii="Arial" w:cs="Arial" w:eastAsia="Arial" w:hAnsi="Arial"/>
          <w:sz w:val="16"/>
          <w:szCs w:val="16"/>
          <w:color w:val="auto"/>
        </w:rPr>
        <w:t>Abstentions will have no effect for each of Proposal 2 and Proposal 3. Broker non-votes on each of Proposal 1 and Proposal 3 and “Withheld” votes for Proposal 1 have no effect and will not be counted towards the vote total. Proposal 2 is considered a “routine” matter. Accordingly, if you hold your shares in street name and do not provide voting instructions to your broker, bank, or other agent that holds your shares, your broker, bank, or other agent has discretionary authority to vote your shares on Proposal 2.</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What are “broker non-votes”?</w:t>
      </w:r>
    </w:p>
    <w:p>
      <w:pPr>
        <w:spacing w:after="0" w:line="139" w:lineRule="exact"/>
        <w:rPr>
          <w:sz w:val="20"/>
          <w:szCs w:val="20"/>
          <w:color w:val="auto"/>
        </w:rPr>
      </w:pPr>
    </w:p>
    <w:p>
      <w:pPr>
        <w:jc w:val="both"/>
        <w:ind w:left="660" w:right="299"/>
        <w:spacing w:after="0" w:line="256" w:lineRule="auto"/>
        <w:rPr>
          <w:sz w:val="20"/>
          <w:szCs w:val="20"/>
          <w:color w:val="auto"/>
        </w:rPr>
      </w:pPr>
      <w:r>
        <w:rPr>
          <w:rFonts w:ascii="Arial" w:cs="Arial" w:eastAsia="Arial" w:hAnsi="Arial"/>
          <w:sz w:val="16"/>
          <w:szCs w:val="16"/>
          <w:color w:val="auto"/>
        </w:rPr>
        <w:t>A “broker non-vote” occurs when your broker submits a proxy for the annual meeting with respect to “routine” matters but does not vote on “non-routine” matters because you did not provide voting instructions on these matters. These un-voted shares with respect to the “non-routine” matters are counted as “broker non-votes” and will not be counted towards the vote total. Proposal 1 and Proposal 3 are considered to be “non-routine” matters and we therefore expect broker non-votes to exist in connection with those proposals.</w:t>
      </w:r>
    </w:p>
    <w:p>
      <w:pPr>
        <w:spacing w:after="0" w:line="112"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Proposal 2 is a “routine” matter and we therefore do not expect broker non-votes to exist in connection with this proposal.</w:t>
      </w:r>
    </w:p>
    <w:p>
      <w:pPr>
        <w:spacing w:after="0" w:line="88"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6"/>
          <w:szCs w:val="16"/>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How many votes are needed to approve each proposal?</w:t>
      </w:r>
    </w:p>
    <w:p>
      <w:pPr>
        <w:spacing w:after="0" w:line="112" w:lineRule="exact"/>
        <w:rPr>
          <w:sz w:val="20"/>
          <w:szCs w:val="20"/>
          <w:color w:val="auto"/>
        </w:rPr>
      </w:pPr>
    </w:p>
    <w:p>
      <w:pPr>
        <w:ind w:left="1100" w:right="319" w:hanging="268"/>
        <w:spacing w:after="0" w:line="286" w:lineRule="auto"/>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Proposal No. 1 – For the election of directors, the three nominees receiving the most “For” votes will be elected. “Withhold” votes and “broker non-votes” will have no effect. Only votes “For” will affect the outcome.</w:t>
      </w:r>
    </w:p>
    <w:p>
      <w:pPr>
        <w:spacing w:after="0" w:line="47" w:lineRule="exact"/>
        <w:rPr>
          <w:rFonts w:ascii="Arial" w:cs="Arial" w:eastAsia="Arial" w:hAnsi="Arial"/>
          <w:sz w:val="16"/>
          <w:szCs w:val="16"/>
          <w:color w:val="auto"/>
        </w:rPr>
      </w:pPr>
    </w:p>
    <w:p>
      <w:pPr>
        <w:jc w:val="both"/>
        <w:ind w:left="1100" w:right="319" w:hanging="268"/>
        <w:spacing w:after="0" w:line="259" w:lineRule="auto"/>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Proposal No. 2 – To ratify the selection of KPMG LLP as our independent registered public accounting firm for the year ending December 31, 2026, the proposal must receive the affirmative vote of the holders of a majority in voting power of the votes cast (excluding abstentions and broker non-votes). Abstentions and broker non-votes will have no effect.</w:t>
      </w:r>
    </w:p>
    <w:p>
      <w:pPr>
        <w:spacing w:after="0" w:line="69" w:lineRule="exact"/>
        <w:rPr>
          <w:rFonts w:ascii="Arial" w:cs="Arial" w:eastAsia="Arial" w:hAnsi="Arial"/>
          <w:sz w:val="16"/>
          <w:szCs w:val="16"/>
          <w:color w:val="auto"/>
        </w:rPr>
      </w:pPr>
    </w:p>
    <w:p>
      <w:pPr>
        <w:jc w:val="both"/>
        <w:ind w:left="1100" w:right="319" w:hanging="268"/>
        <w:spacing w:after="0" w:line="266" w:lineRule="auto"/>
        <w:tabs>
          <w:tab w:leader="none" w:pos="11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Proposal No. 3 – For the advisory vote to approve the compensation of our Named Executive Officers, the proposal must receive the affirmative vote of the holders of a majority in voting power of the votes cast (excluding abstentions and broker non-votes). Abstentions and broker non-votes will have no effect.</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What is the quorum requirement?</w:t>
      </w:r>
    </w:p>
    <w:p>
      <w:pPr>
        <w:spacing w:after="0" w:line="139" w:lineRule="exact"/>
        <w:rPr>
          <w:sz w:val="20"/>
          <w:szCs w:val="20"/>
          <w:color w:val="auto"/>
        </w:rPr>
      </w:pPr>
    </w:p>
    <w:p>
      <w:pPr>
        <w:jc w:val="both"/>
        <w:ind w:left="660" w:right="640"/>
        <w:spacing w:after="0" w:line="266" w:lineRule="auto"/>
        <w:rPr>
          <w:sz w:val="20"/>
          <w:szCs w:val="20"/>
          <w:color w:val="auto"/>
        </w:rPr>
      </w:pPr>
      <w:r>
        <w:rPr>
          <w:rFonts w:ascii="Arial" w:cs="Arial" w:eastAsia="Arial" w:hAnsi="Arial"/>
          <w:sz w:val="16"/>
          <w:szCs w:val="16"/>
          <w:color w:val="auto"/>
        </w:rPr>
        <w:t>A quorum of stockholders is necessary to hold a valid meeting. A quorum will be present if stockholders holding at least a majority of the voting power of our outstanding shares entitled to vote are present at the annual meeting online or represented by proxy.</w:t>
      </w:r>
    </w:p>
    <w:p>
      <w:pPr>
        <w:spacing w:after="0" w:line="104" w:lineRule="exact"/>
        <w:rPr>
          <w:sz w:val="20"/>
          <w:szCs w:val="20"/>
          <w:color w:val="auto"/>
        </w:rPr>
      </w:pPr>
    </w:p>
    <w:p>
      <w:pPr>
        <w:jc w:val="both"/>
        <w:ind w:left="660" w:right="640"/>
        <w:spacing w:after="0" w:line="259" w:lineRule="auto"/>
        <w:rPr>
          <w:sz w:val="20"/>
          <w:szCs w:val="20"/>
          <w:color w:val="auto"/>
        </w:rPr>
      </w:pPr>
      <w:r>
        <w:rPr>
          <w:rFonts w:ascii="Arial" w:cs="Arial" w:eastAsia="Arial" w:hAnsi="Arial"/>
          <w:sz w:val="16"/>
          <w:szCs w:val="16"/>
          <w:color w:val="auto"/>
        </w:rPr>
        <w:t>Your shares will be counted towards the quorum only if you submit a valid proxy (or one is submitted on your behalf by your broker, bank or other nominee) or if you vote online at the annual meeting. Abstentions and broker non-votes will be counted towards the quorum requirement. If there is no quorum, the holders of a majority of shares present at the annual meeting online or represented by proxy may adjourn the annual meeting to another date.</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How can I find out the results of the voting at the annual meeting?</w:t>
      </w:r>
    </w:p>
    <w:p>
      <w:pPr>
        <w:spacing w:after="0" w:line="153" w:lineRule="exact"/>
        <w:rPr>
          <w:sz w:val="20"/>
          <w:szCs w:val="20"/>
          <w:color w:val="auto"/>
        </w:rPr>
      </w:pPr>
    </w:p>
    <w:p>
      <w:pPr>
        <w:jc w:val="both"/>
        <w:ind w:left="660" w:right="640"/>
        <w:spacing w:after="0" w:line="256" w:lineRule="auto"/>
        <w:rPr>
          <w:sz w:val="20"/>
          <w:szCs w:val="20"/>
          <w:color w:val="auto"/>
        </w:rPr>
      </w:pPr>
      <w:r>
        <w:rPr>
          <w:rFonts w:ascii="Arial" w:cs="Arial" w:eastAsia="Arial" w:hAnsi="Arial"/>
          <w:sz w:val="16"/>
          <w:szCs w:val="16"/>
          <w:color w:val="auto"/>
        </w:rPr>
        <w:t>Preliminary voting results will be announced at the annual meeting. In addition, final voting results will be reported on a current report on Form 8-K that we expect to file within four business days after the annual meeting. If final voting results are not available to us in time to file a Form 8-K within four business days after the annual meeting, we intend to file a Form 8-K to publish preliminary results and, within four business days after the final results are known to us, file an amended Form 8-K to publish the final results.</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820"/>
        <w:spacing w:after="0"/>
        <w:rPr>
          <w:sz w:val="20"/>
          <w:szCs w:val="20"/>
          <w:color w:val="auto"/>
        </w:rPr>
      </w:pPr>
      <w:r>
        <w:rPr>
          <w:rFonts w:ascii="Arial" w:cs="Arial" w:eastAsia="Arial" w:hAnsi="Arial"/>
          <w:sz w:val="43"/>
          <w:szCs w:val="43"/>
          <w:b w:val="1"/>
          <w:bCs w:val="1"/>
          <w:color w:val="auto"/>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6377940" cy="7312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77940" cy="7312025"/>
                    </a:xfrm>
                    <a:prstGeom prst="rect">
                      <a:avLst/>
                    </a:prstGeom>
                    <a:noFill/>
                  </pic:spPr>
                </pic:pic>
              </a:graphicData>
            </a:graphic>
          </wp:anchor>
        </w:drawing>
      </w:r>
    </w:p>
    <w:p>
      <w:pPr>
        <w:spacing w:after="0" w:line="17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EE3434"/>
        </w:rPr>
        <w:t>ELECTION OF DIRECTORS</w:t>
      </w:r>
    </w:p>
    <w:p>
      <w:pPr>
        <w:spacing w:after="0" w:line="45" w:lineRule="exact"/>
        <w:rPr>
          <w:sz w:val="20"/>
          <w:szCs w:val="20"/>
          <w:color w:val="auto"/>
        </w:rPr>
      </w:pPr>
    </w:p>
    <w:p>
      <w:pPr>
        <w:jc w:val="both"/>
        <w:ind w:left="820" w:right="299"/>
        <w:spacing w:after="0" w:line="256" w:lineRule="auto"/>
        <w:rPr>
          <w:sz w:val="20"/>
          <w:szCs w:val="20"/>
          <w:color w:val="auto"/>
        </w:rPr>
      </w:pPr>
      <w:r>
        <w:rPr>
          <w:rFonts w:ascii="Arial" w:cs="Arial" w:eastAsia="Arial" w:hAnsi="Arial"/>
          <w:sz w:val="16"/>
          <w:szCs w:val="16"/>
          <w:color w:val="auto"/>
        </w:rPr>
        <w:t>Our Board of Directors is divided into three classes. Each class consists, as nearly as possible, of one-third of the total number of directors, and each class has a three-year term. Vacancies on the Board of Directors may be filled only by persons elected by a majority of the remaining directors. A director elected by the Board of Directors to fill a vacancy in a class, including vacancies created by an increase in the number of directors, shall serve for the remainder of the full term of that class and until the director’s successor is duly elected and qualified.</w:t>
      </w:r>
    </w:p>
    <w:p>
      <w:pPr>
        <w:spacing w:after="0" w:line="4" w:lineRule="exact"/>
        <w:rPr>
          <w:sz w:val="20"/>
          <w:szCs w:val="20"/>
          <w:color w:val="auto"/>
        </w:rPr>
      </w:pPr>
    </w:p>
    <w:p>
      <w:pPr>
        <w:jc w:val="both"/>
        <w:ind w:left="820" w:right="299"/>
        <w:spacing w:after="0" w:line="252" w:lineRule="auto"/>
        <w:rPr>
          <w:sz w:val="20"/>
          <w:szCs w:val="20"/>
          <w:color w:val="auto"/>
        </w:rPr>
      </w:pPr>
      <w:r>
        <w:rPr>
          <w:rFonts w:ascii="Arial" w:cs="Arial" w:eastAsia="Arial" w:hAnsi="Arial"/>
          <w:sz w:val="16"/>
          <w:szCs w:val="16"/>
          <w:color w:val="auto"/>
        </w:rPr>
        <w:t>There are three directors in the class whose term of office expires in 2026, Aida Álvarez, Charles Compton, and Richard Daniels. Ms. Álvarez, Mr. Compton, and Mr. Daniels have served as members of our Board of Directors since August 2019, June 2025, and November 2021, respectively. If elected at the annual meeting, these nominees would serve until the 2029 annual meeting of stockholders and until a successor has been duly elected and qualified, or, if sooner, until the director’s death, resignation, or removal. Our policy is to encourage directors and nominees for director to attend the annual meeting of stockholders; however, we do not maintain a formal policy regarding director attendance at annual meetings. Ms. Álvarez, Mr. Bergman, Mr. Meyers, Mr. Paisley, Mr. Daniels, Ms. Loop, and Ms. Smith attended our annual meeting in 2025.</w:t>
      </w:r>
    </w:p>
    <w:p>
      <w:pPr>
        <w:spacing w:after="0" w:line="7" w:lineRule="exact"/>
        <w:rPr>
          <w:sz w:val="20"/>
          <w:szCs w:val="20"/>
          <w:color w:val="auto"/>
        </w:rPr>
      </w:pPr>
    </w:p>
    <w:p>
      <w:pPr>
        <w:jc w:val="both"/>
        <w:ind w:left="820" w:right="299"/>
        <w:spacing w:after="0" w:line="259" w:lineRule="auto"/>
        <w:rPr>
          <w:sz w:val="20"/>
          <w:szCs w:val="20"/>
          <w:color w:val="auto"/>
        </w:rPr>
      </w:pPr>
      <w:r>
        <w:rPr>
          <w:rFonts w:ascii="Arial" w:cs="Arial" w:eastAsia="Arial" w:hAnsi="Arial"/>
          <w:sz w:val="16"/>
          <w:szCs w:val="16"/>
          <w:color w:val="auto"/>
        </w:rPr>
        <w:t>Directors are elected by a plurality of the votes of the holders of shares present online or represented by proxy and entitled to vote on the election of directors. Accordingly, the three nominees receiving the highest number of affirmative votes will be elected. “Withhold” votes will have no effect. Each person nominated for election has agreed to serve if elected. The Company’s management has no reason to believe that any nominee will be unable to serve.</w:t>
      </w:r>
    </w:p>
    <w:p>
      <w:pPr>
        <w:spacing w:after="0" w:line="2" w:lineRule="exact"/>
        <w:rPr>
          <w:sz w:val="20"/>
          <w:szCs w:val="20"/>
          <w:color w:val="auto"/>
        </w:rPr>
      </w:pPr>
    </w:p>
    <w:p>
      <w:pPr>
        <w:jc w:val="both"/>
        <w:ind w:left="820" w:right="319"/>
        <w:spacing w:after="0" w:line="269" w:lineRule="auto"/>
        <w:rPr>
          <w:sz w:val="20"/>
          <w:szCs w:val="20"/>
          <w:color w:val="auto"/>
        </w:rPr>
      </w:pPr>
      <w:r>
        <w:rPr>
          <w:rFonts w:ascii="Arial" w:cs="Arial" w:eastAsia="Arial" w:hAnsi="Arial"/>
          <w:sz w:val="16"/>
          <w:szCs w:val="16"/>
          <w:color w:val="auto"/>
        </w:rPr>
        <w:t>The following is a brief biography of each nominee and each director whose term will continue after the annual meeting, including their ages as of March 15, 2026.</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Nominees for Election for a Three-year Term Expiring at the 2029 Annual Meeting</w:t>
      </w:r>
    </w:p>
    <w:p>
      <w:pPr>
        <w:spacing w:after="0" w:line="107"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EE3434"/>
        </w:rPr>
        <w:t>The Honorable Aida Álvarez</w:t>
      </w:r>
    </w:p>
    <w:p>
      <w:pPr>
        <w:spacing w:after="0" w:line="53" w:lineRule="exact"/>
        <w:rPr>
          <w:sz w:val="20"/>
          <w:szCs w:val="20"/>
          <w:color w:val="auto"/>
        </w:rPr>
      </w:pPr>
    </w:p>
    <w:tbl>
      <w:tblPr>
        <w:tblLayout w:type="fixed"/>
        <w:tblInd w:w="820" w:type="dxa"/>
        <w:tblCellMar>
          <w:top w:w="0" w:type="dxa"/>
          <w:left w:w="0" w:type="dxa"/>
          <w:bottom w:w="0" w:type="dxa"/>
          <w:right w:w="0" w:type="dxa"/>
        </w:tblCellMar>
      </w:tblPr>
      <w:tr>
        <w:trPr>
          <w:trHeight w:val="176"/>
        </w:trPr>
        <w:tc>
          <w:tcPr>
            <w:tcW w:w="1100" w:type="dxa"/>
            <w:vAlign w:val="bottom"/>
          </w:tcPr>
          <w:p>
            <w:pPr>
              <w:spacing w:after="0"/>
              <w:rPr>
                <w:sz w:val="15"/>
                <w:szCs w:val="15"/>
                <w:color w:val="auto"/>
              </w:rPr>
            </w:pPr>
          </w:p>
        </w:tc>
        <w:tc>
          <w:tcPr>
            <w:tcW w:w="7320" w:type="dxa"/>
            <w:vAlign w:val="bottom"/>
          </w:tcPr>
          <w:p>
            <w:pPr>
              <w:ind w:left="1060"/>
              <w:spacing w:after="0"/>
              <w:rPr>
                <w:sz w:val="20"/>
                <w:szCs w:val="20"/>
                <w:color w:val="auto"/>
              </w:rPr>
            </w:pPr>
            <w:r>
              <w:rPr>
                <w:rFonts w:ascii="Arial" w:cs="Arial" w:eastAsia="Arial" w:hAnsi="Arial"/>
                <w:sz w:val="15"/>
                <w:szCs w:val="15"/>
                <w:b w:val="1"/>
                <w:bCs w:val="1"/>
                <w:color w:val="auto"/>
              </w:rPr>
              <w:t xml:space="preserve">Fastly Committees: </w:t>
            </w:r>
            <w:r>
              <w:rPr>
                <w:rFonts w:ascii="Arial" w:cs="Arial" w:eastAsia="Arial" w:hAnsi="Arial"/>
                <w:sz w:val="15"/>
                <w:szCs w:val="15"/>
                <w:color w:val="auto"/>
              </w:rPr>
              <w:t>Compensation, Nominating and Corporate Governance</w:t>
            </w:r>
          </w:p>
        </w:tc>
        <w:tc>
          <w:tcPr>
            <w:tcW w:w="0" w:type="dxa"/>
            <w:vAlign w:val="bottom"/>
          </w:tcPr>
          <w:p>
            <w:pPr>
              <w:spacing w:after="0"/>
              <w:rPr>
                <w:sz w:val="1"/>
                <w:szCs w:val="1"/>
                <w:color w:val="auto"/>
              </w:rPr>
            </w:pPr>
          </w:p>
        </w:tc>
      </w:tr>
      <w:tr>
        <w:trPr>
          <w:trHeight w:val="154"/>
        </w:trPr>
        <w:tc>
          <w:tcPr>
            <w:tcW w:w="1100" w:type="dxa"/>
            <w:vAlign w:val="bottom"/>
          </w:tcPr>
          <w:p>
            <w:pPr>
              <w:spacing w:after="0"/>
              <w:rPr>
                <w:sz w:val="13"/>
                <w:szCs w:val="13"/>
                <w:color w:val="auto"/>
              </w:rPr>
            </w:pPr>
          </w:p>
        </w:tc>
        <w:tc>
          <w:tcPr>
            <w:tcW w:w="7320" w:type="dxa"/>
            <w:vAlign w:val="bottom"/>
          </w:tcPr>
          <w:p>
            <w:pPr>
              <w:ind w:left="1060"/>
              <w:spacing w:after="0" w:line="154" w:lineRule="exact"/>
              <w:rPr>
                <w:sz w:val="20"/>
                <w:szCs w:val="20"/>
                <w:color w:val="auto"/>
              </w:rPr>
            </w:pPr>
            <w:r>
              <w:rPr>
                <w:rFonts w:ascii="Arial" w:cs="Arial" w:eastAsia="Arial" w:hAnsi="Arial"/>
                <w:sz w:val="15"/>
                <w:szCs w:val="15"/>
                <w:b w:val="1"/>
                <w:bCs w:val="1"/>
                <w:color w:val="auto"/>
              </w:rPr>
              <w:t>Age: 76</w:t>
            </w:r>
          </w:p>
        </w:tc>
        <w:tc>
          <w:tcPr>
            <w:tcW w:w="0" w:type="dxa"/>
            <w:vAlign w:val="bottom"/>
          </w:tcPr>
          <w:p>
            <w:pPr>
              <w:spacing w:after="0"/>
              <w:rPr>
                <w:sz w:val="1"/>
                <w:szCs w:val="1"/>
                <w:color w:val="auto"/>
              </w:rPr>
            </w:pPr>
          </w:p>
        </w:tc>
      </w:tr>
      <w:tr>
        <w:trPr>
          <w:trHeight w:val="64"/>
        </w:trPr>
        <w:tc>
          <w:tcPr>
            <w:tcW w:w="1100" w:type="dxa"/>
            <w:vAlign w:val="bottom"/>
          </w:tcPr>
          <w:p>
            <w:pPr>
              <w:spacing w:after="0"/>
              <w:rPr>
                <w:sz w:val="5"/>
                <w:szCs w:val="5"/>
                <w:color w:val="auto"/>
              </w:rPr>
            </w:pPr>
          </w:p>
        </w:tc>
        <w:tc>
          <w:tcPr>
            <w:tcW w:w="7320" w:type="dxa"/>
            <w:vAlign w:val="bottom"/>
          </w:tcPr>
          <w:p>
            <w:pPr>
              <w:ind w:left="1060"/>
              <w:spacing w:after="0" w:line="64" w:lineRule="exact"/>
              <w:rPr>
                <w:sz w:val="20"/>
                <w:szCs w:val="20"/>
                <w:color w:val="auto"/>
              </w:rPr>
            </w:pPr>
            <w:r>
              <w:rPr>
                <w:rFonts w:ascii="Arial" w:cs="Arial" w:eastAsia="Arial" w:hAnsi="Arial"/>
                <w:sz w:val="7"/>
                <w:szCs w:val="7"/>
                <w:color w:val="auto"/>
              </w:rPr>
              <w:t> </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has served as a member of our Board of Directors since August 2019. Ms. Álvarez has led</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important financial and government agencies and served in the cabinet of U.S. President</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William  J.  Clinton  as  the  Administrator  of  the  U.S.  Small  Business  Administration.</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Ms. Álvarez serves on the board of directors of Stride, Inc., a for-profit education company,</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since April 2017 and Bill.com Holdings, Inc., a provider of automated, cloud-based software</w:t>
            </w:r>
          </w:p>
        </w:tc>
        <w:tc>
          <w:tcPr>
            <w:tcW w:w="0" w:type="dxa"/>
            <w:vAlign w:val="bottom"/>
          </w:tcPr>
          <w:p>
            <w:pPr>
              <w:spacing w:after="0"/>
              <w:rPr>
                <w:sz w:val="1"/>
                <w:szCs w:val="1"/>
                <w:color w:val="auto"/>
              </w:rPr>
            </w:pPr>
          </w:p>
        </w:tc>
      </w:tr>
      <w:tr>
        <w:trPr>
          <w:trHeight w:val="189"/>
        </w:trPr>
        <w:tc>
          <w:tcPr>
            <w:tcW w:w="1100" w:type="dxa"/>
            <w:vAlign w:val="bottom"/>
            <w:vMerge w:val="restart"/>
          </w:tcPr>
          <w:p>
            <w:pPr>
              <w:spacing w:after="0"/>
              <w:rPr>
                <w:sz w:val="20"/>
                <w:szCs w:val="20"/>
                <w:color w:val="auto"/>
              </w:rPr>
            </w:pPr>
            <w:r>
              <w:rPr>
                <w:rFonts w:ascii="Arial" w:cs="Arial" w:eastAsia="Arial" w:hAnsi="Arial"/>
                <w:sz w:val="16"/>
                <w:szCs w:val="16"/>
                <w:color w:val="auto"/>
              </w:rPr>
              <w:t> </w:t>
            </w:r>
          </w:p>
        </w:tc>
        <w:tc>
          <w:tcPr>
            <w:tcW w:w="7320" w:type="dxa"/>
            <w:vAlign w:val="bottom"/>
          </w:tcPr>
          <w:p>
            <w:pPr>
              <w:ind w:left="1060"/>
              <w:spacing w:after="0"/>
              <w:rPr>
                <w:sz w:val="20"/>
                <w:szCs w:val="20"/>
                <w:color w:val="auto"/>
              </w:rPr>
            </w:pPr>
            <w:r>
              <w:rPr>
                <w:rFonts w:ascii="Arial" w:cs="Arial" w:eastAsia="Arial" w:hAnsi="Arial"/>
                <w:sz w:val="15"/>
                <w:szCs w:val="15"/>
                <w:color w:val="auto"/>
              </w:rPr>
              <w:t>for financial operations, since April 2022. She previously served on the board of Oportun</w:t>
            </w:r>
          </w:p>
        </w:tc>
        <w:tc>
          <w:tcPr>
            <w:tcW w:w="0" w:type="dxa"/>
            <w:vAlign w:val="bottom"/>
          </w:tcPr>
          <w:p>
            <w:pPr>
              <w:spacing w:after="0"/>
              <w:rPr>
                <w:sz w:val="1"/>
                <w:szCs w:val="1"/>
                <w:color w:val="auto"/>
              </w:rPr>
            </w:pPr>
          </w:p>
        </w:tc>
      </w:tr>
      <w:tr>
        <w:trPr>
          <w:trHeight w:val="175"/>
        </w:trPr>
        <w:tc>
          <w:tcPr>
            <w:tcW w:w="1100" w:type="dxa"/>
            <w:vAlign w:val="bottom"/>
            <w:vMerge w:val="continue"/>
          </w:tcPr>
          <w:p>
            <w:pPr>
              <w:spacing w:after="0"/>
              <w:rPr>
                <w:sz w:val="15"/>
                <w:szCs w:val="15"/>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Financial Corporation, a financial services company, from August 2011 to November 2022.</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She has also previously served on the board of directors of HP Inc., a technology company,</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Wal-Mart Stores, Inc., a retail company, MUFG Americas Holdings Corporation, a banking</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corporation, Zoosk, an online dating company, and PacifiCare Health Systems, Inc., a</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national health consumer services company. Ms. Álvarez was the founding Chair of the</w:t>
            </w:r>
          </w:p>
        </w:tc>
        <w:tc>
          <w:tcPr>
            <w:tcW w:w="0" w:type="dxa"/>
            <w:vAlign w:val="bottom"/>
          </w:tcPr>
          <w:p>
            <w:pPr>
              <w:spacing w:after="0"/>
              <w:rPr>
                <w:sz w:val="1"/>
                <w:szCs w:val="1"/>
                <w:color w:val="auto"/>
              </w:rPr>
            </w:pPr>
          </w:p>
        </w:tc>
      </w:tr>
      <w:tr>
        <w:trPr>
          <w:trHeight w:val="175"/>
        </w:trPr>
        <w:tc>
          <w:tcPr>
            <w:tcW w:w="1100" w:type="dxa"/>
            <w:vAlign w:val="bottom"/>
          </w:tcPr>
          <w:p>
            <w:pPr>
              <w:spacing w:after="0"/>
              <w:rPr>
                <w:sz w:val="15"/>
                <w:szCs w:val="15"/>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Latino Community Foundation, and currently serves as its Board Chair Emerita. Ms. Álvarez</w:t>
            </w:r>
          </w:p>
        </w:tc>
        <w:tc>
          <w:tcPr>
            <w:tcW w:w="0" w:type="dxa"/>
            <w:vAlign w:val="bottom"/>
          </w:tcPr>
          <w:p>
            <w:pPr>
              <w:spacing w:after="0"/>
              <w:rPr>
                <w:sz w:val="1"/>
                <w:szCs w:val="1"/>
                <w:color w:val="auto"/>
              </w:rPr>
            </w:pPr>
          </w:p>
        </w:tc>
      </w:tr>
      <w:tr>
        <w:trPr>
          <w:trHeight w:val="189"/>
        </w:trPr>
        <w:tc>
          <w:tcPr>
            <w:tcW w:w="1100" w:type="dxa"/>
            <w:vAlign w:val="bottom"/>
          </w:tcPr>
          <w:p>
            <w:pPr>
              <w:spacing w:after="0"/>
              <w:rPr>
                <w:sz w:val="16"/>
                <w:szCs w:val="16"/>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holds a B.A. from Harvard College. We believe that Ms. Álvarez is qualified to serve as a</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member of our Board of Directors because of her extensive experience in the technology</w:t>
            </w:r>
          </w:p>
        </w:tc>
        <w:tc>
          <w:tcPr>
            <w:tcW w:w="0" w:type="dxa"/>
            <w:vAlign w:val="bottom"/>
          </w:tcPr>
          <w:p>
            <w:pPr>
              <w:spacing w:after="0"/>
              <w:rPr>
                <w:sz w:val="1"/>
                <w:szCs w:val="1"/>
                <w:color w:val="auto"/>
              </w:rPr>
            </w:pPr>
          </w:p>
        </w:tc>
      </w:tr>
      <w:tr>
        <w:trPr>
          <w:trHeight w:val="200"/>
        </w:trPr>
        <w:tc>
          <w:tcPr>
            <w:tcW w:w="1100" w:type="dxa"/>
            <w:vAlign w:val="bottom"/>
          </w:tcPr>
          <w:p>
            <w:pPr>
              <w:spacing w:after="0"/>
              <w:rPr>
                <w:sz w:val="17"/>
                <w:szCs w:val="17"/>
                <w:color w:val="auto"/>
              </w:rPr>
            </w:pPr>
          </w:p>
        </w:tc>
        <w:tc>
          <w:tcPr>
            <w:tcW w:w="7320" w:type="dxa"/>
            <w:vAlign w:val="bottom"/>
          </w:tcPr>
          <w:p>
            <w:pPr>
              <w:ind w:left="1060"/>
              <w:spacing w:after="0"/>
              <w:rPr>
                <w:sz w:val="20"/>
                <w:szCs w:val="20"/>
                <w:color w:val="auto"/>
              </w:rPr>
            </w:pPr>
            <w:r>
              <w:rPr>
                <w:rFonts w:ascii="Arial" w:cs="Arial" w:eastAsia="Arial" w:hAnsi="Arial"/>
                <w:sz w:val="15"/>
                <w:szCs w:val="15"/>
                <w:color w:val="auto"/>
              </w:rPr>
              <w:t>and finance industries and her service on public company boards.</w:t>
            </w: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EE3434"/>
        </w:rPr>
        <w:t>Charles “Kip” Compton</w:t>
      </w:r>
    </w:p>
    <w:p>
      <w:pPr>
        <w:spacing w:after="0" w:line="29" w:lineRule="exact"/>
        <w:rPr>
          <w:sz w:val="20"/>
          <w:szCs w:val="20"/>
          <w:color w:val="auto"/>
        </w:rPr>
      </w:pPr>
    </w:p>
    <w:p>
      <w:pPr>
        <w:ind w:left="2980"/>
        <w:spacing w:after="0"/>
        <w:rPr>
          <w:sz w:val="20"/>
          <w:szCs w:val="20"/>
          <w:color w:val="auto"/>
        </w:rPr>
      </w:pPr>
      <w:r>
        <w:rPr>
          <w:rFonts w:ascii="Arial" w:cs="Arial" w:eastAsia="Arial" w:hAnsi="Arial"/>
          <w:sz w:val="15"/>
          <w:szCs w:val="15"/>
          <w:b w:val="1"/>
          <w:bCs w:val="1"/>
          <w:color w:val="auto"/>
        </w:rPr>
        <w:t xml:space="preserve">Fastly Committees: </w:t>
      </w:r>
      <w:r>
        <w:rPr>
          <w:rFonts w:ascii="Arial" w:cs="Arial" w:eastAsia="Arial" w:hAnsi="Arial"/>
          <w:sz w:val="15"/>
          <w:szCs w:val="15"/>
          <w:color w:val="auto"/>
        </w:rPr>
        <w:t>None</w:t>
      </w:r>
    </w:p>
    <w:p>
      <w:pPr>
        <w:ind w:left="2980"/>
        <w:spacing w:after="0" w:line="180" w:lineRule="auto"/>
        <w:rPr>
          <w:sz w:val="20"/>
          <w:szCs w:val="20"/>
          <w:color w:val="auto"/>
        </w:rPr>
      </w:pPr>
      <w:r>
        <w:rPr>
          <w:rFonts w:ascii="Arial" w:cs="Arial" w:eastAsia="Arial" w:hAnsi="Arial"/>
          <w:sz w:val="15"/>
          <w:szCs w:val="15"/>
          <w:b w:val="1"/>
          <w:bCs w:val="1"/>
          <w:color w:val="auto"/>
        </w:rPr>
        <w:t>Age:</w:t>
      </w:r>
      <w:r>
        <w:rPr>
          <w:rFonts w:ascii="Arial" w:cs="Arial" w:eastAsia="Arial" w:hAnsi="Arial"/>
          <w:sz w:val="30"/>
          <w:szCs w:val="30"/>
          <w:color w:val="auto"/>
          <w:vertAlign w:val="subscript"/>
        </w:rPr>
        <w:t xml:space="preserve"> </w:t>
      </w:r>
      <w:r>
        <w:rPr>
          <w:rFonts w:ascii="Arial" w:cs="Arial" w:eastAsia="Arial" w:hAnsi="Arial"/>
          <w:sz w:val="15"/>
          <w:szCs w:val="15"/>
          <w:b w:val="1"/>
          <w:bCs w:val="1"/>
          <w:color w:val="auto"/>
        </w:rPr>
        <w:t xml:space="preserve"> 51</w:t>
      </w:r>
    </w:p>
    <w:p>
      <w:pPr>
        <w:spacing w:after="0" w:line="1"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has served as our Chief Executive Officer and as a member of our Board of Directors since</w:t>
      </w:r>
    </w:p>
    <w:p>
      <w:pPr>
        <w:spacing w:after="0" w:line="3" w:lineRule="exact"/>
        <w:rPr>
          <w:sz w:val="20"/>
          <w:szCs w:val="20"/>
          <w:color w:val="auto"/>
        </w:rPr>
      </w:pPr>
    </w:p>
    <w:p>
      <w:pPr>
        <w:ind w:left="2980"/>
        <w:spacing w:after="0"/>
        <w:rPr>
          <w:sz w:val="20"/>
          <w:szCs w:val="20"/>
          <w:color w:val="auto"/>
        </w:rPr>
      </w:pPr>
      <w:r>
        <w:rPr>
          <w:rFonts w:ascii="Arial" w:cs="Arial" w:eastAsia="Arial" w:hAnsi="Arial"/>
          <w:sz w:val="15"/>
          <w:szCs w:val="15"/>
          <w:color w:val="auto"/>
        </w:rPr>
        <w:t>June 2025. He previously served as Fastly’s Chief Product Officer since January 2024. Prior</w:t>
      </w:r>
    </w:p>
    <w:p>
      <w:pPr>
        <w:spacing w:after="0" w:line="14" w:lineRule="exact"/>
        <w:rPr>
          <w:sz w:val="20"/>
          <w:szCs w:val="20"/>
          <w:color w:val="auto"/>
        </w:rPr>
      </w:pPr>
    </w:p>
    <w:p>
      <w:pPr>
        <w:ind w:left="2980" w:right="299"/>
        <w:spacing w:after="0" w:line="253" w:lineRule="auto"/>
        <w:rPr>
          <w:sz w:val="20"/>
          <w:szCs w:val="20"/>
          <w:color w:val="auto"/>
        </w:rPr>
      </w:pPr>
      <w:r>
        <w:rPr>
          <w:rFonts w:ascii="Arial" w:cs="Arial" w:eastAsia="Arial" w:hAnsi="Arial"/>
          <w:sz w:val="15"/>
          <w:szCs w:val="15"/>
          <w:color w:val="auto"/>
        </w:rPr>
        <w:t>to joining Fastly, Mr. Compton served as the Senior Vice President of Strategy &amp; Business Development of the Cisco Networking business from 2020 to August 2023, where he led</w:t>
      </w:r>
    </w:p>
    <w:p>
      <w:pPr>
        <w:spacing w:after="0" w:line="1" w:lineRule="exact"/>
        <w:rPr>
          <w:sz w:val="20"/>
          <w:szCs w:val="20"/>
          <w:color w:val="auto"/>
        </w:rPr>
      </w:pPr>
    </w:p>
    <w:p>
      <w:pPr>
        <w:ind w:left="2980" w:right="299"/>
        <w:spacing w:after="0" w:line="253" w:lineRule="auto"/>
        <w:rPr>
          <w:sz w:val="20"/>
          <w:szCs w:val="20"/>
          <w:color w:val="auto"/>
        </w:rPr>
      </w:pPr>
      <w:r>
        <w:rPr>
          <w:rFonts w:ascii="Arial" w:cs="Arial" w:eastAsia="Arial" w:hAnsi="Arial"/>
          <w:sz w:val="15"/>
          <w:szCs w:val="15"/>
          <w:color w:val="auto"/>
        </w:rPr>
        <w:t>teams responsible for strategy, portfolio management, investments and acquisitions. Prior to that, he held various roles at Cisco since January 2006. Mr. Compton brings more than 25</w:t>
      </w:r>
    </w:p>
    <w:p>
      <w:pPr>
        <w:sectPr>
          <w:pgSz w:w="11900" w:h="16838" w:orient="portrait"/>
          <w:cols w:equalWidth="0" w:num="1">
            <w:col w:w="9539"/>
          </w:cols>
          <w:pgMar w:left="920" w:top="114" w:right="1440" w:bottom="1440" w:gutter="0" w:footer="0" w:header="0"/>
        </w:sectPr>
      </w:pPr>
    </w:p>
    <w:p>
      <w:pPr>
        <w:spacing w:after="0" w:line="33"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ind w:right="299"/>
        <w:spacing w:after="0" w:line="253" w:lineRule="auto"/>
        <w:rPr>
          <w:sz w:val="20"/>
          <w:szCs w:val="20"/>
          <w:color w:val="auto"/>
        </w:rPr>
      </w:pPr>
      <w:r>
        <w:rPr>
          <w:rFonts w:ascii="Arial" w:cs="Arial" w:eastAsia="Arial" w:hAnsi="Arial"/>
          <w:sz w:val="15"/>
          <w:szCs w:val="15"/>
          <w:color w:val="auto"/>
        </w:rPr>
        <w:t>years of senior leadership experience driving innovation in cloud, video, Internet of Things (IoT) and networking. He has a long and proven track record of growing teams and</w:t>
      </w:r>
    </w:p>
    <w:p>
      <w:pPr>
        <w:spacing w:after="0" w:line="1" w:lineRule="exact"/>
        <w:rPr>
          <w:sz w:val="20"/>
          <w:szCs w:val="20"/>
          <w:color w:val="auto"/>
        </w:rPr>
      </w:pPr>
    </w:p>
    <w:p>
      <w:pPr>
        <w:sectPr>
          <w:pgSz w:w="11900" w:h="16838" w:orient="portrait"/>
          <w:cols w:equalWidth="0" w:num="2">
            <w:col w:w="2260" w:space="720"/>
            <w:col w:w="6559"/>
          </w:cols>
          <w:pgMar w:left="920" w:top="114" w:right="1440" w:bottom="1440" w:gutter="0" w:footer="0" w:header="0"/>
          <w:type w:val="continuous"/>
        </w:sectPr>
      </w:pPr>
    </w:p>
    <w:p>
      <w:pPr>
        <w:ind w:left="2980" w:right="299"/>
        <w:spacing w:after="0" w:line="253" w:lineRule="auto"/>
        <w:rPr>
          <w:sz w:val="20"/>
          <w:szCs w:val="20"/>
          <w:color w:val="auto"/>
        </w:rPr>
      </w:pPr>
      <w:r>
        <w:rPr>
          <w:rFonts w:ascii="Arial" w:cs="Arial" w:eastAsia="Arial" w:hAnsi="Arial"/>
          <w:sz w:val="15"/>
          <w:szCs w:val="15"/>
          <w:color w:val="auto"/>
        </w:rPr>
        <w:t>businesses, including creating partnerships and investments to drive growth and open new markets. Mr. Compton holds both a Bachelor of Science degree in Computer Science and</w:t>
      </w:r>
    </w:p>
    <w:p>
      <w:pPr>
        <w:spacing w:after="0" w:line="1" w:lineRule="exact"/>
        <w:rPr>
          <w:sz w:val="20"/>
          <w:szCs w:val="20"/>
          <w:color w:val="auto"/>
        </w:rPr>
      </w:pPr>
    </w:p>
    <w:p>
      <w:pPr>
        <w:jc w:val="both"/>
        <w:ind w:left="2980" w:right="299"/>
        <w:spacing w:after="0" w:line="250" w:lineRule="auto"/>
        <w:rPr>
          <w:sz w:val="20"/>
          <w:szCs w:val="20"/>
          <w:color w:val="auto"/>
        </w:rPr>
      </w:pPr>
      <w:r>
        <w:rPr>
          <w:rFonts w:ascii="Arial" w:cs="Arial" w:eastAsia="Arial" w:hAnsi="Arial"/>
          <w:sz w:val="15"/>
          <w:szCs w:val="15"/>
          <w:color w:val="auto"/>
        </w:rPr>
        <w:t>Engineering and a Master’s degree in Electrical Engineering and Computer Science from Massachusetts Institute of Technology and an MBA from The Wharton School of the University of Pennsylvania. We believe that Mr. Compton’s deep industry experience,</w:t>
      </w:r>
    </w:p>
    <w:p>
      <w:pPr>
        <w:spacing w:after="0" w:line="1" w:lineRule="exact"/>
        <w:rPr>
          <w:sz w:val="20"/>
          <w:szCs w:val="20"/>
          <w:color w:val="auto"/>
        </w:rPr>
      </w:pPr>
    </w:p>
    <w:p>
      <w:pPr>
        <w:ind w:left="2980" w:right="299"/>
        <w:spacing w:after="0" w:line="267" w:lineRule="auto"/>
        <w:rPr>
          <w:sz w:val="20"/>
          <w:szCs w:val="20"/>
          <w:color w:val="auto"/>
        </w:rPr>
      </w:pPr>
      <w:r>
        <w:rPr>
          <w:rFonts w:ascii="Arial" w:cs="Arial" w:eastAsia="Arial" w:hAnsi="Arial"/>
          <w:sz w:val="15"/>
          <w:szCs w:val="15"/>
          <w:color w:val="auto"/>
        </w:rPr>
        <w:t>including product engineering and business leadership roles in networking, qualifies him to serve as a member of our Board of Directors.</w:t>
      </w:r>
    </w:p>
    <w:p>
      <w:pPr>
        <w:sectPr>
          <w:pgSz w:w="11900" w:h="16838" w:orient="portrait"/>
          <w:cols w:equalWidth="0" w:num="1">
            <w:col w:w="9539"/>
          </w:cols>
          <w:pgMar w:left="920" w:top="114" w:right="1440" w:bottom="1440" w:gutter="0" w:footer="0" w:header="0"/>
          <w:type w:val="continuous"/>
        </w:sectPr>
      </w:pPr>
    </w:p>
    <w:p>
      <w:pPr>
        <w:spacing w:after="0" w:line="17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129540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989330</wp:posOffset>
            </wp:positionV>
            <wp:extent cx="17970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70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-1890395</wp:posOffset>
            </wp:positionH>
            <wp:positionV relativeFrom="paragraph">
              <wp:posOffset>38735</wp:posOffset>
            </wp:positionV>
            <wp:extent cx="6377940" cy="2040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77940" cy="2040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EE3434"/>
        </w:rPr>
        <w:t>Richard Daniels</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Fastly Committees: </w:t>
      </w:r>
      <w:r>
        <w:rPr>
          <w:rFonts w:ascii="Arial" w:cs="Arial" w:eastAsia="Arial" w:hAnsi="Arial"/>
          <w:sz w:val="15"/>
          <w:szCs w:val="15"/>
          <w:color w:val="auto"/>
        </w:rPr>
        <w:t>Audit</w:t>
      </w:r>
    </w:p>
    <w:p>
      <w:pPr>
        <w:spacing w:after="0" w:line="214" w:lineRule="auto"/>
        <w:rPr>
          <w:sz w:val="20"/>
          <w:szCs w:val="20"/>
          <w:color w:val="auto"/>
        </w:rPr>
      </w:pPr>
      <w:r>
        <w:rPr>
          <w:rFonts w:ascii="Arial" w:cs="Arial" w:eastAsia="Arial" w:hAnsi="Arial"/>
          <w:sz w:val="15"/>
          <w:szCs w:val="15"/>
          <w:b w:val="1"/>
          <w:bCs w:val="1"/>
          <w:color w:val="auto"/>
        </w:rPr>
        <w:t>Age: 71</w:t>
      </w:r>
    </w:p>
    <w:p>
      <w:pPr>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jc w:val="both"/>
        <w:ind w:right="640"/>
        <w:spacing w:after="0" w:line="254" w:lineRule="auto"/>
        <w:rPr>
          <w:sz w:val="20"/>
          <w:szCs w:val="20"/>
          <w:color w:val="auto"/>
        </w:rPr>
      </w:pPr>
      <w:r>
        <w:rPr>
          <w:rFonts w:ascii="Arial" w:cs="Arial" w:eastAsia="Arial" w:hAnsi="Arial"/>
          <w:sz w:val="15"/>
          <w:szCs w:val="15"/>
          <w:color w:val="auto"/>
        </w:rPr>
        <w:t>has served as a member of our Board of Directors since November 2021. Mr. Daniels retired from Kaiser Permanente, an integrated managed care consortium, in 2020, where he was most recently Executive Vice President &amp; CIO. He serves on the Board of CSAA Insurance Group and is on the Board of the Parkland Center for Clinical Innovation. Mr. Daniels previously served on the Board of SVB Financial Group from October 2020 to November 2024. He also served on the Board of Playworks from December 2015 to January 2023. Before Kaiser Permanente, Mr. Daniels held technology leadership roles at Capital One and JPMorgan. Mr. Daniels holds a B.A.Sc. in Business Administration and Management from Texas State University. We believe that Mr. Daniels is qualified to serve as a member of our Board of Directors because of his leadership experience in technology roles, service as a member of the board of directors for other companies, and deep knowledge of information security risks.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200" w:lineRule="exact"/>
        <w:rPr>
          <w:sz w:val="20"/>
          <w:szCs w:val="20"/>
          <w:color w:val="auto"/>
        </w:rPr>
      </w:pPr>
    </w:p>
    <w:p>
      <w:pPr>
        <w:sectPr>
          <w:pgSz w:w="11900" w:h="16838" w:orient="portrait"/>
          <w:cols w:equalWidth="0" w:num="2">
            <w:col w:w="2260" w:space="720"/>
            <w:col w:w="6900"/>
          </w:cols>
          <w:pgMar w:left="920" w:top="114" w:right="1099" w:bottom="1440" w:gutter="0" w:footer="0" w:header="0"/>
        </w:sectPr>
      </w:pPr>
    </w:p>
    <w:p>
      <w:pPr>
        <w:spacing w:after="0" w:line="31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in Favor of Each Named Nominee.</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113665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80"/>
          </w:cols>
          <w:pgMar w:left="920" w:top="114" w:right="10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2027 Annual Meeting</w:t>
      </w:r>
    </w:p>
    <w:p>
      <w:pPr>
        <w:spacing w:after="0" w:line="175"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EE3434"/>
        </w:rPr>
        <w:t>David Hornik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-141605</wp:posOffset>
            </wp:positionV>
            <wp:extent cx="1191260" cy="1191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91260" cy="1191895"/>
                    </a:xfrm>
                    <a:prstGeom prst="rect">
                      <a:avLst/>
                    </a:prstGeom>
                    <a:noFill/>
                  </pic:spPr>
                </pic:pic>
              </a:graphicData>
            </a:graphic>
          </wp:anchor>
        </w:drawing>
      </w:r>
    </w:p>
    <w:p>
      <w:pPr>
        <w:spacing w:after="0" w:line="33" w:lineRule="exact"/>
        <w:rPr>
          <w:sz w:val="20"/>
          <w:szCs w:val="20"/>
          <w:color w:val="auto"/>
        </w:rPr>
      </w:pPr>
    </w:p>
    <w:p>
      <w:pPr>
        <w:ind w:left="2160"/>
        <w:spacing w:after="0"/>
        <w:rPr>
          <w:sz w:val="20"/>
          <w:szCs w:val="20"/>
          <w:color w:val="auto"/>
        </w:rPr>
      </w:pPr>
      <w:r>
        <w:rPr>
          <w:rFonts w:ascii="Arial" w:cs="Arial" w:eastAsia="Arial" w:hAnsi="Arial"/>
          <w:sz w:val="15"/>
          <w:szCs w:val="15"/>
          <w:b w:val="1"/>
          <w:bCs w:val="1"/>
          <w:color w:val="auto"/>
        </w:rPr>
        <w:t xml:space="preserve">Fastly Committees: </w:t>
      </w:r>
      <w:r>
        <w:rPr>
          <w:rFonts w:ascii="Arial" w:cs="Arial" w:eastAsia="Arial" w:hAnsi="Arial"/>
          <w:sz w:val="15"/>
          <w:szCs w:val="15"/>
          <w:color w:val="auto"/>
        </w:rPr>
        <w:t>Compensation, Nominating and Corporate Governance</w:t>
      </w:r>
    </w:p>
    <w:p>
      <w:pPr>
        <w:sectPr>
          <w:pgSz w:w="11900" w:h="16838" w:orient="portrait"/>
          <w:cols w:equalWidth="0" w:num="1">
            <w:col w:w="10000"/>
          </w:cols>
          <w:pgMar w:left="920" w:top="114" w:right="9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5"/>
          <w:szCs w:val="15"/>
          <w:b w:val="1"/>
          <w:bCs w:val="1"/>
          <w:color w:val="auto"/>
        </w:rPr>
        <w:t>Age: 58</w:t>
      </w:r>
    </w:p>
    <w:p>
      <w:pPr>
        <w:spacing w:after="0" w:line="225"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color w:val="auto"/>
        </w:rPr>
        <w:t>has served as the Chairperson of our Board of Directors since April 2023, Lead Independent Director of our Board</w:t>
      </w:r>
    </w:p>
    <w:p>
      <w:pPr>
        <w:spacing w:after="0" w:line="226" w:lineRule="auto"/>
        <w:rPr>
          <w:sz w:val="20"/>
          <w:szCs w:val="20"/>
          <w:color w:val="auto"/>
        </w:rPr>
      </w:pPr>
      <w:r>
        <w:rPr>
          <w:rFonts w:ascii="Arial" w:cs="Arial" w:eastAsia="Arial" w:hAnsi="Arial"/>
          <w:sz w:val="15"/>
          <w:szCs w:val="15"/>
          <w:color w:val="auto"/>
        </w:rPr>
        <w:t>of Directors from February 2020 to April 2023, and as a member of our Board of Directors since February 2013.</w:t>
      </w:r>
    </w:p>
    <w:p>
      <w:pPr>
        <w:spacing w:after="0" w:line="225" w:lineRule="auto"/>
        <w:rPr>
          <w:sz w:val="20"/>
          <w:szCs w:val="20"/>
          <w:color w:val="auto"/>
        </w:rPr>
      </w:pPr>
      <w:r>
        <w:rPr>
          <w:rFonts w:ascii="Arial" w:cs="Arial" w:eastAsia="Arial" w:hAnsi="Arial"/>
          <w:sz w:val="15"/>
          <w:szCs w:val="15"/>
          <w:color w:val="auto"/>
        </w:rPr>
        <w:t>Mr. Hornik has been a partner at Lobby Capital and August Capital, venture capital funds, since 2021 and 2000,</w:t>
      </w:r>
    </w:p>
    <w:p>
      <w:pPr>
        <w:spacing w:after="0" w:line="226" w:lineRule="auto"/>
        <w:rPr>
          <w:sz w:val="20"/>
          <w:szCs w:val="20"/>
          <w:color w:val="auto"/>
        </w:rPr>
      </w:pPr>
      <w:r>
        <w:rPr>
          <w:rFonts w:ascii="Arial" w:cs="Arial" w:eastAsia="Arial" w:hAnsi="Arial"/>
          <w:sz w:val="15"/>
          <w:szCs w:val="15"/>
          <w:color w:val="auto"/>
        </w:rPr>
        <w:t>respectively. From January 2019 to March 2022, Mr. Hornik served as a member of the board of directors of Gitlab</w:t>
      </w:r>
    </w:p>
    <w:p>
      <w:pPr>
        <w:spacing w:after="0" w:line="225" w:lineRule="auto"/>
        <w:rPr>
          <w:sz w:val="20"/>
          <w:szCs w:val="20"/>
          <w:color w:val="auto"/>
        </w:rPr>
      </w:pPr>
      <w:r>
        <w:rPr>
          <w:rFonts w:ascii="Arial" w:cs="Arial" w:eastAsia="Arial" w:hAnsi="Arial"/>
          <w:sz w:val="15"/>
          <w:szCs w:val="15"/>
          <w:color w:val="auto"/>
        </w:rPr>
        <w:t>Inc., a DevSecOps platform delivered as a single application. From August 2004 to September 2017, Mr. Hornik</w:t>
      </w:r>
    </w:p>
    <w:p>
      <w:pPr>
        <w:spacing w:after="0" w:line="225" w:lineRule="auto"/>
        <w:rPr>
          <w:sz w:val="20"/>
          <w:szCs w:val="20"/>
          <w:color w:val="auto"/>
        </w:rPr>
      </w:pPr>
      <w:r>
        <w:rPr>
          <w:rFonts w:ascii="Arial" w:cs="Arial" w:eastAsia="Arial" w:hAnsi="Arial"/>
          <w:sz w:val="15"/>
          <w:szCs w:val="15"/>
          <w:color w:val="auto"/>
        </w:rPr>
        <w:t>served as a member of the board of directors of Splunk Inc., a software and data solutions company. Mr. Hornik has</w:t>
      </w:r>
    </w:p>
    <w:p>
      <w:pPr>
        <w:spacing w:after="0" w:line="226" w:lineRule="auto"/>
        <w:rPr>
          <w:sz w:val="20"/>
          <w:szCs w:val="20"/>
          <w:color w:val="auto"/>
        </w:rPr>
      </w:pPr>
      <w:r>
        <w:rPr>
          <w:rFonts w:ascii="Arial" w:cs="Arial" w:eastAsia="Arial" w:hAnsi="Arial"/>
          <w:sz w:val="15"/>
          <w:szCs w:val="15"/>
          <w:color w:val="auto"/>
        </w:rPr>
        <w:t>served as a member of the board of directors of Bill.com, a cloud-based software company that automates back-</w:t>
      </w:r>
    </w:p>
    <w:p>
      <w:pPr>
        <w:spacing w:after="0" w:line="225" w:lineRule="auto"/>
        <w:rPr>
          <w:sz w:val="20"/>
          <w:szCs w:val="20"/>
          <w:color w:val="auto"/>
        </w:rPr>
      </w:pPr>
      <w:r>
        <w:rPr>
          <w:rFonts w:ascii="Arial" w:cs="Arial" w:eastAsia="Arial" w:hAnsi="Arial"/>
          <w:sz w:val="15"/>
          <w:szCs w:val="15"/>
          <w:color w:val="auto"/>
        </w:rPr>
        <w:t>office financial operations, since May 2016. Prior to joining August Capital, Mr. Hornik was an intellectual property</w:t>
      </w:r>
    </w:p>
    <w:p>
      <w:pPr>
        <w:spacing w:after="0" w:line="226" w:lineRule="auto"/>
        <w:rPr>
          <w:sz w:val="20"/>
          <w:szCs w:val="20"/>
          <w:color w:val="auto"/>
        </w:rPr>
      </w:pPr>
      <w:r>
        <w:rPr>
          <w:rFonts w:ascii="Arial" w:cs="Arial" w:eastAsia="Arial" w:hAnsi="Arial"/>
          <w:sz w:val="15"/>
          <w:szCs w:val="15"/>
          <w:color w:val="auto"/>
        </w:rPr>
        <w:t>and corporate attorney at the law firms of Venture Law Group and Perkins Coie LLP, and a litigator at the law firm of</w:t>
      </w:r>
    </w:p>
    <w:p>
      <w:pPr>
        <w:spacing w:after="0" w:line="225" w:lineRule="auto"/>
        <w:rPr>
          <w:sz w:val="20"/>
          <w:szCs w:val="20"/>
          <w:color w:val="auto"/>
        </w:rPr>
      </w:pPr>
      <w:r>
        <w:rPr>
          <w:rFonts w:ascii="Arial" w:cs="Arial" w:eastAsia="Arial" w:hAnsi="Arial"/>
          <w:sz w:val="15"/>
          <w:szCs w:val="15"/>
          <w:color w:val="auto"/>
        </w:rPr>
        <w:t>Cravath, Swaine &amp; Moore LLP. Mr. Hornik holds an A.B. from Stanford University, an M.Phil from Cambridge</w:t>
      </w:r>
    </w:p>
    <w:p>
      <w:pPr>
        <w:spacing w:after="0" w:line="226" w:lineRule="auto"/>
        <w:rPr>
          <w:sz w:val="20"/>
          <w:szCs w:val="20"/>
          <w:color w:val="auto"/>
        </w:rPr>
      </w:pPr>
      <w:r>
        <w:rPr>
          <w:rFonts w:ascii="Arial" w:cs="Arial" w:eastAsia="Arial" w:hAnsi="Arial"/>
          <w:sz w:val="15"/>
          <w:szCs w:val="15"/>
          <w:color w:val="auto"/>
        </w:rPr>
        <w:t>University and a J.D. from Harvard Law School. We believe that Mr. Hornik is qualified to serve as a member of our</w:t>
      </w:r>
    </w:p>
    <w:p>
      <w:pPr>
        <w:spacing w:after="0" w:line="225" w:lineRule="auto"/>
        <w:rPr>
          <w:sz w:val="20"/>
          <w:szCs w:val="20"/>
          <w:color w:val="auto"/>
        </w:rPr>
      </w:pPr>
      <w:r>
        <w:rPr>
          <w:rFonts w:ascii="Arial" w:cs="Arial" w:eastAsia="Arial" w:hAnsi="Arial"/>
          <w:sz w:val="15"/>
          <w:szCs w:val="15"/>
          <w:color w:val="auto"/>
        </w:rPr>
        <w:t>Board of Directors because of his extensive experience with technology companies in our industry, his service on</w:t>
      </w:r>
    </w:p>
    <w:p>
      <w:pPr>
        <w:spacing w:after="0"/>
        <w:rPr>
          <w:sz w:val="20"/>
          <w:szCs w:val="20"/>
          <w:color w:val="auto"/>
        </w:rPr>
      </w:pPr>
      <w:r>
        <w:rPr>
          <w:rFonts w:ascii="Arial" w:cs="Arial" w:eastAsia="Arial" w:hAnsi="Arial"/>
          <w:sz w:val="15"/>
          <w:szCs w:val="15"/>
          <w:color w:val="auto"/>
        </w:rPr>
        <w:t>public and private company boards, and the historical knowledge and continuity he brings to our Board of Directors.</w:t>
      </w:r>
    </w:p>
    <w:p>
      <w:pPr>
        <w:spacing w:after="0" w:line="200" w:lineRule="exact"/>
        <w:rPr>
          <w:sz w:val="20"/>
          <w:szCs w:val="20"/>
          <w:color w:val="auto"/>
        </w:rPr>
      </w:pPr>
    </w:p>
    <w:p>
      <w:pPr>
        <w:sectPr>
          <w:pgSz w:w="11900" w:h="16838" w:orient="portrait"/>
          <w:cols w:equalWidth="0" w:num="2">
            <w:col w:w="1440" w:space="720"/>
            <w:col w:w="7840"/>
          </w:cols>
          <w:pgMar w:left="920" w:top="114" w:right="979" w:bottom="1440" w:gutter="0" w:footer="0" w:header="0"/>
          <w:type w:val="continuous"/>
        </w:sectPr>
      </w:pPr>
    </w:p>
    <w:p>
      <w:pPr>
        <w:spacing w:after="0" w:line="169"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EE3434"/>
        </w:rPr>
        <w:t>Charles Meyers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-141605</wp:posOffset>
            </wp:positionV>
            <wp:extent cx="1225550" cy="1217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25550" cy="1217295"/>
                    </a:xfrm>
                    <a:prstGeom prst="rect">
                      <a:avLst/>
                    </a:prstGeom>
                    <a:noFill/>
                  </pic:spPr>
                </pic:pic>
              </a:graphicData>
            </a:graphic>
          </wp:anchor>
        </w:drawing>
      </w:r>
    </w:p>
    <w:p>
      <w:pPr>
        <w:spacing w:after="0" w:line="33" w:lineRule="exact"/>
        <w:rPr>
          <w:sz w:val="20"/>
          <w:szCs w:val="20"/>
          <w:color w:val="auto"/>
        </w:rPr>
      </w:pPr>
    </w:p>
    <w:p>
      <w:pPr>
        <w:ind w:left="2160"/>
        <w:spacing w:after="0"/>
        <w:rPr>
          <w:sz w:val="20"/>
          <w:szCs w:val="20"/>
          <w:color w:val="auto"/>
        </w:rPr>
      </w:pPr>
      <w:r>
        <w:rPr>
          <w:rFonts w:ascii="Arial" w:cs="Arial" w:eastAsia="Arial" w:hAnsi="Arial"/>
          <w:sz w:val="15"/>
          <w:szCs w:val="15"/>
          <w:b w:val="1"/>
          <w:bCs w:val="1"/>
          <w:color w:val="auto"/>
        </w:rPr>
        <w:t xml:space="preserve">Fastly Committees: </w:t>
      </w:r>
      <w:r>
        <w:rPr>
          <w:rFonts w:ascii="Arial" w:cs="Arial" w:eastAsia="Arial" w:hAnsi="Arial"/>
          <w:sz w:val="15"/>
          <w:szCs w:val="15"/>
          <w:color w:val="auto"/>
        </w:rPr>
        <w:t>Compensation</w:t>
      </w:r>
    </w:p>
    <w:p>
      <w:pPr>
        <w:sectPr>
          <w:pgSz w:w="11900" w:h="16838" w:orient="portrait"/>
          <w:cols w:equalWidth="0" w:num="1">
            <w:col w:w="10000"/>
          </w:cols>
          <w:pgMar w:left="920" w:top="114"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5"/>
          <w:szCs w:val="15"/>
          <w:b w:val="1"/>
          <w:bCs w:val="1"/>
          <w:color w:val="auto"/>
        </w:rPr>
        <w:t>Age: 60</w:t>
      </w:r>
    </w:p>
    <w:p>
      <w:pPr>
        <w:spacing w:after="0" w:line="225"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color w:val="auto"/>
        </w:rPr>
        <w:t>has served as a member of our Board of Directors since July 2021. Mr. Meyers has served as the Executive</w:t>
      </w:r>
    </w:p>
    <w:p>
      <w:pPr>
        <w:spacing w:after="0" w:line="226" w:lineRule="auto"/>
        <w:rPr>
          <w:sz w:val="20"/>
          <w:szCs w:val="20"/>
          <w:color w:val="auto"/>
        </w:rPr>
      </w:pPr>
      <w:r>
        <w:rPr>
          <w:rFonts w:ascii="Arial" w:cs="Arial" w:eastAsia="Arial" w:hAnsi="Arial"/>
          <w:sz w:val="15"/>
          <w:szCs w:val="15"/>
          <w:color w:val="auto"/>
        </w:rPr>
        <w:t>Chairman of Equinix, Inc., a provider of network colocation, interconnection, and managed services, since</w:t>
      </w:r>
    </w:p>
    <w:p>
      <w:pPr>
        <w:spacing w:after="0" w:line="225" w:lineRule="auto"/>
        <w:rPr>
          <w:sz w:val="20"/>
          <w:szCs w:val="20"/>
          <w:color w:val="auto"/>
        </w:rPr>
      </w:pPr>
      <w:r>
        <w:rPr>
          <w:rFonts w:ascii="Arial" w:cs="Arial" w:eastAsia="Arial" w:hAnsi="Arial"/>
          <w:sz w:val="15"/>
          <w:szCs w:val="15"/>
          <w:color w:val="auto"/>
        </w:rPr>
        <w:t>June 2024. He previously served as President and Chief Executive Officer from September 2018 to June 2024,</w:t>
      </w:r>
    </w:p>
    <w:p>
      <w:pPr>
        <w:spacing w:after="0" w:line="226" w:lineRule="auto"/>
        <w:rPr>
          <w:sz w:val="20"/>
          <w:szCs w:val="20"/>
          <w:color w:val="auto"/>
        </w:rPr>
      </w:pPr>
      <w:r>
        <w:rPr>
          <w:rFonts w:ascii="Arial" w:cs="Arial" w:eastAsia="Arial" w:hAnsi="Arial"/>
          <w:sz w:val="15"/>
          <w:szCs w:val="15"/>
          <w:color w:val="auto"/>
        </w:rPr>
        <w:t>President, Strategy, Services &amp; Innovation, as well as Chief Operating Officer, after joining Equinix in 2010 as</w:t>
      </w:r>
    </w:p>
    <w:p>
      <w:pPr>
        <w:spacing w:after="0" w:line="225" w:lineRule="auto"/>
        <w:rPr>
          <w:sz w:val="20"/>
          <w:szCs w:val="20"/>
          <w:color w:val="auto"/>
        </w:rPr>
      </w:pPr>
      <w:r>
        <w:rPr>
          <w:rFonts w:ascii="Arial" w:cs="Arial" w:eastAsia="Arial" w:hAnsi="Arial"/>
          <w:sz w:val="15"/>
          <w:szCs w:val="15"/>
          <w:color w:val="auto"/>
        </w:rPr>
        <w:t>President, Americas Region. Mr. Meyers also previously held senior operating roles at Level 3 Communications and</w:t>
      </w:r>
    </w:p>
    <w:p>
      <w:pPr>
        <w:spacing w:after="0" w:line="225" w:lineRule="auto"/>
        <w:rPr>
          <w:sz w:val="20"/>
          <w:szCs w:val="20"/>
          <w:color w:val="auto"/>
        </w:rPr>
      </w:pPr>
      <w:r>
        <w:rPr>
          <w:rFonts w:ascii="Arial" w:cs="Arial" w:eastAsia="Arial" w:hAnsi="Arial"/>
          <w:sz w:val="15"/>
          <w:szCs w:val="15"/>
          <w:color w:val="auto"/>
        </w:rPr>
        <w:t>Verisign and was a member of the pre-IPO executive team at Internet Security Systems. Mr. Meyers holds a B.S. in</w:t>
      </w:r>
    </w:p>
    <w:p>
      <w:pPr>
        <w:spacing w:after="0" w:line="226" w:lineRule="auto"/>
        <w:rPr>
          <w:sz w:val="20"/>
          <w:szCs w:val="20"/>
          <w:color w:val="auto"/>
        </w:rPr>
      </w:pPr>
      <w:r>
        <w:rPr>
          <w:rFonts w:ascii="Arial" w:cs="Arial" w:eastAsia="Arial" w:hAnsi="Arial"/>
          <w:sz w:val="15"/>
          <w:szCs w:val="15"/>
          <w:color w:val="auto"/>
        </w:rPr>
        <w:t>Chemical Engineering from the University of Colorado Boulder, an M.S. in Engineering Management from</w:t>
      </w:r>
    </w:p>
    <w:p>
      <w:pPr>
        <w:spacing w:after="0" w:line="225" w:lineRule="auto"/>
        <w:rPr>
          <w:sz w:val="20"/>
          <w:szCs w:val="20"/>
          <w:color w:val="auto"/>
        </w:rPr>
      </w:pPr>
      <w:r>
        <w:rPr>
          <w:rFonts w:ascii="Arial" w:cs="Arial" w:eastAsia="Arial" w:hAnsi="Arial"/>
          <w:sz w:val="15"/>
          <w:szCs w:val="15"/>
          <w:color w:val="auto"/>
        </w:rPr>
        <w:t>Northwestern University, and an M.B.A. in Marketing, Strategy from the Northwestern University Kellogg School of</w:t>
      </w:r>
    </w:p>
    <w:p>
      <w:pPr>
        <w:spacing w:after="0" w:line="226" w:lineRule="auto"/>
        <w:rPr>
          <w:sz w:val="20"/>
          <w:szCs w:val="20"/>
          <w:color w:val="auto"/>
        </w:rPr>
      </w:pPr>
      <w:r>
        <w:rPr>
          <w:rFonts w:ascii="Arial" w:cs="Arial" w:eastAsia="Arial" w:hAnsi="Arial"/>
          <w:sz w:val="15"/>
          <w:szCs w:val="15"/>
          <w:color w:val="auto"/>
        </w:rPr>
        <w:t>Management. We believe that Mr. Meyers’ leadership experience in the technology industry and his deep</w:t>
      </w:r>
    </w:p>
    <w:p>
      <w:pPr>
        <w:spacing w:after="0" w:line="225" w:lineRule="auto"/>
        <w:rPr>
          <w:sz w:val="20"/>
          <w:szCs w:val="20"/>
          <w:color w:val="auto"/>
        </w:rPr>
      </w:pPr>
      <w:r>
        <w:rPr>
          <w:rFonts w:ascii="Arial" w:cs="Arial" w:eastAsia="Arial" w:hAnsi="Arial"/>
          <w:sz w:val="15"/>
          <w:szCs w:val="15"/>
          <w:color w:val="auto"/>
        </w:rPr>
        <w:t>knowledge of cybersecurity risks faced by leading telecommunications and information technology companies</w:t>
      </w:r>
    </w:p>
    <w:p>
      <w:pPr>
        <w:spacing w:after="0"/>
        <w:rPr>
          <w:sz w:val="20"/>
          <w:szCs w:val="20"/>
          <w:color w:val="auto"/>
        </w:rPr>
      </w:pPr>
      <w:r>
        <w:rPr>
          <w:rFonts w:ascii="Arial" w:cs="Arial" w:eastAsia="Arial" w:hAnsi="Arial"/>
          <w:sz w:val="15"/>
          <w:szCs w:val="15"/>
          <w:color w:val="auto"/>
        </w:rPr>
        <w:t>qualifies him to serve on our Board of Directors.</w:t>
      </w:r>
    </w:p>
    <w:p>
      <w:pPr>
        <w:spacing w:after="0" w:line="200" w:lineRule="exact"/>
        <w:rPr>
          <w:sz w:val="20"/>
          <w:szCs w:val="20"/>
          <w:color w:val="auto"/>
        </w:rPr>
      </w:pPr>
    </w:p>
    <w:p>
      <w:pPr>
        <w:sectPr>
          <w:pgSz w:w="11900" w:h="16838" w:orient="portrait"/>
          <w:cols w:equalWidth="0" w:num="2">
            <w:col w:w="1440" w:space="720"/>
            <w:col w:w="7840"/>
          </w:cols>
          <w:pgMar w:left="920" w:top="114" w:right="979" w:bottom="1440" w:gutter="0" w:footer="0" w:header="0"/>
          <w:type w:val="continuous"/>
        </w:sectPr>
      </w:pPr>
    </w:p>
    <w:p>
      <w:pPr>
        <w:spacing w:after="0" w:line="169" w:lineRule="exact"/>
        <w:rPr>
          <w:sz w:val="20"/>
          <w:szCs w:val="20"/>
          <w:color w:val="auto"/>
        </w:rPr>
      </w:pPr>
    </w:p>
    <w:p>
      <w:pPr>
        <w:ind w:left="2160"/>
        <w:spacing w:after="0"/>
        <w:rPr>
          <w:sz w:val="20"/>
          <w:szCs w:val="20"/>
          <w:color w:val="auto"/>
        </w:rPr>
      </w:pPr>
      <w:r>
        <w:rPr>
          <w:rFonts w:ascii="Arial" w:cs="Arial" w:eastAsia="Arial" w:hAnsi="Arial"/>
          <w:sz w:val="22"/>
          <w:szCs w:val="22"/>
          <w:b w:val="1"/>
          <w:bCs w:val="1"/>
          <w:color w:val="EE3434"/>
        </w:rPr>
        <w:t>Vanessa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-141605</wp:posOffset>
            </wp:positionV>
            <wp:extent cx="1225550" cy="12172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25550" cy="1217295"/>
                    </a:xfrm>
                    <a:prstGeom prst="rect">
                      <a:avLst/>
                    </a:prstGeom>
                    <a:noFill/>
                  </pic:spPr>
                </pic:pic>
              </a:graphicData>
            </a:graphic>
          </wp:anchor>
        </w:drawing>
      </w:r>
    </w:p>
    <w:p>
      <w:pPr>
        <w:spacing w:after="0" w:line="33" w:lineRule="exact"/>
        <w:rPr>
          <w:sz w:val="20"/>
          <w:szCs w:val="20"/>
          <w:color w:val="auto"/>
        </w:rPr>
      </w:pPr>
    </w:p>
    <w:p>
      <w:pPr>
        <w:ind w:left="2160"/>
        <w:spacing w:after="0"/>
        <w:rPr>
          <w:sz w:val="20"/>
          <w:szCs w:val="20"/>
          <w:color w:val="auto"/>
        </w:rPr>
      </w:pPr>
      <w:r>
        <w:rPr>
          <w:rFonts w:ascii="Arial" w:cs="Arial" w:eastAsia="Arial" w:hAnsi="Arial"/>
          <w:sz w:val="15"/>
          <w:szCs w:val="15"/>
          <w:b w:val="1"/>
          <w:bCs w:val="1"/>
          <w:color w:val="auto"/>
        </w:rPr>
        <w:t xml:space="preserve">Fastly Committees: </w:t>
      </w:r>
      <w:r>
        <w:rPr>
          <w:rFonts w:ascii="Arial" w:cs="Arial" w:eastAsia="Arial" w:hAnsi="Arial"/>
          <w:sz w:val="15"/>
          <w:szCs w:val="15"/>
          <w:color w:val="auto"/>
        </w:rPr>
        <w:t>Nominating and Corporate Governance</w:t>
      </w:r>
    </w:p>
    <w:p>
      <w:pPr>
        <w:sectPr>
          <w:pgSz w:w="11900" w:h="16838" w:orient="portrait"/>
          <w:cols w:equalWidth="0" w:num="1">
            <w:col w:w="10000"/>
          </w:cols>
          <w:pgMar w:left="920" w:top="114" w:right="9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5"/>
          <w:szCs w:val="15"/>
          <w:b w:val="1"/>
          <w:bCs w:val="1"/>
          <w:color w:val="auto"/>
        </w:rPr>
        <w:t>Age: 50</w:t>
      </w:r>
    </w:p>
    <w:p>
      <w:pPr>
        <w:spacing w:after="0" w:line="225" w:lineRule="auto"/>
        <w:rPr>
          <w:sz w:val="20"/>
          <w:szCs w:val="20"/>
          <w:color w:val="auto"/>
        </w:rPr>
      </w:pPr>
      <w:r>
        <w:rPr>
          <w:rFonts w:ascii="Arial" w:cs="Arial" w:eastAsia="Arial" w:hAnsi="Arial"/>
          <w:sz w:val="15"/>
          <w:szCs w:val="15"/>
          <w:color w:val="auto"/>
        </w:rPr>
        <w:t> </w:t>
      </w:r>
    </w:p>
    <w:p>
      <w:pPr>
        <w:spacing w:after="0" w:line="225" w:lineRule="auto"/>
        <w:rPr>
          <w:sz w:val="20"/>
          <w:szCs w:val="20"/>
          <w:color w:val="auto"/>
        </w:rPr>
      </w:pPr>
      <w:r>
        <w:rPr>
          <w:rFonts w:ascii="Arial" w:cs="Arial" w:eastAsia="Arial" w:hAnsi="Arial"/>
          <w:sz w:val="15"/>
          <w:szCs w:val="15"/>
          <w:color w:val="auto"/>
        </w:rPr>
        <w:t>has served as a member of our Board of Directors since November 2021. Since October 2025, Ms. Smith has</w:t>
      </w:r>
    </w:p>
    <w:p>
      <w:pPr>
        <w:spacing w:after="0" w:line="226" w:lineRule="auto"/>
        <w:rPr>
          <w:sz w:val="20"/>
          <w:szCs w:val="20"/>
          <w:color w:val="auto"/>
        </w:rPr>
      </w:pPr>
      <w:r>
        <w:rPr>
          <w:rFonts w:ascii="Arial" w:cs="Arial" w:eastAsia="Arial" w:hAnsi="Arial"/>
          <w:sz w:val="15"/>
          <w:szCs w:val="15"/>
          <w:color w:val="auto"/>
        </w:rPr>
        <w:t>served as Chief Corporate Affairs Officer for ServiceNow, Inc., a software company, in addition to serving as</w:t>
      </w:r>
    </w:p>
    <w:p>
      <w:pPr>
        <w:spacing w:after="0" w:line="225" w:lineRule="auto"/>
        <w:rPr>
          <w:sz w:val="20"/>
          <w:szCs w:val="20"/>
          <w:color w:val="auto"/>
        </w:rPr>
      </w:pPr>
      <w:r>
        <w:rPr>
          <w:rFonts w:ascii="Arial" w:cs="Arial" w:eastAsia="Arial" w:hAnsi="Arial"/>
          <w:sz w:val="15"/>
          <w:szCs w:val="15"/>
          <w:color w:val="auto"/>
        </w:rPr>
        <w:t>President of ServiceNow.org since May 2023, Ms. Smith previously served as Senior Vice President of Industries at</w:t>
      </w:r>
    </w:p>
    <w:p>
      <w:pPr>
        <w:spacing w:after="0" w:line="226" w:lineRule="auto"/>
        <w:rPr>
          <w:sz w:val="20"/>
          <w:szCs w:val="20"/>
          <w:color w:val="auto"/>
        </w:rPr>
      </w:pPr>
      <w:r>
        <w:rPr>
          <w:rFonts w:ascii="Arial" w:cs="Arial" w:eastAsia="Arial" w:hAnsi="Arial"/>
          <w:sz w:val="15"/>
          <w:szCs w:val="15"/>
          <w:color w:val="auto"/>
        </w:rPr>
        <w:t>ServiceNow, Inc. from September 2020 to May 2023. From October 2004 to August 2020, Ms. Smith served in a</w:t>
      </w:r>
    </w:p>
    <w:p>
      <w:pPr>
        <w:spacing w:after="0" w:line="225" w:lineRule="auto"/>
        <w:rPr>
          <w:sz w:val="20"/>
          <w:szCs w:val="20"/>
          <w:color w:val="auto"/>
        </w:rPr>
      </w:pPr>
      <w:r>
        <w:rPr>
          <w:rFonts w:ascii="Arial" w:cs="Arial" w:eastAsia="Arial" w:hAnsi="Arial"/>
          <w:sz w:val="15"/>
          <w:szCs w:val="15"/>
          <w:color w:val="auto"/>
        </w:rPr>
        <w:t>variety of go-to-market roles, most recently Regional Vice President, Strategic Customers and Senior Vice</w:t>
      </w:r>
    </w:p>
    <w:p>
      <w:pPr>
        <w:spacing w:after="0" w:line="225" w:lineRule="auto"/>
        <w:rPr>
          <w:sz w:val="20"/>
          <w:szCs w:val="20"/>
          <w:color w:val="auto"/>
        </w:rPr>
      </w:pPr>
      <w:r>
        <w:rPr>
          <w:rFonts w:ascii="Arial" w:cs="Arial" w:eastAsia="Arial" w:hAnsi="Arial"/>
          <w:sz w:val="15"/>
          <w:szCs w:val="15"/>
          <w:color w:val="auto"/>
        </w:rPr>
        <w:t>President, Human Capital Management LOB, for SAP, a software company. She holds a B.S. in Commerce from</w:t>
      </w:r>
    </w:p>
    <w:p>
      <w:pPr>
        <w:spacing w:after="0" w:line="226" w:lineRule="auto"/>
        <w:rPr>
          <w:sz w:val="20"/>
          <w:szCs w:val="20"/>
          <w:color w:val="auto"/>
        </w:rPr>
      </w:pPr>
      <w:r>
        <w:rPr>
          <w:rFonts w:ascii="Arial" w:cs="Arial" w:eastAsia="Arial" w:hAnsi="Arial"/>
          <w:sz w:val="15"/>
          <w:szCs w:val="15"/>
          <w:color w:val="auto"/>
        </w:rPr>
        <w:t>The McIntire School of Commerce at the University of Virginia and an M.B.A. from The Robert H. Smith School of</w:t>
      </w:r>
    </w:p>
    <w:p>
      <w:pPr>
        <w:spacing w:after="0" w:line="225" w:lineRule="auto"/>
        <w:rPr>
          <w:sz w:val="20"/>
          <w:szCs w:val="20"/>
          <w:color w:val="auto"/>
        </w:rPr>
      </w:pPr>
      <w:r>
        <w:rPr>
          <w:rFonts w:ascii="Arial" w:cs="Arial" w:eastAsia="Arial" w:hAnsi="Arial"/>
          <w:sz w:val="15"/>
          <w:szCs w:val="15"/>
          <w:color w:val="auto"/>
        </w:rPr>
        <w:t>Business at the University of Maryland. We believe that Ms. Smith’s leadership experience in technology and go-to-</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market roles and her experience in human capital management qualifies her to serve on our Board of Directors.</w:t>
      </w:r>
    </w:p>
    <w:p>
      <w:pPr>
        <w:spacing w:after="0" w:line="200" w:lineRule="exact"/>
        <w:rPr>
          <w:sz w:val="20"/>
          <w:szCs w:val="20"/>
          <w:color w:val="auto"/>
        </w:rPr>
      </w:pPr>
    </w:p>
    <w:p>
      <w:pPr>
        <w:sectPr>
          <w:pgSz w:w="11900" w:h="16838" w:orient="portrait"/>
          <w:cols w:equalWidth="0" w:num="2">
            <w:col w:w="1440" w:space="720"/>
            <w:col w:w="7840"/>
          </w:cols>
          <w:pgMar w:left="920" w:top="114" w:right="979" w:bottom="1440" w:gutter="0" w:footer="0" w:header="0"/>
          <w:type w:val="continuous"/>
        </w:sectPr>
      </w:pPr>
    </w:p>
    <w:p>
      <w:pPr>
        <w:spacing w:after="0" w:line="4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10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129540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00"/>
          </w:cols>
          <w:pgMar w:left="920" w:top="114" w:right="9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Continuing in Office Until the 2028 Annual Meeting</w:t>
      </w:r>
    </w:p>
    <w:p>
      <w:pPr>
        <w:spacing w:after="0" w:line="175"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EE3434"/>
        </w:rPr>
        <w:t>Artur Bergman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-141605</wp:posOffset>
            </wp:positionV>
            <wp:extent cx="1156970" cy="1157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56970" cy="1157605"/>
                    </a:xfrm>
                    <a:prstGeom prst="rect">
                      <a:avLst/>
                    </a:prstGeom>
                    <a:noFill/>
                  </pic:spPr>
                </pic:pic>
              </a:graphicData>
            </a:graphic>
          </wp:anchor>
        </w:drawing>
      </w:r>
    </w:p>
    <w:p>
      <w:pPr>
        <w:spacing w:after="0" w:line="33" w:lineRule="exact"/>
        <w:rPr>
          <w:sz w:val="20"/>
          <w:szCs w:val="20"/>
          <w:color w:val="auto"/>
        </w:rPr>
      </w:pPr>
    </w:p>
    <w:p>
      <w:pPr>
        <w:ind w:left="2180"/>
        <w:spacing w:after="0"/>
        <w:rPr>
          <w:sz w:val="20"/>
          <w:szCs w:val="20"/>
          <w:color w:val="auto"/>
        </w:rPr>
      </w:pPr>
      <w:r>
        <w:rPr>
          <w:rFonts w:ascii="Arial" w:cs="Arial" w:eastAsia="Arial" w:hAnsi="Arial"/>
          <w:sz w:val="15"/>
          <w:szCs w:val="15"/>
          <w:b w:val="1"/>
          <w:bCs w:val="1"/>
          <w:color w:val="auto"/>
        </w:rPr>
        <w:t xml:space="preserve">Fastly Committees: </w:t>
      </w:r>
      <w:r>
        <w:rPr>
          <w:rFonts w:ascii="Arial" w:cs="Arial" w:eastAsia="Arial" w:hAnsi="Arial"/>
          <w:sz w:val="15"/>
          <w:szCs w:val="15"/>
          <w:color w:val="auto"/>
        </w:rPr>
        <w:t>None</w:t>
      </w:r>
    </w:p>
    <w:p>
      <w:pPr>
        <w:ind w:left="2180"/>
        <w:spacing w:after="0" w:line="214" w:lineRule="auto"/>
        <w:rPr>
          <w:sz w:val="20"/>
          <w:szCs w:val="20"/>
          <w:color w:val="auto"/>
        </w:rPr>
      </w:pPr>
      <w:r>
        <w:rPr>
          <w:rFonts w:ascii="Arial" w:cs="Arial" w:eastAsia="Arial" w:hAnsi="Arial"/>
          <w:sz w:val="15"/>
          <w:szCs w:val="15"/>
          <w:b w:val="1"/>
          <w:bCs w:val="1"/>
          <w:color w:val="auto"/>
        </w:rPr>
        <w:t>Age: 46</w:t>
      </w:r>
    </w:p>
    <w:p>
      <w:pPr>
        <w:ind w:left="2180"/>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jc w:val="both"/>
        <w:ind w:left="2180"/>
        <w:spacing w:after="0" w:line="225" w:lineRule="auto"/>
        <w:rPr>
          <w:sz w:val="20"/>
          <w:szCs w:val="20"/>
          <w:color w:val="auto"/>
        </w:rPr>
      </w:pPr>
      <w:r>
        <w:rPr>
          <w:rFonts w:ascii="Arial" w:cs="Arial" w:eastAsia="Arial" w:hAnsi="Arial"/>
          <w:sz w:val="15"/>
          <w:szCs w:val="15"/>
          <w:color w:val="auto"/>
        </w:rPr>
        <w:t>has served as our Chief Technology Officer since April 2024. He served as our Chief Architect from February 2020 to April 2024, as our Chief Executive Officer from Fastly’s founding in March 2011 until February 2020, Chairperson of the Board of Directors from February 2020 to April 2023, and as a member of our Board of Directors since March 2011. From September 2007 to June 2011, Mr. Bergman served as Manager, Vice President, then Chief Technology Officer of Wikia, Inc., a global community knowledge-sharing platform. From November 2005 to March 2007, Mr. Bergman served as Engineering Manager for Six Apart Ltd., a social networking service. From the</w:t>
      </w:r>
    </w:p>
    <w:p>
      <w:pPr>
        <w:spacing w:after="0" w:line="2" w:lineRule="exact"/>
        <w:rPr>
          <w:sz w:val="20"/>
          <w:szCs w:val="20"/>
          <w:color w:val="auto"/>
        </w:rPr>
      </w:pPr>
    </w:p>
    <w:p>
      <w:pPr>
        <w:jc w:val="both"/>
        <w:ind w:left="2180" w:hanging="2119"/>
        <w:spacing w:after="0" w:line="182" w:lineRule="auto"/>
        <w:tabs>
          <w:tab w:leader="none" w:pos="2160" w:val="left"/>
        </w:tabs>
        <w:rPr>
          <w:sz w:val="20"/>
          <w:szCs w:val="20"/>
          <w:color w:val="auto"/>
        </w:rPr>
      </w:pPr>
      <w:r>
        <w:rPr>
          <w:rFonts w:ascii="Arial" w:cs="Arial" w:eastAsia="Arial" w:hAnsi="Arial"/>
          <w:sz w:val="32"/>
          <w:szCs w:val="32"/>
          <w:color w:val="auto"/>
          <w:vertAlign w:val="subscript"/>
        </w:rPr>
        <w:t xml:space="preserve">  </w:t>
      </w:r>
      <w:r>
        <w:rPr>
          <w:sz w:val="20"/>
          <w:szCs w:val="20"/>
          <w:color w:val="auto"/>
        </w:rPr>
        <w:tab/>
      </w:r>
      <w:r>
        <w:rPr>
          <w:rFonts w:ascii="Arial" w:cs="Arial" w:eastAsia="Arial" w:hAnsi="Arial"/>
          <w:sz w:val="15"/>
          <w:szCs w:val="15"/>
          <w:color w:val="auto"/>
        </w:rPr>
        <w:t>second half of 2003 to August 2005, Mr. Bergman served as Engineering Manager of Fotango, Ltd., a subsidiary of Canon Europe. We believe that Mr. Bergman is qualified to serve as a member of our Board of Directors because of his industry knowledge, his experience as our founder, and his leadership experience and deep technical expertise, including with respect to protecting against, understanding, and responding to cybersecurity risks.</w:t>
      </w:r>
    </w:p>
    <w:p>
      <w:pPr>
        <w:spacing w:after="0" w:line="357"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EE3434"/>
        </w:rPr>
        <w:t>Paula Loop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-141605</wp:posOffset>
            </wp:positionV>
            <wp:extent cx="1225550" cy="12172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25550" cy="1217295"/>
                    </a:xfrm>
                    <a:prstGeom prst="rect">
                      <a:avLst/>
                    </a:prstGeom>
                    <a:noFill/>
                  </pic:spPr>
                </pic:pic>
              </a:graphicData>
            </a:graphic>
          </wp:anchor>
        </w:drawing>
      </w:r>
    </w:p>
    <w:p>
      <w:pPr>
        <w:spacing w:after="0" w:line="33" w:lineRule="exact"/>
        <w:rPr>
          <w:sz w:val="20"/>
          <w:szCs w:val="20"/>
          <w:color w:val="auto"/>
        </w:rPr>
      </w:pPr>
    </w:p>
    <w:p>
      <w:pPr>
        <w:ind w:left="2180"/>
        <w:spacing w:after="0"/>
        <w:rPr>
          <w:sz w:val="20"/>
          <w:szCs w:val="20"/>
          <w:color w:val="auto"/>
        </w:rPr>
      </w:pPr>
      <w:r>
        <w:rPr>
          <w:rFonts w:ascii="Arial" w:cs="Arial" w:eastAsia="Arial" w:hAnsi="Arial"/>
          <w:sz w:val="15"/>
          <w:szCs w:val="15"/>
          <w:b w:val="1"/>
          <w:bCs w:val="1"/>
          <w:color w:val="auto"/>
        </w:rPr>
        <w:t xml:space="preserve">Fastly Committees: </w:t>
      </w:r>
      <w:r>
        <w:rPr>
          <w:rFonts w:ascii="Arial" w:cs="Arial" w:eastAsia="Arial" w:hAnsi="Arial"/>
          <w:sz w:val="15"/>
          <w:szCs w:val="15"/>
          <w:color w:val="auto"/>
        </w:rPr>
        <w:t>Audit, Nominating and Corporate Governance</w:t>
      </w:r>
    </w:p>
    <w:p>
      <w:pPr>
        <w:ind w:left="2180"/>
        <w:spacing w:after="0" w:line="214" w:lineRule="auto"/>
        <w:rPr>
          <w:sz w:val="20"/>
          <w:szCs w:val="20"/>
          <w:color w:val="auto"/>
        </w:rPr>
      </w:pPr>
      <w:r>
        <w:rPr>
          <w:rFonts w:ascii="Arial" w:cs="Arial" w:eastAsia="Arial" w:hAnsi="Arial"/>
          <w:sz w:val="15"/>
          <w:szCs w:val="15"/>
          <w:b w:val="1"/>
          <w:bCs w:val="1"/>
          <w:color w:val="auto"/>
        </w:rPr>
        <w:t>Age: 64</w:t>
      </w:r>
    </w:p>
    <w:p>
      <w:pPr>
        <w:ind w:left="2180"/>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jc w:val="both"/>
        <w:ind w:left="2180" w:right="20"/>
        <w:spacing w:after="0" w:line="225" w:lineRule="auto"/>
        <w:rPr>
          <w:sz w:val="20"/>
          <w:szCs w:val="20"/>
          <w:color w:val="auto"/>
        </w:rPr>
      </w:pPr>
      <w:r>
        <w:rPr>
          <w:rFonts w:ascii="Arial" w:cs="Arial" w:eastAsia="Arial" w:hAnsi="Arial"/>
          <w:sz w:val="15"/>
          <w:szCs w:val="15"/>
          <w:color w:val="auto"/>
        </w:rPr>
        <w:t>has served as a member of our Board of Directors since July 2021. Ms. Loop previously served as an Assurance Partner at PricewaterhouseCoopers LLP, an international professional services accounting firm, where her career spanned over 30 years. At PwC she served on the Board of Partners as the Risk and Quality Committee chair and was the leader of PwC’s Governance Insights Center. She was also previously the New York Metro Regional Assurance Leader leading one of PwC’s largest Assurance practices. She has served as a director of APi Group, a construction equipment and services company, since March 2022 and Robinhood Markets, a financial services company, since June 2021. Ms. Loop holds a B.S. in Business Administration from the University of California at</w:t>
      </w:r>
    </w:p>
    <w:p>
      <w:pPr>
        <w:spacing w:after="0" w:line="2" w:lineRule="exact"/>
        <w:rPr>
          <w:sz w:val="20"/>
          <w:szCs w:val="20"/>
          <w:color w:val="auto"/>
        </w:rPr>
      </w:pPr>
    </w:p>
    <w:p>
      <w:pPr>
        <w:jc w:val="both"/>
        <w:ind w:left="2180" w:right="20" w:hanging="2119"/>
        <w:spacing w:after="0" w:line="231" w:lineRule="auto"/>
        <w:tabs>
          <w:tab w:leader="none" w:pos="216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5"/>
          <w:szCs w:val="15"/>
          <w:color w:val="auto"/>
        </w:rPr>
        <w:t>Berkeley. We believe that Ms. Loop is qualified to serve as a member of our Board of Directors because of her significant experience working with boards and audit committees across multiple markets and industry sectors on governance, accounting, sustainability, and SEC reporting matters.</w:t>
      </w:r>
    </w:p>
    <w:p>
      <w:pPr>
        <w:spacing w:after="0" w:line="357" w:lineRule="exact"/>
        <w:rPr>
          <w:sz w:val="20"/>
          <w:szCs w:val="20"/>
          <w:color w:val="auto"/>
        </w:rPr>
      </w:pPr>
    </w:p>
    <w:p>
      <w:pPr>
        <w:ind w:left="2180"/>
        <w:spacing w:after="0"/>
        <w:rPr>
          <w:sz w:val="20"/>
          <w:szCs w:val="20"/>
          <w:color w:val="auto"/>
        </w:rPr>
      </w:pPr>
      <w:r>
        <w:rPr>
          <w:rFonts w:ascii="Arial" w:cs="Arial" w:eastAsia="Arial" w:hAnsi="Arial"/>
          <w:sz w:val="22"/>
          <w:szCs w:val="22"/>
          <w:b w:val="1"/>
          <w:bCs w:val="1"/>
          <w:color w:val="EE3434"/>
        </w:rPr>
        <w:t>Christopher B. Paisley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-141605</wp:posOffset>
            </wp:positionV>
            <wp:extent cx="1234440" cy="12344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34440" cy="1234440"/>
                    </a:xfrm>
                    <a:prstGeom prst="rect">
                      <a:avLst/>
                    </a:prstGeom>
                    <a:noFill/>
                  </pic:spPr>
                </pic:pic>
              </a:graphicData>
            </a:graphic>
          </wp:anchor>
        </w:drawing>
      </w:r>
    </w:p>
    <w:p>
      <w:pPr>
        <w:spacing w:after="0" w:line="33" w:lineRule="exact"/>
        <w:rPr>
          <w:sz w:val="20"/>
          <w:szCs w:val="20"/>
          <w:color w:val="auto"/>
        </w:rPr>
      </w:pPr>
    </w:p>
    <w:p>
      <w:pPr>
        <w:ind w:left="2180"/>
        <w:spacing w:after="0"/>
        <w:rPr>
          <w:sz w:val="20"/>
          <w:szCs w:val="20"/>
          <w:color w:val="auto"/>
        </w:rPr>
      </w:pPr>
      <w:r>
        <w:rPr>
          <w:rFonts w:ascii="Arial" w:cs="Arial" w:eastAsia="Arial" w:hAnsi="Arial"/>
          <w:sz w:val="15"/>
          <w:szCs w:val="15"/>
          <w:b w:val="1"/>
          <w:bCs w:val="1"/>
          <w:color w:val="auto"/>
        </w:rPr>
        <w:t xml:space="preserve">Fastly Committees: </w:t>
      </w:r>
      <w:r>
        <w:rPr>
          <w:rFonts w:ascii="Arial" w:cs="Arial" w:eastAsia="Arial" w:hAnsi="Arial"/>
          <w:sz w:val="15"/>
          <w:szCs w:val="15"/>
          <w:color w:val="auto"/>
        </w:rPr>
        <w:t>Audit, Nominating and Corporate Governance</w:t>
      </w:r>
    </w:p>
    <w:p>
      <w:pPr>
        <w:ind w:left="2180"/>
        <w:spacing w:after="0" w:line="214" w:lineRule="auto"/>
        <w:rPr>
          <w:sz w:val="20"/>
          <w:szCs w:val="20"/>
          <w:color w:val="auto"/>
        </w:rPr>
      </w:pPr>
      <w:r>
        <w:rPr>
          <w:rFonts w:ascii="Arial" w:cs="Arial" w:eastAsia="Arial" w:hAnsi="Arial"/>
          <w:sz w:val="15"/>
          <w:szCs w:val="15"/>
          <w:b w:val="1"/>
          <w:bCs w:val="1"/>
          <w:color w:val="auto"/>
        </w:rPr>
        <w:t>Age: 73</w:t>
      </w:r>
    </w:p>
    <w:p>
      <w:pPr>
        <w:ind w:left="2180"/>
        <w:spacing w:after="0" w:line="225" w:lineRule="auto"/>
        <w:rPr>
          <w:sz w:val="20"/>
          <w:szCs w:val="20"/>
          <w:color w:val="auto"/>
        </w:rPr>
      </w:pPr>
      <w:r>
        <w:rPr>
          <w:rFonts w:ascii="Arial" w:cs="Arial" w:eastAsia="Arial" w:hAnsi="Arial"/>
          <w:sz w:val="15"/>
          <w:szCs w:val="15"/>
          <w:color w:val="auto"/>
        </w:rPr>
        <w:t> </w:t>
      </w:r>
    </w:p>
    <w:p>
      <w:pPr>
        <w:spacing w:after="0" w:line="1" w:lineRule="exact"/>
        <w:rPr>
          <w:sz w:val="20"/>
          <w:szCs w:val="20"/>
          <w:color w:val="auto"/>
        </w:rPr>
      </w:pPr>
    </w:p>
    <w:p>
      <w:pPr>
        <w:jc w:val="both"/>
        <w:ind w:left="2180" w:right="20"/>
        <w:spacing w:after="0" w:line="225" w:lineRule="auto"/>
        <w:rPr>
          <w:sz w:val="20"/>
          <w:szCs w:val="20"/>
          <w:color w:val="auto"/>
        </w:rPr>
      </w:pPr>
      <w:r>
        <w:rPr>
          <w:rFonts w:ascii="Arial" w:cs="Arial" w:eastAsia="Arial" w:hAnsi="Arial"/>
          <w:sz w:val="15"/>
          <w:szCs w:val="15"/>
          <w:color w:val="auto"/>
        </w:rPr>
        <w:t>has served as a member of our Board of Directors since July 2018. Since January 2001, Mr. Paisley has served as the Dean’s Executive Professor of Accounting at the Leavey School of Business at Santa Clara University. Mr. Paisley also serves as lead independent director of Equinix, Inc., a provider of network colocation, interconnection, and managed services, since July 2007, and a member of the board of directors of Ambarella, Inc., a developer of low-power, high-definition video compression and image processing semiconductors, since August 2012. Mr. Paisley previously served as a director of Fortinet, Inc., a cybersecurity software company, from 2004 until May 2021, and as Chief Financial Officer and a director of Enterprise 4.0 Technology Acquisition Corp., a</w:t>
      </w:r>
    </w:p>
    <w:p>
      <w:pPr>
        <w:spacing w:after="0" w:line="2" w:lineRule="exact"/>
        <w:rPr>
          <w:sz w:val="20"/>
          <w:szCs w:val="20"/>
          <w:color w:val="auto"/>
        </w:rPr>
      </w:pPr>
    </w:p>
    <w:p>
      <w:pPr>
        <w:jc w:val="both"/>
        <w:ind w:left="2180" w:hanging="2119"/>
        <w:spacing w:after="0" w:line="189" w:lineRule="auto"/>
        <w:tabs>
          <w:tab w:leader="none" w:pos="2160" w:val="left"/>
        </w:tabs>
        <w:rPr>
          <w:sz w:val="20"/>
          <w:szCs w:val="20"/>
          <w:color w:val="auto"/>
        </w:rPr>
      </w:pPr>
      <w:r>
        <w:rPr>
          <w:rFonts w:ascii="Arial" w:cs="Arial" w:eastAsia="Arial" w:hAnsi="Arial"/>
          <w:sz w:val="32"/>
          <w:szCs w:val="32"/>
          <w:color w:val="auto"/>
          <w:vertAlign w:val="subscript"/>
        </w:rPr>
        <w:t> </w:t>
      </w:r>
      <w:r>
        <w:rPr>
          <w:sz w:val="20"/>
          <w:szCs w:val="20"/>
          <w:color w:val="auto"/>
        </w:rPr>
        <w:tab/>
      </w:r>
      <w:r>
        <w:rPr>
          <w:rFonts w:ascii="Arial" w:cs="Arial" w:eastAsia="Arial" w:hAnsi="Arial"/>
          <w:sz w:val="15"/>
          <w:szCs w:val="15"/>
          <w:color w:val="auto"/>
        </w:rPr>
        <w:t>special purpose acquisition corporation from May 2021 to March 2023. Mr. Paisley holds a B.A. in business economics from the University of California at Santa Barbara and an M.B.A. from the Anderson School at the University of California at Los Angeles. We believe that Mr. Paisley’s substantial experience in the technology industry and his service on public company boards and audit committees qualifies him to serve on our Board of Directors.</w:t>
      </w:r>
    </w:p>
    <w:p>
      <w:pPr>
        <w:spacing w:after="0" w:line="232" w:lineRule="exact"/>
        <w:rPr>
          <w:sz w:val="20"/>
          <w:szCs w:val="20"/>
          <w:color w:val="auto"/>
        </w:rPr>
      </w:pPr>
    </w:p>
    <w:p>
      <w:pPr>
        <w:ind w:left="8080"/>
        <w:spacing w:after="0"/>
        <w:rPr>
          <w:sz w:val="20"/>
          <w:szCs w:val="20"/>
          <w:color w:val="auto"/>
        </w:rPr>
      </w:pPr>
      <w:r>
        <w:rPr>
          <w:rFonts w:ascii="Arial" w:cs="Arial" w:eastAsia="Arial" w:hAnsi="Arial"/>
          <w:sz w:val="13"/>
          <w:szCs w:val="13"/>
          <w:color w:val="auto"/>
        </w:rPr>
        <w:t>2026 PROXY STATEMENT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121920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00"/>
          </w:cols>
          <w:pgMar w:left="920" w:top="114" w:right="9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660" w:right="1079"/>
        <w:spacing w:after="0" w:line="258" w:lineRule="auto"/>
        <w:rPr>
          <w:sz w:val="20"/>
          <w:szCs w:val="20"/>
          <w:color w:val="auto"/>
        </w:rPr>
      </w:pPr>
      <w:r>
        <w:rPr>
          <w:rFonts w:ascii="Arial" w:cs="Arial" w:eastAsia="Arial" w:hAnsi="Arial"/>
          <w:sz w:val="43"/>
          <w:szCs w:val="43"/>
          <w:b w:val="1"/>
          <w:bCs w:val="1"/>
          <w:color w:val="auto"/>
        </w:rPr>
        <w:t>INFORMATION REGARDING THE BOARD OF DIRECTORS, EXECUTIVE OFFICERS, AND CORPORATE GOVERNANCE</w:t>
      </w:r>
    </w:p>
    <w:p>
      <w:pPr>
        <w:sectPr>
          <w:pgSz w:w="11900" w:h="16838" w:orient="portrait"/>
          <w:cols w:equalWidth="0" w:num="1">
            <w:col w:w="9379"/>
          </w:cols>
          <w:pgMar w:left="1080" w:top="114" w:right="1440" w:bottom="1440" w:gutter="0" w:footer="0" w:header="0"/>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EE3434"/>
        </w:rPr>
        <w:t>Independence of the Board of Directors</w:t>
      </w:r>
    </w:p>
    <w:p>
      <w:pPr>
        <w:spacing w:after="0" w:line="124" w:lineRule="exact"/>
        <w:rPr>
          <w:sz w:val="20"/>
          <w:szCs w:val="20"/>
          <w:color w:val="auto"/>
        </w:rPr>
      </w:pPr>
    </w:p>
    <w:p>
      <w:pPr>
        <w:jc w:val="both"/>
        <w:ind w:left="660" w:right="40"/>
        <w:spacing w:after="0" w:line="250" w:lineRule="auto"/>
        <w:rPr>
          <w:sz w:val="20"/>
          <w:szCs w:val="20"/>
          <w:color w:val="auto"/>
        </w:rPr>
      </w:pPr>
      <w:r>
        <w:rPr>
          <w:rFonts w:ascii="Arial" w:cs="Arial" w:eastAsia="Arial" w:hAnsi="Arial"/>
          <w:sz w:val="16"/>
          <w:szCs w:val="16"/>
          <w:color w:val="auto"/>
        </w:rPr>
        <w:t>As required under the Nasdaq rules, a majority of the members of a listed company’s board of directors must qualify as “independent,” as affirmatively determined by the board of directors. Our Board of Directors consults with the Company’s counsel to ensure that the Board of Directors’ independence determinations are consistent with relevant securities and other laws and regulations regarding the definition of “independent,” including those set forth in the Nasdaq rules, as in effect from time to time.</w:t>
      </w:r>
    </w:p>
    <w:p>
      <w:pPr>
        <w:spacing w:after="0" w:line="108" w:lineRule="exact"/>
        <w:rPr>
          <w:sz w:val="20"/>
          <w:szCs w:val="20"/>
          <w:color w:val="auto"/>
        </w:rPr>
      </w:pPr>
    </w:p>
    <w:p>
      <w:pPr>
        <w:jc w:val="both"/>
        <w:ind w:left="660" w:right="40"/>
        <w:spacing w:after="0" w:line="249" w:lineRule="auto"/>
        <w:rPr>
          <w:sz w:val="20"/>
          <w:szCs w:val="20"/>
          <w:color w:val="auto"/>
        </w:rPr>
      </w:pPr>
      <w:r>
        <w:rPr>
          <w:rFonts w:ascii="Arial" w:cs="Arial" w:eastAsia="Arial" w:hAnsi="Arial"/>
          <w:sz w:val="16"/>
          <w:szCs w:val="16"/>
          <w:color w:val="auto"/>
        </w:rPr>
        <w:t>Our Board of Directors has undertaken a review of the independence of the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such director’s background, employment and affiliations, including family relationships, our Board of Directors determined that Ms. Álvarez, Mr. Daniels, Mr. Hornik, Ms. Loop, Mr. Meyers, Mr. Paisley, and Ms. Smith, representing seven of our nine directors, are “independent directors” as defined under the Nasdaq rules.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jc w:val="both"/>
        <w:ind w:right="299"/>
        <w:spacing w:after="0" w:line="248" w:lineRule="auto"/>
        <w:rPr>
          <w:sz w:val="20"/>
          <w:szCs w:val="20"/>
          <w:color w:val="auto"/>
        </w:rPr>
      </w:pPr>
      <w:r>
        <w:rPr>
          <w:rFonts w:ascii="Arial" w:cs="Arial" w:eastAsia="Arial" w:hAnsi="Arial"/>
          <w:sz w:val="16"/>
          <w:szCs w:val="16"/>
          <w:color w:val="auto"/>
        </w:rPr>
        <w:t>In making these determinations, our Board of Directors considered the current and prior relationships that each non-employee director has with our Company and all other facts and circumstances that our Board of Directors deemed relevant in determining their independence. Among other things, our Board of Directors considered our commercial relationship with one of our vendors, Equinix, Inc., at which Mr. Meyers currently serves as the Executive Chairman and director, and previously served as chief executive officer until June 2024, and Mr. Paisley serves as director. Our Board of Directors also considered the beneficial ownership of our capital stock by each non-employee director and the transactions involving them described in “Certain Relationships and Related-Person Transactions.” Mr. Bergman and Mr. Compton are not independent given their positions as our Chief Technology Officer and Chief Executive Officer, respectively.</w:t>
      </w:r>
    </w:p>
    <w:p>
      <w:pPr>
        <w:spacing w:after="0" w:line="114" w:lineRule="exact"/>
        <w:rPr>
          <w:sz w:val="20"/>
          <w:szCs w:val="20"/>
          <w:color w:val="auto"/>
        </w:rPr>
      </w:pPr>
    </w:p>
    <w:p>
      <w:pPr>
        <w:jc w:val="both"/>
        <w:ind w:right="319"/>
        <w:spacing w:after="0" w:line="286" w:lineRule="auto"/>
        <w:rPr>
          <w:sz w:val="20"/>
          <w:szCs w:val="20"/>
          <w:color w:val="auto"/>
        </w:rPr>
      </w:pPr>
      <w:r>
        <w:rPr>
          <w:rFonts w:ascii="Arial" w:cs="Arial" w:eastAsia="Arial" w:hAnsi="Arial"/>
          <w:sz w:val="16"/>
          <w:szCs w:val="16"/>
          <w:color w:val="auto"/>
        </w:rPr>
        <w:t>There are no family relationships among the directors and executive officers.</w:t>
      </w:r>
    </w:p>
    <w:p>
      <w:pPr>
        <w:spacing w:after="0" w:line="732" w:lineRule="exact"/>
        <w:rPr>
          <w:sz w:val="20"/>
          <w:szCs w:val="20"/>
          <w:color w:val="auto"/>
        </w:rPr>
      </w:pPr>
    </w:p>
    <w:p>
      <w:pPr>
        <w:sectPr>
          <w:pgSz w:w="11900" w:h="16838" w:orient="portrait"/>
          <w:cols w:equalWidth="0" w:num="2">
            <w:col w:w="4700" w:space="360"/>
            <w:col w:w="4319"/>
          </w:cols>
          <w:pgMar w:left="1080" w:top="114" w:right="1440" w:bottom="1440" w:gutter="0" w:footer="0" w:header="0"/>
          <w:type w:val="continuous"/>
        </w:sectPr>
      </w:pPr>
    </w:p>
    <w:p>
      <w:pPr>
        <w:spacing w:after="0" w:line="124"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EE3434"/>
        </w:rPr>
        <w:t>Board of Directors Leadership Structure</w:t>
      </w:r>
    </w:p>
    <w:p>
      <w:pPr>
        <w:spacing w:after="0" w:line="124" w:lineRule="exact"/>
        <w:rPr>
          <w:sz w:val="20"/>
          <w:szCs w:val="20"/>
          <w:color w:val="auto"/>
        </w:rPr>
      </w:pPr>
    </w:p>
    <w:p>
      <w:pPr>
        <w:jc w:val="both"/>
        <w:ind w:left="660" w:right="120"/>
        <w:spacing w:after="0" w:line="250" w:lineRule="auto"/>
        <w:rPr>
          <w:sz w:val="20"/>
          <w:szCs w:val="20"/>
          <w:color w:val="auto"/>
        </w:rPr>
      </w:pPr>
      <w:r>
        <w:rPr>
          <w:rFonts w:ascii="Arial" w:cs="Arial" w:eastAsia="Arial" w:hAnsi="Arial"/>
          <w:sz w:val="16"/>
          <w:szCs w:val="16"/>
          <w:color w:val="auto"/>
        </w:rPr>
        <w:t>The Board of Directors of the Company has an independent chair, Mr. Hornik, who has authority, among other things, to call and preside over Board of Directors meetings, including meetings of the independent directors, to set meeting agendas, and to determine materials to be distributed to the Board of Directors. Accordingly, the Chairperson of the Board of Directors has substantial ability to shape the work of the Board. The Company believes that separation of the positions of Chairperson of the Board and Chief Executive Officer reinforces the independence of the Board of Directors in its oversight of the business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jc w:val="both"/>
        <w:ind w:right="299"/>
        <w:spacing w:after="0" w:line="250" w:lineRule="auto"/>
        <w:rPr>
          <w:sz w:val="20"/>
          <w:szCs w:val="20"/>
          <w:color w:val="auto"/>
        </w:rPr>
      </w:pPr>
      <w:r>
        <w:rPr>
          <w:rFonts w:ascii="Arial" w:cs="Arial" w:eastAsia="Arial" w:hAnsi="Arial"/>
          <w:sz w:val="16"/>
          <w:szCs w:val="16"/>
          <w:color w:val="auto"/>
        </w:rPr>
        <w:t>affairs of the Company. In addition, the Company believes that having an independent Chairperson of the Board of Directors creates an environment that is more conducive to objective evaluation and oversight of management’s performance, increasing management accountability and improving the ability of the Board to monitor whether management’s actions are in the best interests of the Company and its stockholders. As a result, the Company believes that having an independent Chairperson of the Board of Directors can enhance the effectiveness of the Board of Directors as a whole.</w:t>
      </w:r>
    </w:p>
    <w:p>
      <w:pPr>
        <w:spacing w:after="0" w:line="200" w:lineRule="exact"/>
        <w:rPr>
          <w:sz w:val="20"/>
          <w:szCs w:val="20"/>
          <w:color w:val="auto"/>
        </w:rPr>
      </w:pPr>
    </w:p>
    <w:p>
      <w:pPr>
        <w:sectPr>
          <w:pgSz w:w="11900" w:h="16838" w:orient="portrait"/>
          <w:cols w:equalWidth="0" w:num="2">
            <w:col w:w="4780" w:space="280"/>
            <w:col w:w="4319"/>
          </w:cols>
          <w:pgMar w:left="1080" w:top="114" w:right="1440" w:bottom="1440" w:gutter="0" w:footer="0" w:header="0"/>
          <w:type w:val="continuous"/>
        </w:sectPr>
      </w:pPr>
    </w:p>
    <w:p>
      <w:pPr>
        <w:spacing w:after="0" w:line="118"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EE3434"/>
        </w:rPr>
        <w:t>Role of the Board of Directors in Risk Oversight</w:t>
      </w:r>
    </w:p>
    <w:p>
      <w:pPr>
        <w:sectPr>
          <w:pgSz w:w="11900" w:h="16838" w:orient="portrait"/>
          <w:cols w:equalWidth="0" w:num="1">
            <w:col w:w="9379"/>
          </w:cols>
          <w:pgMar w:left="1080" w:top="114" w:right="1440" w:bottom="1440" w:gutter="0" w:footer="0" w:header="0"/>
          <w:type w:val="continuous"/>
        </w:sectPr>
      </w:pPr>
    </w:p>
    <w:p>
      <w:pPr>
        <w:spacing w:after="0" w:line="124" w:lineRule="exact"/>
        <w:rPr>
          <w:sz w:val="20"/>
          <w:szCs w:val="20"/>
          <w:color w:val="auto"/>
        </w:rPr>
      </w:pPr>
    </w:p>
    <w:p>
      <w:pPr>
        <w:ind w:left="660"/>
        <w:spacing w:after="0" w:line="253"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In particular, our Board of Directors is responsible for monitoring and assessing exposure from strategic risk, operational risk and technology risk, information security risk, risks associated with the use of artificial intelligence (“AI”), and cybersecurity risk with periodic</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299"/>
        <w:spacing w:after="0" w:line="286" w:lineRule="auto"/>
        <w:rPr>
          <w:sz w:val="20"/>
          <w:szCs w:val="20"/>
          <w:color w:val="auto"/>
        </w:rPr>
      </w:pPr>
      <w:r>
        <w:rPr>
          <w:rFonts w:ascii="Arial" w:cs="Arial" w:eastAsia="Arial" w:hAnsi="Arial"/>
          <w:sz w:val="16"/>
          <w:szCs w:val="16"/>
          <w:color w:val="auto"/>
        </w:rPr>
        <w:t>reporting from our most senior information security officer and other members of senior management.</w:t>
      </w:r>
    </w:p>
    <w:p>
      <w:pPr>
        <w:spacing w:after="0" w:line="75" w:lineRule="exact"/>
        <w:rPr>
          <w:sz w:val="20"/>
          <w:szCs w:val="20"/>
          <w:color w:val="auto"/>
        </w:rPr>
      </w:pPr>
    </w:p>
    <w:p>
      <w:pPr>
        <w:ind w:right="299"/>
        <w:spacing w:after="0" w:line="259" w:lineRule="auto"/>
        <w:rPr>
          <w:sz w:val="20"/>
          <w:szCs w:val="20"/>
          <w:color w:val="auto"/>
        </w:rPr>
      </w:pPr>
      <w:r>
        <w:rPr>
          <w:rFonts w:ascii="Arial" w:cs="Arial" w:eastAsia="Arial" w:hAnsi="Arial"/>
          <w:sz w:val="16"/>
          <w:szCs w:val="16"/>
          <w:color w:val="auto"/>
        </w:rPr>
        <w:t>Our executive officers are responsible for the day-to-day management of the material risks we face. Our Board of Directors administers its oversight function directly as a whole, as well as through various standing</w:t>
      </w:r>
    </w:p>
    <w:p>
      <w:pPr>
        <w:spacing w:after="0" w:line="227" w:lineRule="exact"/>
        <w:rPr>
          <w:sz w:val="20"/>
          <w:szCs w:val="20"/>
          <w:color w:val="auto"/>
        </w:rPr>
      </w:pPr>
    </w:p>
    <w:p>
      <w:pPr>
        <w:sectPr>
          <w:pgSz w:w="11900" w:h="16838" w:orient="portrait"/>
          <w:cols w:equalWidth="0" w:num="2">
            <w:col w:w="4660" w:space="400"/>
            <w:col w:w="4319"/>
          </w:cols>
          <w:pgMar w:left="1080" w:top="114" w:right="1440" w:bottom="1440" w:gutter="0" w:footer="0" w:header="0"/>
          <w:type w:val="continuous"/>
        </w:sectPr>
      </w:pPr>
    </w:p>
    <w:p>
      <w:pPr>
        <w:spacing w:after="0"/>
        <w:rPr>
          <w:sz w:val="20"/>
          <w:szCs w:val="20"/>
          <w:color w:val="auto"/>
        </w:rPr>
      </w:pPr>
      <w:r>
        <w:rPr>
          <w:rFonts w:ascii="Arial" w:cs="Arial" w:eastAsia="Arial" w:hAnsi="Arial"/>
          <w:sz w:val="12"/>
          <w:szCs w:val="12"/>
          <w:color w:val="auto"/>
        </w:rPr>
        <w:t>12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120650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jc w:val="both"/>
        <w:ind w:left="820"/>
        <w:spacing w:after="0" w:line="252" w:lineRule="auto"/>
        <w:rPr>
          <w:sz w:val="20"/>
          <w:szCs w:val="20"/>
          <w:color w:val="auto"/>
        </w:rPr>
      </w:pPr>
      <w:r>
        <w:rPr>
          <w:rFonts w:ascii="Arial" w:cs="Arial" w:eastAsia="Arial" w:hAnsi="Arial"/>
          <w:sz w:val="16"/>
          <w:szCs w:val="16"/>
          <w:color w:val="auto"/>
        </w:rPr>
        <w:t>committees of our Board of Directors that address risks inherent in their respective areas of oversight. Our Audit Committee is responsible for overseeing the management of risks associated with our financial reporting, accounting and auditing matters, investment risks, foreign exchange risks, and tax matters. Our Compensation Committee oversees the management of risks associated with talent and our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ind w:right="640"/>
        <w:spacing w:after="0" w:line="252" w:lineRule="auto"/>
        <w:rPr>
          <w:sz w:val="20"/>
          <w:szCs w:val="20"/>
          <w:color w:val="auto"/>
        </w:rPr>
      </w:pPr>
      <w:r>
        <w:rPr>
          <w:rFonts w:ascii="Arial" w:cs="Arial" w:eastAsia="Arial" w:hAnsi="Arial"/>
          <w:sz w:val="16"/>
          <w:szCs w:val="16"/>
          <w:color w:val="auto"/>
        </w:rPr>
        <w:t>compensation policies and programs; and our Nominating and Corporate Governance Committee oversees the management of risks associated with director independence, conflicts of interest, composition, organization, and evaluation of our Board of Directors, director succession planning, law and regulatory compliance, and oversight of corporate governance, including ESG-related matters.</w:t>
      </w:r>
    </w:p>
    <w:p>
      <w:pPr>
        <w:spacing w:after="0" w:line="200" w:lineRule="exact"/>
        <w:rPr>
          <w:sz w:val="20"/>
          <w:szCs w:val="20"/>
          <w:color w:val="auto"/>
        </w:rPr>
      </w:pPr>
    </w:p>
    <w:p>
      <w:pPr>
        <w:sectPr>
          <w:pgSz w:w="11900" w:h="16838" w:orient="portrait"/>
          <w:cols w:equalWidth="0" w:num="2">
            <w:col w:w="4820" w:space="400"/>
            <w:col w:w="4660"/>
          </w:cols>
          <w:pgMar w:left="920" w:top="114" w:right="1099" w:bottom="1440" w:gutter="0" w:footer="0" w:header="0"/>
        </w:sectPr>
      </w:pPr>
    </w:p>
    <w:p>
      <w:pPr>
        <w:spacing w:after="0" w:line="103" w:lineRule="exact"/>
        <w:rPr>
          <w:sz w:val="20"/>
          <w:szCs w:val="20"/>
          <w:color w:val="auto"/>
        </w:rPr>
      </w:pPr>
    </w:p>
    <w:p>
      <w:pPr>
        <w:ind w:left="820"/>
        <w:spacing w:after="0"/>
        <w:rPr>
          <w:sz w:val="20"/>
          <w:szCs w:val="20"/>
          <w:color w:val="auto"/>
        </w:rPr>
      </w:pPr>
      <w:r>
        <w:rPr>
          <w:rFonts w:ascii="Arial" w:cs="Arial" w:eastAsia="Arial" w:hAnsi="Arial"/>
          <w:sz w:val="21"/>
          <w:szCs w:val="21"/>
          <w:b w:val="1"/>
          <w:bCs w:val="1"/>
          <w:color w:val="EE3434"/>
        </w:rPr>
        <w:t>Meetings of the Board of Directors and Committees</w:t>
      </w:r>
    </w:p>
    <w:p>
      <w:pPr>
        <w:sectPr>
          <w:pgSz w:w="11900" w:h="16838" w:orient="portrait"/>
          <w:cols w:equalWidth="0" w:num="1">
            <w:col w:w="9880"/>
          </w:cols>
          <w:pgMar w:left="920" w:top="114" w:right="1099" w:bottom="1440" w:gutter="0" w:footer="0" w:header="0"/>
          <w:type w:val="continuous"/>
        </w:sectPr>
      </w:pPr>
    </w:p>
    <w:p>
      <w:pPr>
        <w:spacing w:after="0" w:line="124" w:lineRule="exact"/>
        <w:rPr>
          <w:sz w:val="20"/>
          <w:szCs w:val="20"/>
          <w:color w:val="auto"/>
        </w:rPr>
      </w:pPr>
    </w:p>
    <w:p>
      <w:pPr>
        <w:jc w:val="both"/>
        <w:ind w:left="820"/>
        <w:spacing w:after="0" w:line="259" w:lineRule="auto"/>
        <w:rPr>
          <w:sz w:val="20"/>
          <w:szCs w:val="20"/>
          <w:color w:val="auto"/>
        </w:rPr>
      </w:pPr>
      <w:r>
        <w:rPr>
          <w:rFonts w:ascii="Arial" w:cs="Arial" w:eastAsia="Arial" w:hAnsi="Arial"/>
          <w:sz w:val="16"/>
          <w:szCs w:val="16"/>
          <w:color w:val="auto"/>
        </w:rPr>
        <w:t>Our Board of Directors met twelve times during 2025. Each Board member attended 90% or more of the aggregate number of meetings of the Board of Directors and of the committees on which he or she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served, held during the portion of the last fiscal year for which he or she was a director or committee member.</w:t>
      </w:r>
    </w:p>
    <w:p>
      <w:pPr>
        <w:spacing w:after="0" w:line="555" w:lineRule="exact"/>
        <w:rPr>
          <w:sz w:val="20"/>
          <w:szCs w:val="20"/>
          <w:color w:val="auto"/>
        </w:rPr>
      </w:pPr>
    </w:p>
    <w:p>
      <w:pPr>
        <w:sectPr>
          <w:pgSz w:w="11900" w:h="16838" w:orient="portrait"/>
          <w:cols w:equalWidth="0" w:num="2">
            <w:col w:w="4820" w:space="400"/>
            <w:col w:w="4660"/>
          </w:cols>
          <w:pgMar w:left="920" w:top="114" w:right="1099" w:bottom="1440" w:gutter="0" w:footer="0" w:header="0"/>
          <w:type w:val="continuous"/>
        </w:sectPr>
      </w:pPr>
    </w:p>
    <w:p>
      <w:pPr>
        <w:spacing w:after="0" w:line="11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EE3434"/>
        </w:rPr>
        <w:t>Information Regarding Committees of the Board of Directors</w:t>
      </w:r>
    </w:p>
    <w:p>
      <w:pPr>
        <w:spacing w:after="0" w:line="153" w:lineRule="exact"/>
        <w:rPr>
          <w:sz w:val="20"/>
          <w:szCs w:val="20"/>
          <w:color w:val="auto"/>
        </w:rPr>
      </w:pPr>
    </w:p>
    <w:p>
      <w:pPr>
        <w:jc w:val="both"/>
        <w:ind w:left="820" w:right="640"/>
        <w:spacing w:after="0" w:line="266" w:lineRule="auto"/>
        <w:rPr>
          <w:sz w:val="20"/>
          <w:szCs w:val="20"/>
          <w:color w:val="auto"/>
        </w:rPr>
      </w:pPr>
      <w:r>
        <w:rPr>
          <w:rFonts w:ascii="Arial" w:cs="Arial" w:eastAsia="Arial" w:hAnsi="Arial"/>
          <w:sz w:val="16"/>
          <w:szCs w:val="16"/>
          <w:color w:val="auto"/>
        </w:rPr>
        <w:t>Our Board of Directors has an Audit Committee, a Compensation Committee, and a Nominating and Corporate Governance Committee. The following table provides current membership information and meeting information for 2025 for each of these Board committees:</w:t>
      </w:r>
    </w:p>
    <w:p>
      <w:pPr>
        <w:spacing w:after="0" w:line="233" w:lineRule="exact"/>
        <w:rPr>
          <w:sz w:val="20"/>
          <w:szCs w:val="20"/>
          <w:color w:val="auto"/>
        </w:rPr>
      </w:pPr>
    </w:p>
    <w:tbl>
      <w:tblPr>
        <w:tblLayout w:type="fixed"/>
        <w:tblInd w:w="820" w:type="dxa"/>
        <w:tblCellMar>
          <w:top w:w="0" w:type="dxa"/>
          <w:left w:w="0" w:type="dxa"/>
          <w:bottom w:w="0" w:type="dxa"/>
          <w:right w:w="0" w:type="dxa"/>
        </w:tblCellMar>
      </w:tblPr>
      <w:tr>
        <w:trPr>
          <w:trHeight w:val="242"/>
        </w:trPr>
        <w:tc>
          <w:tcPr>
            <w:tcW w:w="100" w:type="dxa"/>
            <w:vAlign w:val="bottom"/>
            <w:tcBorders>
              <w:right w:val="single" w:sz="8" w:color="auto"/>
            </w:tcBorders>
          </w:tcPr>
          <w:p>
            <w:pPr>
              <w:spacing w:after="0"/>
              <w:rPr>
                <w:sz w:val="21"/>
                <w:szCs w:val="21"/>
                <w:color w:val="auto"/>
              </w:rPr>
            </w:pPr>
          </w:p>
        </w:tc>
        <w:tc>
          <w:tcPr>
            <w:tcW w:w="1500" w:type="dxa"/>
            <w:vAlign w:val="bottom"/>
            <w:tcBorders>
              <w:top w:val="single" w:sz="8" w:color="auto"/>
            </w:tcBorders>
            <w:shd w:val="clear" w:color="auto" w:fill="F1F3F7"/>
          </w:tcPr>
          <w:p>
            <w:pPr>
              <w:spacing w:after="0"/>
              <w:rPr>
                <w:sz w:val="21"/>
                <w:szCs w:val="21"/>
                <w:color w:val="auto"/>
              </w:rPr>
            </w:pPr>
          </w:p>
        </w:tc>
        <w:tc>
          <w:tcPr>
            <w:tcW w:w="1440" w:type="dxa"/>
            <w:vAlign w:val="bottom"/>
            <w:tcBorders>
              <w:top w:val="single" w:sz="8" w:color="auto"/>
              <w:right w:val="single" w:sz="8" w:color="auto"/>
            </w:tcBorders>
            <w:shd w:val="clear" w:color="auto" w:fill="F1F3F7"/>
          </w:tcPr>
          <w:p>
            <w:pPr>
              <w:spacing w:after="0"/>
              <w:rPr>
                <w:sz w:val="21"/>
                <w:szCs w:val="21"/>
                <w:color w:val="auto"/>
              </w:rPr>
            </w:pPr>
          </w:p>
        </w:tc>
        <w:tc>
          <w:tcPr>
            <w:tcW w:w="1680" w:type="dxa"/>
            <w:vAlign w:val="bottom"/>
            <w:tcBorders>
              <w:top w:val="single" w:sz="8" w:color="auto"/>
              <w:right w:val="single" w:sz="8" w:color="auto"/>
            </w:tcBorders>
            <w:shd w:val="clear" w:color="auto" w:fill="F1F3F7"/>
          </w:tcPr>
          <w:p>
            <w:pPr>
              <w:spacing w:after="0"/>
              <w:rPr>
                <w:sz w:val="21"/>
                <w:szCs w:val="21"/>
                <w:color w:val="auto"/>
              </w:rPr>
            </w:pPr>
          </w:p>
        </w:tc>
        <w:tc>
          <w:tcPr>
            <w:tcW w:w="1700" w:type="dxa"/>
            <w:vAlign w:val="bottom"/>
            <w:tcBorders>
              <w:top w:val="single" w:sz="8" w:color="auto"/>
              <w:right w:val="single" w:sz="8" w:color="auto"/>
            </w:tcBorders>
            <w:shd w:val="clear" w:color="auto" w:fill="F1F3F7"/>
          </w:tcPr>
          <w:p>
            <w:pPr>
              <w:spacing w:after="0"/>
              <w:rPr>
                <w:sz w:val="21"/>
                <w:szCs w:val="21"/>
                <w:color w:val="auto"/>
              </w:rPr>
            </w:pPr>
          </w:p>
        </w:tc>
        <w:tc>
          <w:tcPr>
            <w:tcW w:w="1920" w:type="dxa"/>
            <w:vAlign w:val="bottom"/>
            <w:tcBorders>
              <w:top w:val="single" w:sz="8" w:color="auto"/>
              <w:right w:val="single" w:sz="8" w:color="auto"/>
            </w:tcBorders>
            <w:shd w:val="clear" w:color="auto" w:fill="F1F3F7"/>
          </w:tcPr>
          <w:p>
            <w:pPr>
              <w:jc w:val="center"/>
              <w:spacing w:after="0"/>
              <w:rPr>
                <w:sz w:val="20"/>
                <w:szCs w:val="20"/>
                <w:color w:val="auto"/>
              </w:rPr>
            </w:pPr>
            <w:r>
              <w:rPr>
                <w:rFonts w:ascii="Arial" w:cs="Arial" w:eastAsia="Arial" w:hAnsi="Arial"/>
                <w:sz w:val="16"/>
                <w:szCs w:val="16"/>
                <w:b w:val="1"/>
                <w:bCs w:val="1"/>
                <w:color w:val="auto"/>
              </w:rPr>
              <w:t>Nominating and</w:t>
            </w:r>
          </w:p>
        </w:tc>
      </w:tr>
      <w:tr>
        <w:trPr>
          <w:trHeight w:val="189"/>
        </w:trPr>
        <w:tc>
          <w:tcPr>
            <w:tcW w:w="100" w:type="dxa"/>
            <w:vAlign w:val="bottom"/>
            <w:tcBorders>
              <w:right w:val="single" w:sz="8" w:color="auto"/>
            </w:tcBorders>
          </w:tcPr>
          <w:p>
            <w:pPr>
              <w:spacing w:after="0"/>
              <w:rPr>
                <w:sz w:val="16"/>
                <w:szCs w:val="16"/>
                <w:color w:val="auto"/>
              </w:rPr>
            </w:pPr>
          </w:p>
        </w:tc>
        <w:tc>
          <w:tcPr>
            <w:tcW w:w="1500" w:type="dxa"/>
            <w:vAlign w:val="bottom"/>
            <w:shd w:val="clear" w:color="auto" w:fill="F1F3F7"/>
          </w:tcPr>
          <w:p>
            <w:pPr>
              <w:ind w:left="40"/>
              <w:spacing w:after="0"/>
              <w:rPr>
                <w:sz w:val="20"/>
                <w:szCs w:val="20"/>
                <w:color w:val="auto"/>
              </w:rPr>
            </w:pPr>
            <w:r>
              <w:rPr>
                <w:rFonts w:ascii="Arial" w:cs="Arial" w:eastAsia="Arial" w:hAnsi="Arial"/>
                <w:sz w:val="16"/>
                <w:szCs w:val="16"/>
                <w:b w:val="1"/>
                <w:bCs w:val="1"/>
                <w:color w:val="auto"/>
              </w:rPr>
              <w:t>Name</w:t>
            </w:r>
          </w:p>
        </w:tc>
        <w:tc>
          <w:tcPr>
            <w:tcW w:w="1440" w:type="dxa"/>
            <w:vAlign w:val="bottom"/>
            <w:tcBorders>
              <w:right w:val="single" w:sz="8" w:color="auto"/>
            </w:tcBorders>
            <w:shd w:val="clear" w:color="auto" w:fill="F1F3F7"/>
          </w:tcPr>
          <w:p>
            <w:pPr>
              <w:spacing w:after="0"/>
              <w:rPr>
                <w:sz w:val="16"/>
                <w:szCs w:val="16"/>
                <w:color w:val="auto"/>
              </w:rPr>
            </w:pPr>
          </w:p>
        </w:tc>
        <w:tc>
          <w:tcPr>
            <w:tcW w:w="1680" w:type="dxa"/>
            <w:vAlign w:val="bottom"/>
            <w:tcBorders>
              <w:right w:val="single" w:sz="8" w:color="auto"/>
            </w:tcBorders>
            <w:shd w:val="clear" w:color="auto" w:fill="F1F3F7"/>
          </w:tcPr>
          <w:p>
            <w:pPr>
              <w:jc w:val="center"/>
              <w:spacing w:after="0"/>
              <w:rPr>
                <w:sz w:val="20"/>
                <w:szCs w:val="20"/>
                <w:color w:val="auto"/>
              </w:rPr>
            </w:pPr>
            <w:r>
              <w:rPr>
                <w:rFonts w:ascii="Arial" w:cs="Arial" w:eastAsia="Arial" w:hAnsi="Arial"/>
                <w:sz w:val="16"/>
                <w:szCs w:val="16"/>
                <w:b w:val="1"/>
                <w:bCs w:val="1"/>
                <w:color w:val="auto"/>
              </w:rPr>
              <w:t>Audit</w:t>
            </w:r>
          </w:p>
        </w:tc>
        <w:tc>
          <w:tcPr>
            <w:tcW w:w="1700" w:type="dxa"/>
            <w:vAlign w:val="bottom"/>
            <w:tcBorders>
              <w:right w:val="single" w:sz="8" w:color="auto"/>
            </w:tcBorders>
            <w:shd w:val="clear" w:color="auto" w:fill="F1F3F7"/>
          </w:tcPr>
          <w:p>
            <w:pPr>
              <w:jc w:val="center"/>
              <w:spacing w:after="0"/>
              <w:rPr>
                <w:sz w:val="20"/>
                <w:szCs w:val="20"/>
                <w:color w:val="auto"/>
              </w:rPr>
            </w:pPr>
            <w:r>
              <w:rPr>
                <w:rFonts w:ascii="Arial" w:cs="Arial" w:eastAsia="Arial" w:hAnsi="Arial"/>
                <w:sz w:val="16"/>
                <w:szCs w:val="16"/>
                <w:b w:val="1"/>
                <w:bCs w:val="1"/>
                <w:color w:val="auto"/>
              </w:rPr>
              <w:t>Compensation</w:t>
            </w:r>
          </w:p>
        </w:tc>
        <w:tc>
          <w:tcPr>
            <w:tcW w:w="1920" w:type="dxa"/>
            <w:vAlign w:val="bottom"/>
            <w:tcBorders>
              <w:right w:val="single" w:sz="8" w:color="auto"/>
            </w:tcBorders>
            <w:shd w:val="clear" w:color="auto" w:fill="F1F3F7"/>
          </w:tcPr>
          <w:p>
            <w:pPr>
              <w:jc w:val="center"/>
              <w:spacing w:after="0"/>
              <w:rPr>
                <w:sz w:val="20"/>
                <w:szCs w:val="20"/>
                <w:color w:val="auto"/>
              </w:rPr>
            </w:pPr>
            <w:r>
              <w:rPr>
                <w:rFonts w:ascii="Arial" w:cs="Arial" w:eastAsia="Arial" w:hAnsi="Arial"/>
                <w:sz w:val="16"/>
                <w:szCs w:val="16"/>
                <w:b w:val="1"/>
                <w:bCs w:val="1"/>
                <w:color w:val="auto"/>
              </w:rPr>
              <w:t>Corporate</w:t>
            </w:r>
          </w:p>
        </w:tc>
      </w:tr>
      <w:tr>
        <w:trPr>
          <w:trHeight w:val="226"/>
        </w:trPr>
        <w:tc>
          <w:tcPr>
            <w:tcW w:w="100" w:type="dxa"/>
            <w:vAlign w:val="bottom"/>
            <w:tcBorders>
              <w:right w:val="single" w:sz="8" w:color="auto"/>
            </w:tcBorders>
          </w:tcPr>
          <w:p>
            <w:pPr>
              <w:spacing w:after="0"/>
              <w:rPr>
                <w:sz w:val="19"/>
                <w:szCs w:val="19"/>
                <w:color w:val="auto"/>
              </w:rPr>
            </w:pPr>
          </w:p>
        </w:tc>
        <w:tc>
          <w:tcPr>
            <w:tcW w:w="1500" w:type="dxa"/>
            <w:vAlign w:val="bottom"/>
            <w:tcBorders>
              <w:bottom w:val="single" w:sz="8" w:color="auto"/>
            </w:tcBorders>
            <w:shd w:val="clear" w:color="auto" w:fill="F1F3F7"/>
          </w:tcPr>
          <w:p>
            <w:pPr>
              <w:spacing w:after="0"/>
              <w:rPr>
                <w:sz w:val="19"/>
                <w:szCs w:val="19"/>
                <w:color w:val="auto"/>
              </w:rPr>
            </w:pPr>
          </w:p>
        </w:tc>
        <w:tc>
          <w:tcPr>
            <w:tcW w:w="1440" w:type="dxa"/>
            <w:vAlign w:val="bottom"/>
            <w:tcBorders>
              <w:bottom w:val="single" w:sz="8" w:color="auto"/>
              <w:right w:val="single" w:sz="8" w:color="auto"/>
            </w:tcBorders>
            <w:shd w:val="clear" w:color="auto" w:fill="F1F3F7"/>
          </w:tcPr>
          <w:p>
            <w:pPr>
              <w:spacing w:after="0"/>
              <w:rPr>
                <w:sz w:val="19"/>
                <w:szCs w:val="19"/>
                <w:color w:val="auto"/>
              </w:rPr>
            </w:pPr>
          </w:p>
        </w:tc>
        <w:tc>
          <w:tcPr>
            <w:tcW w:w="1680" w:type="dxa"/>
            <w:vAlign w:val="bottom"/>
            <w:tcBorders>
              <w:bottom w:val="single" w:sz="8" w:color="auto"/>
              <w:right w:val="single" w:sz="8" w:color="auto"/>
            </w:tcBorders>
            <w:shd w:val="clear" w:color="auto" w:fill="F1F3F7"/>
          </w:tcPr>
          <w:p>
            <w:pPr>
              <w:spacing w:after="0"/>
              <w:rPr>
                <w:sz w:val="19"/>
                <w:szCs w:val="19"/>
                <w:color w:val="auto"/>
              </w:rPr>
            </w:pPr>
          </w:p>
        </w:tc>
        <w:tc>
          <w:tcPr>
            <w:tcW w:w="1700" w:type="dxa"/>
            <w:vAlign w:val="bottom"/>
            <w:tcBorders>
              <w:bottom w:val="single" w:sz="8" w:color="auto"/>
              <w:right w:val="single" w:sz="8" w:color="auto"/>
            </w:tcBorders>
            <w:shd w:val="clear" w:color="auto" w:fill="F1F3F7"/>
          </w:tcPr>
          <w:p>
            <w:pPr>
              <w:spacing w:after="0"/>
              <w:rPr>
                <w:sz w:val="19"/>
                <w:szCs w:val="19"/>
                <w:color w:val="auto"/>
              </w:rPr>
            </w:pPr>
          </w:p>
        </w:tc>
        <w:tc>
          <w:tcPr>
            <w:tcW w:w="1920" w:type="dxa"/>
            <w:vAlign w:val="bottom"/>
            <w:tcBorders>
              <w:bottom w:val="single" w:sz="8" w:color="auto"/>
              <w:right w:val="single" w:sz="8" w:color="auto"/>
            </w:tcBorders>
            <w:shd w:val="clear" w:color="auto" w:fill="F1F3F7"/>
          </w:tcPr>
          <w:p>
            <w:pPr>
              <w:jc w:val="center"/>
              <w:spacing w:after="0"/>
              <w:rPr>
                <w:sz w:val="20"/>
                <w:szCs w:val="20"/>
                <w:color w:val="auto"/>
              </w:rPr>
            </w:pPr>
            <w:r>
              <w:rPr>
                <w:rFonts w:ascii="Arial" w:cs="Arial" w:eastAsia="Arial" w:hAnsi="Arial"/>
                <w:sz w:val="16"/>
                <w:szCs w:val="16"/>
                <w:b w:val="1"/>
                <w:bCs w:val="1"/>
                <w:color w:val="auto"/>
              </w:rPr>
              <w:t>Governance</w:t>
            </w:r>
          </w:p>
        </w:tc>
      </w:tr>
      <w:tr>
        <w:trPr>
          <w:trHeight w:val="288"/>
        </w:trPr>
        <w:tc>
          <w:tcPr>
            <w:tcW w:w="10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Aida Álvarez</w:t>
            </w: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20" w:type="dxa"/>
            <w:vAlign w:val="bottom"/>
            <w:tcBorders>
              <w:bottom w:val="single" w:sz="8" w:color="auto"/>
              <w:right w:val="single" w:sz="8" w:color="auto"/>
            </w:tcBorders>
          </w:tcPr>
          <w:p>
            <w:pPr>
              <w:spacing w:after="0"/>
              <w:rPr>
                <w:sz w:val="24"/>
                <w:szCs w:val="24"/>
                <w:color w:val="auto"/>
              </w:rPr>
            </w:pPr>
          </w:p>
        </w:tc>
      </w:tr>
      <w:tr>
        <w:trPr>
          <w:trHeight w:val="284"/>
        </w:trPr>
        <w:tc>
          <w:tcPr>
            <w:tcW w:w="10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tcPr>
          <w:p>
            <w:pPr>
              <w:ind w:left="40"/>
              <w:spacing w:after="0" w:line="283" w:lineRule="exact"/>
              <w:rPr>
                <w:sz w:val="20"/>
                <w:szCs w:val="20"/>
                <w:color w:val="auto"/>
              </w:rPr>
            </w:pPr>
            <w:r>
              <w:rPr>
                <w:rFonts w:ascii="Arial" w:cs="Arial" w:eastAsia="Arial" w:hAnsi="Arial"/>
                <w:sz w:val="16"/>
                <w:szCs w:val="16"/>
                <w:color w:val="auto"/>
              </w:rPr>
              <w:t>Artur Bergman</w:t>
            </w:r>
            <w:r>
              <w:rPr>
                <w:rFonts w:ascii="Arial" w:cs="Arial" w:eastAsia="Arial" w:hAnsi="Arial"/>
                <w:sz w:val="26"/>
                <w:szCs w:val="26"/>
                <w:color w:val="auto"/>
                <w:vertAlign w:val="superscript"/>
              </w:rPr>
              <w:t>(1)</w:t>
            </w: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77"/>
        </w:trPr>
        <w:tc>
          <w:tcPr>
            <w:tcW w:w="10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tcPr>
          <w:p>
            <w:pPr>
              <w:ind w:left="40"/>
              <w:spacing w:after="0" w:line="277" w:lineRule="exact"/>
              <w:rPr>
                <w:sz w:val="20"/>
                <w:szCs w:val="20"/>
                <w:color w:val="auto"/>
              </w:rPr>
            </w:pPr>
            <w:r>
              <w:rPr>
                <w:rFonts w:ascii="Arial" w:cs="Arial" w:eastAsia="Arial" w:hAnsi="Arial"/>
                <w:sz w:val="16"/>
                <w:szCs w:val="16"/>
                <w:color w:val="auto"/>
                <w:w w:val="98"/>
              </w:rPr>
              <w:t>Charles Compton</w:t>
            </w:r>
            <w:r>
              <w:rPr>
                <w:rFonts w:ascii="Arial" w:cs="Arial" w:eastAsia="Arial" w:hAnsi="Arial"/>
                <w:sz w:val="26"/>
                <w:szCs w:val="26"/>
                <w:color w:val="auto"/>
                <w:w w:val="98"/>
                <w:vertAlign w:val="superscript"/>
              </w:rPr>
              <w:t>(1)</w:t>
            </w: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84"/>
        </w:trPr>
        <w:tc>
          <w:tcPr>
            <w:tcW w:w="10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Richard Daniels</w:t>
            </w: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77"/>
              </w:rPr>
              <w:t>•</w:t>
            </w:r>
          </w:p>
        </w:tc>
        <w:tc>
          <w:tcPr>
            <w:tcW w:w="170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90"/>
        </w:trPr>
        <w:tc>
          <w:tcPr>
            <w:tcW w:w="10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David Hornik</w:t>
            </w: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10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Paula Loop</w:t>
            </w: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77"/>
              </w:rPr>
              <w:t>•</w:t>
            </w:r>
          </w:p>
        </w:tc>
        <w:tc>
          <w:tcPr>
            <w:tcW w:w="170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36"/>
        </w:trPr>
        <w:tc>
          <w:tcPr>
            <w:tcW w:w="100" w:type="dxa"/>
            <w:vAlign w:val="bottom"/>
            <w:tcBorders>
              <w:right w:val="single" w:sz="8" w:color="auto"/>
            </w:tcBorders>
          </w:tcPr>
          <w:p>
            <w:pPr>
              <w:spacing w:after="0"/>
              <w:rPr>
                <w:sz w:val="20"/>
                <w:szCs w:val="20"/>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Charles Meyers</w:t>
            </w:r>
          </w:p>
        </w:tc>
        <w:tc>
          <w:tcPr>
            <w:tcW w:w="144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spacing w:after="0"/>
              <w:rPr>
                <w:sz w:val="20"/>
                <w:szCs w:val="20"/>
                <w:color w:val="auto"/>
              </w:rPr>
            </w:pPr>
          </w:p>
        </w:tc>
      </w:tr>
      <w:tr>
        <w:trPr>
          <w:trHeight w:val="291"/>
        </w:trPr>
        <w:tc>
          <w:tcPr>
            <w:tcW w:w="100" w:type="dxa"/>
            <w:vAlign w:val="bottom"/>
            <w:tcBorders>
              <w:right w:val="single" w:sz="8" w:color="auto"/>
            </w:tcBorders>
          </w:tcPr>
          <w:p>
            <w:pPr>
              <w:spacing w:after="0"/>
              <w:rPr>
                <w:sz w:val="24"/>
                <w:szCs w:val="24"/>
                <w:color w:val="auto"/>
              </w:rPr>
            </w:pPr>
          </w:p>
        </w:tc>
        <w:tc>
          <w:tcPr>
            <w:tcW w:w="29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Christopher B. Paisley</w:t>
            </w: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0"/>
        </w:trPr>
        <w:tc>
          <w:tcPr>
            <w:tcW w:w="100" w:type="dxa"/>
            <w:vAlign w:val="bottom"/>
            <w:tcBorders>
              <w:right w:val="single" w:sz="8" w:color="auto"/>
            </w:tcBorders>
          </w:tcPr>
          <w:p>
            <w:pPr>
              <w:spacing w:after="0"/>
              <w:rPr>
                <w:sz w:val="24"/>
                <w:szCs w:val="24"/>
                <w:color w:val="auto"/>
              </w:rPr>
            </w:pPr>
          </w:p>
        </w:tc>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Vanessa Smith</w:t>
            </w:r>
          </w:p>
        </w:tc>
        <w:tc>
          <w:tcPr>
            <w:tcW w:w="144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42"/>
        </w:trPr>
        <w:tc>
          <w:tcPr>
            <w:tcW w:w="100" w:type="dxa"/>
            <w:vAlign w:val="bottom"/>
            <w:tcBorders>
              <w:right w:val="single" w:sz="8" w:color="auto"/>
            </w:tcBorders>
          </w:tcPr>
          <w:p>
            <w:pPr>
              <w:spacing w:after="0"/>
              <w:rPr>
                <w:sz w:val="20"/>
                <w:szCs w:val="20"/>
                <w:color w:val="auto"/>
              </w:rPr>
            </w:pPr>
            <w:r>
              <w:rPr>
                <w:rFonts w:ascii="Arial" w:cs="Arial" w:eastAsia="Arial" w:hAnsi="Arial"/>
                <w:sz w:val="8"/>
                <w:szCs w:val="8"/>
                <w:color w:val="auto"/>
                <w:w w:val="74"/>
              </w:rPr>
              <w:t> </w:t>
            </w:r>
          </w:p>
        </w:tc>
        <w:tc>
          <w:tcPr>
            <w:tcW w:w="294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6"/>
                <w:szCs w:val="16"/>
                <w:color w:val="auto"/>
              </w:rPr>
              <w:t>Total Number of Meetings in 2025</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8</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5</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w:t>
            </w:r>
          </w:p>
        </w:tc>
      </w:tr>
      <w:tr>
        <w:trPr>
          <w:trHeight w:val="380"/>
        </w:trPr>
        <w:tc>
          <w:tcPr>
            <w:tcW w:w="100" w:type="dxa"/>
            <w:vAlign w:val="bottom"/>
          </w:tcPr>
          <w:p>
            <w:pPr>
              <w:spacing w:after="0"/>
              <w:rPr>
                <w:sz w:val="20"/>
                <w:szCs w:val="20"/>
                <w:color w:val="auto"/>
              </w:rPr>
            </w:pPr>
            <w:r>
              <w:rPr>
                <w:rFonts w:ascii="Arial" w:cs="Arial" w:eastAsia="Arial" w:hAnsi="Arial"/>
                <w:sz w:val="22"/>
                <w:szCs w:val="22"/>
                <w:color w:val="auto"/>
                <w:w w:val="77"/>
              </w:rPr>
              <w:t>•</w:t>
            </w:r>
          </w:p>
        </w:tc>
        <w:tc>
          <w:tcPr>
            <w:tcW w:w="1500" w:type="dxa"/>
            <w:vAlign w:val="bottom"/>
          </w:tcPr>
          <w:p>
            <w:pPr>
              <w:ind w:left="40"/>
              <w:spacing w:after="0"/>
              <w:rPr>
                <w:sz w:val="20"/>
                <w:szCs w:val="20"/>
                <w:color w:val="auto"/>
              </w:rPr>
            </w:pPr>
            <w:r>
              <w:rPr>
                <w:rFonts w:ascii="Arial" w:cs="Arial" w:eastAsia="Arial" w:hAnsi="Arial"/>
                <w:sz w:val="32"/>
                <w:szCs w:val="32"/>
                <w:color w:val="auto"/>
                <w:vertAlign w:val="superscript"/>
              </w:rPr>
              <w:t>​</w:t>
            </w:r>
            <w:r>
              <w:rPr>
                <w:rFonts w:ascii="Arial" w:cs="Arial" w:eastAsia="Arial" w:hAnsi="Arial"/>
                <w:sz w:val="16"/>
                <w:szCs w:val="16"/>
                <w:color w:val="auto"/>
              </w:rPr>
              <w:t xml:space="preserve"> Member</w:t>
            </w:r>
          </w:p>
        </w:tc>
        <w:tc>
          <w:tcPr>
            <w:tcW w:w="1440" w:type="dxa"/>
            <w:vAlign w:val="bottom"/>
          </w:tcPr>
          <w:p>
            <w:pPr>
              <w:ind w:left="20"/>
              <w:spacing w:after="0"/>
              <w:rPr>
                <w:sz w:val="20"/>
                <w:szCs w:val="20"/>
                <w:color w:val="auto"/>
              </w:rPr>
            </w:pPr>
            <w:r>
              <w:rPr>
                <w:rFonts w:ascii="Arial" w:cs="Arial" w:eastAsia="Arial" w:hAnsi="Arial"/>
                <w:sz w:val="16"/>
                <w:szCs w:val="16"/>
                <w:color w:val="auto"/>
              </w:rPr>
              <w:t>Committee Chair</w:t>
            </w:r>
          </w:p>
        </w:tc>
        <w:tc>
          <w:tcPr>
            <w:tcW w:w="1680" w:type="dxa"/>
            <w:vAlign w:val="bottom"/>
          </w:tcPr>
          <w:p>
            <w:pPr>
              <w:jc w:val="center"/>
              <w:spacing w:after="0"/>
              <w:rPr>
                <w:sz w:val="20"/>
                <w:szCs w:val="20"/>
                <w:color w:val="auto"/>
              </w:rPr>
            </w:pPr>
            <w:r>
              <w:rPr>
                <w:rFonts w:ascii="Arial" w:cs="Arial" w:eastAsia="Arial" w:hAnsi="Arial"/>
                <w:sz w:val="16"/>
                <w:szCs w:val="16"/>
                <w:color w:val="auto"/>
              </w:rPr>
              <w:t>​</w:t>
            </w:r>
          </w:p>
        </w:tc>
        <w:tc>
          <w:tcPr>
            <w:tcW w:w="1700" w:type="dxa"/>
            <w:vAlign w:val="bottom"/>
          </w:tcPr>
          <w:p>
            <w:pPr>
              <w:jc w:val="center"/>
              <w:spacing w:after="0"/>
              <w:rPr>
                <w:sz w:val="20"/>
                <w:szCs w:val="20"/>
                <w:color w:val="auto"/>
              </w:rPr>
            </w:pPr>
            <w:r>
              <w:rPr>
                <w:rFonts w:ascii="Arial" w:cs="Arial" w:eastAsia="Arial" w:hAnsi="Arial"/>
                <w:sz w:val="16"/>
                <w:szCs w:val="16"/>
                <w:color w:val="auto"/>
              </w:rPr>
              <w:t>​</w:t>
            </w:r>
          </w:p>
        </w:tc>
        <w:tc>
          <w:tcPr>
            <w:tcW w:w="1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5144770</wp:posOffset>
            </wp:positionH>
            <wp:positionV relativeFrom="paragraph">
              <wp:posOffset>-2113280</wp:posOffset>
            </wp:positionV>
            <wp:extent cx="111125" cy="1117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3996055</wp:posOffset>
            </wp:positionH>
            <wp:positionV relativeFrom="paragraph">
              <wp:posOffset>-947420</wp:posOffset>
            </wp:positionV>
            <wp:extent cx="111125" cy="1111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111125"/>
                    </a:xfrm>
                    <a:prstGeom prst="rect">
                      <a:avLst/>
                    </a:prstGeom>
                    <a:noFill/>
                  </pic:spPr>
                </pic:pic>
              </a:graphicData>
            </a:graphic>
          </wp:anchor>
        </w:drawing>
        <w:drawing>
          <wp:anchor simplePos="0" relativeHeight="251657728" behindDoc="1" locked="0" layoutInCell="0" allowOverlap="1">
            <wp:simplePos x="0" y="0"/>
            <wp:positionH relativeFrom="column">
              <wp:posOffset>2924175</wp:posOffset>
            </wp:positionH>
            <wp:positionV relativeFrom="paragraph">
              <wp:posOffset>-784225</wp:posOffset>
            </wp:positionV>
            <wp:extent cx="111125" cy="1117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1125" cy="111760"/>
                    </a:xfrm>
                    <a:prstGeom prst="rect">
                      <a:avLst/>
                    </a:prstGeom>
                    <a:noFill/>
                  </pic:spPr>
                </pic:pic>
              </a:graphicData>
            </a:graphic>
          </wp:anchor>
        </w:drawing>
        <w:drawing>
          <wp:anchor simplePos="0" relativeHeight="251657728" behindDoc="1" locked="0" layoutInCell="0" allowOverlap="1">
            <wp:simplePos x="0" y="0"/>
            <wp:positionH relativeFrom="column">
              <wp:posOffset>1304290</wp:posOffset>
            </wp:positionH>
            <wp:positionV relativeFrom="paragraph">
              <wp:posOffset>-193040</wp:posOffset>
            </wp:positionV>
            <wp:extent cx="111760" cy="111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1760" cy="111125"/>
                    </a:xfrm>
                    <a:prstGeom prst="rect">
                      <a:avLst/>
                    </a:prstGeom>
                    <a:noFill/>
                  </pic:spPr>
                </pic:pic>
              </a:graphicData>
            </a:graphic>
          </wp:anchor>
        </w:drawing>
      </w:r>
    </w:p>
    <w:p>
      <w:pPr>
        <w:ind w:left="1160" w:hanging="348"/>
        <w:spacing w:after="0"/>
        <w:tabs>
          <w:tab w:leader="none" w:pos="11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Mr. Bergman and Mr. Compton do not serve on any committees.</w:t>
      </w:r>
    </w:p>
    <w:p>
      <w:pPr>
        <w:spacing w:after="0" w:line="112" w:lineRule="exact"/>
        <w:rPr>
          <w:sz w:val="20"/>
          <w:szCs w:val="20"/>
          <w:color w:val="auto"/>
        </w:rPr>
      </w:pPr>
    </w:p>
    <w:p>
      <w:pPr>
        <w:jc w:val="both"/>
        <w:ind w:left="820" w:right="640"/>
        <w:spacing w:after="0" w:line="266" w:lineRule="auto"/>
        <w:rPr>
          <w:sz w:val="20"/>
          <w:szCs w:val="20"/>
          <w:color w:val="auto"/>
        </w:rPr>
      </w:pPr>
      <w:r>
        <w:rPr>
          <w:rFonts w:ascii="Arial" w:cs="Arial" w:eastAsia="Arial" w:hAnsi="Arial"/>
          <w:sz w:val="16"/>
          <w:szCs w:val="16"/>
          <w:color w:val="auto"/>
        </w:rPr>
        <w:t>Below is a description of the Audit Committee, Compensation Committee, and Nominating and Corporate Governance Committee of the Board of Directors. The written charters of each committee are available to stockholders on the Investor Relations section of our website at investors.fastly.com.</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121920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80"/>
          </w:cols>
          <w:pgMar w:left="920" w:top="114" w:right="109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Audit Committee</w:t>
      </w:r>
    </w:p>
    <w:p>
      <w:pPr>
        <w:spacing w:after="0" w:line="112"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Our Audit Committee consists of three directors, Mr. Daniels, Ms. Loop, and Mr. Paisley. Our Board of Directors has determined that each of our Audit Committee members satisfies the independence requirements for Audit Committee members under the Nasdaq rules and Rule 10A-3 of the Exchange Act. Each member of our Audit Committee meets the financial literacy requirements of the Nasdaq rules. Mr. Paisley is the chairperson of the Audit Committee and our Board of Directors has determined that each of Mr. Paisley and Ms. Loop is an audit committee “financial expert” as defined by Item 407(d) of Regulation S-K under the Securities Act. The principal duties and responsibilities of our Audit Committee include, among other things:</w:t>
      </w:r>
    </w:p>
    <w:p>
      <w:pPr>
        <w:spacing w:after="0" w:line="80" w:lineRule="exact"/>
        <w:rPr>
          <w:sz w:val="20"/>
          <w:szCs w:val="20"/>
          <w:color w:val="auto"/>
        </w:rPr>
      </w:pPr>
    </w:p>
    <w:p>
      <w:pPr>
        <w:jc w:val="both"/>
        <w:ind w:left="1100" w:hanging="268"/>
        <w:spacing w:after="0" w:line="266"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selecting a qualified firm to serve as the independent registered public accounting firm to audit our financial statements;</w:t>
      </w:r>
    </w:p>
    <w:p>
      <w:pPr>
        <w:spacing w:after="0" w:line="63" w:lineRule="exact"/>
        <w:rPr>
          <w:rFonts w:ascii="Arial" w:cs="Arial" w:eastAsia="Arial" w:hAnsi="Arial"/>
          <w:sz w:val="16"/>
          <w:szCs w:val="16"/>
          <w:color w:val="auto"/>
        </w:rPr>
      </w:pPr>
    </w:p>
    <w:p>
      <w:pPr>
        <w:jc w:val="both"/>
        <w:ind w:left="1100" w:hanging="268"/>
        <w:spacing w:after="0" w:line="266"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helping to ensure the independence and performance of the independent registered public accounting firm;</w:t>
      </w:r>
    </w:p>
    <w:p>
      <w:pPr>
        <w:spacing w:after="0" w:line="63" w:lineRule="exact"/>
        <w:rPr>
          <w:rFonts w:ascii="Arial" w:cs="Arial" w:eastAsia="Arial" w:hAnsi="Arial"/>
          <w:sz w:val="16"/>
          <w:szCs w:val="16"/>
          <w:color w:val="auto"/>
        </w:rPr>
      </w:pPr>
    </w:p>
    <w:p>
      <w:pPr>
        <w:jc w:val="both"/>
        <w:ind w:left="1100" w:hanging="268"/>
        <w:spacing w:after="0" w:line="256"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discussing the scope and results of the audit with the independent registered public accounting firm, and reviewing, with management and the independent accountants, our interim and year-end operating results;</w:t>
      </w:r>
    </w:p>
    <w:p>
      <w:pPr>
        <w:spacing w:after="0" w:line="71" w:lineRule="exact"/>
        <w:rPr>
          <w:rFonts w:ascii="Arial" w:cs="Arial" w:eastAsia="Arial" w:hAnsi="Arial"/>
          <w:sz w:val="16"/>
          <w:szCs w:val="16"/>
          <w:color w:val="auto"/>
        </w:rPr>
      </w:pPr>
    </w:p>
    <w:p>
      <w:pPr>
        <w:jc w:val="both"/>
        <w:ind w:left="1100" w:hanging="268"/>
        <w:spacing w:after="0" w:line="266"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reviewing with the independent registered public accounting firm any communications with respect to auditing or accounting issues;</w:t>
      </w:r>
    </w:p>
    <w:p>
      <w:pPr>
        <w:spacing w:after="0" w:line="63" w:lineRule="exact"/>
        <w:rPr>
          <w:rFonts w:ascii="Arial" w:cs="Arial" w:eastAsia="Arial" w:hAnsi="Arial"/>
          <w:sz w:val="16"/>
          <w:szCs w:val="16"/>
          <w:color w:val="auto"/>
        </w:rPr>
      </w:pPr>
    </w:p>
    <w:p>
      <w:pPr>
        <w:jc w:val="both"/>
        <w:ind w:left="1100" w:hanging="268"/>
        <w:spacing w:after="0" w:line="266" w:lineRule="auto"/>
        <w:tabs>
          <w:tab w:leader="none" w:pos="11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developing procedures for employees to submit concerns anonymously about questionable accounting or audit matters;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color w:val="auto"/>
        </w:rPr>
        <w:t>14  |  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460" w:right="299" w:hanging="278"/>
        <w:spacing w:after="0" w:line="259"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our policies on risk assessment and risk management related to financial reporting, accounting and auditing matters, investment risks and foreign exchange risks, and tax matters;</w:t>
      </w:r>
    </w:p>
    <w:p>
      <w:pPr>
        <w:spacing w:after="0" w:line="69" w:lineRule="exact"/>
        <w:rPr>
          <w:rFonts w:ascii="Arial" w:cs="Arial" w:eastAsia="Arial" w:hAnsi="Arial"/>
          <w:sz w:val="16"/>
          <w:szCs w:val="16"/>
          <w:color w:val="auto"/>
        </w:rPr>
      </w:pPr>
    </w:p>
    <w:p>
      <w:pPr>
        <w:ind w:left="460" w:hanging="278"/>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related party transactions;</w:t>
      </w:r>
    </w:p>
    <w:p>
      <w:pPr>
        <w:spacing w:after="0" w:line="113" w:lineRule="exact"/>
        <w:rPr>
          <w:rFonts w:ascii="Arial" w:cs="Arial" w:eastAsia="Arial" w:hAnsi="Arial"/>
          <w:sz w:val="16"/>
          <w:szCs w:val="16"/>
          <w:color w:val="auto"/>
        </w:rPr>
      </w:pPr>
    </w:p>
    <w:p>
      <w:pPr>
        <w:jc w:val="both"/>
        <w:ind w:left="460" w:right="299" w:hanging="278"/>
        <w:spacing w:after="0" w:line="25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overseeing our investment philosophy, allocation and performance of our investment portfolio, management of investment risk, policies and procedures to comply with laws pertinent to our investment portfolio, and foreign exchange risk management;</w:t>
      </w:r>
    </w:p>
    <w:p>
      <w:pPr>
        <w:spacing w:after="0" w:line="73" w:lineRule="exact"/>
        <w:rPr>
          <w:rFonts w:ascii="Arial" w:cs="Arial" w:eastAsia="Arial" w:hAnsi="Arial"/>
          <w:sz w:val="16"/>
          <w:szCs w:val="16"/>
          <w:color w:val="auto"/>
        </w:rPr>
      </w:pPr>
    </w:p>
    <w:p>
      <w:pPr>
        <w:ind w:left="460" w:right="319" w:hanging="278"/>
        <w:spacing w:after="0" w:line="28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overseeing significant tax matters and approving policies related to these matters;</w:t>
      </w:r>
    </w:p>
    <w:p>
      <w:pPr>
        <w:spacing w:after="0" w:line="47" w:lineRule="exact"/>
        <w:rPr>
          <w:rFonts w:ascii="Arial" w:cs="Arial" w:eastAsia="Arial" w:hAnsi="Arial"/>
          <w:sz w:val="16"/>
          <w:szCs w:val="16"/>
          <w:color w:val="auto"/>
        </w:rPr>
      </w:pPr>
    </w:p>
    <w:p>
      <w:pPr>
        <w:ind w:left="460" w:hanging="278"/>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internal audit’s scope and annual plan;</w:t>
      </w:r>
    </w:p>
    <w:p>
      <w:pPr>
        <w:spacing w:after="0" w:line="113" w:lineRule="exact"/>
        <w:rPr>
          <w:rFonts w:ascii="Arial" w:cs="Arial" w:eastAsia="Arial" w:hAnsi="Arial"/>
          <w:sz w:val="16"/>
          <w:szCs w:val="16"/>
          <w:color w:val="auto"/>
        </w:rPr>
      </w:pPr>
    </w:p>
    <w:p>
      <w:pPr>
        <w:jc w:val="both"/>
        <w:ind w:left="460" w:right="299" w:hanging="278"/>
        <w:spacing w:after="0" w:line="254"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obtaining and reviewing a report by the independent registered public accounting firm at least annually, that describes its internal quality-control procedures, any material issues with such procedures, and any steps taken to deal with such issues when required by applicable law;</w:t>
      </w:r>
    </w:p>
    <w:p>
      <w:pPr>
        <w:spacing w:after="0" w:line="73" w:lineRule="exact"/>
        <w:rPr>
          <w:rFonts w:ascii="Arial" w:cs="Arial" w:eastAsia="Arial" w:hAnsi="Arial"/>
          <w:sz w:val="16"/>
          <w:szCs w:val="16"/>
          <w:color w:val="auto"/>
        </w:rPr>
      </w:pPr>
    </w:p>
    <w:p>
      <w:pPr>
        <w:jc w:val="both"/>
        <w:ind w:left="460" w:right="299" w:hanging="278"/>
        <w:spacing w:after="0" w:line="256"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approving (or, as permitted, pre-approving) all audit and all permissible non-audit services, other than de minimis non-audit services, to be performed by the independent registered public accounting firm; and</w:t>
      </w:r>
    </w:p>
    <w:p>
      <w:pPr>
        <w:spacing w:after="0" w:line="71" w:lineRule="exact"/>
        <w:rPr>
          <w:rFonts w:ascii="Arial" w:cs="Arial" w:eastAsia="Arial" w:hAnsi="Arial"/>
          <w:sz w:val="16"/>
          <w:szCs w:val="16"/>
          <w:color w:val="auto"/>
        </w:rPr>
      </w:pPr>
    </w:p>
    <w:p>
      <w:pPr>
        <w:jc w:val="both"/>
        <w:ind w:left="460" w:right="299" w:hanging="278"/>
        <w:spacing w:after="0" w:line="259"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and discussing any reports of evidence of material violation of securities laws and breaches of fiduciary duty and other similar violations.</w:t>
      </w:r>
    </w:p>
    <w:p>
      <w:pPr>
        <w:spacing w:after="0" w:line="97" w:lineRule="exact"/>
        <w:rPr>
          <w:sz w:val="20"/>
          <w:szCs w:val="20"/>
          <w:color w:val="auto"/>
        </w:rPr>
      </w:pPr>
    </w:p>
    <w:p>
      <w:pPr>
        <w:jc w:val="both"/>
        <w:ind w:right="299"/>
        <w:spacing w:after="0" w:line="259" w:lineRule="auto"/>
        <w:rPr>
          <w:sz w:val="20"/>
          <w:szCs w:val="20"/>
          <w:color w:val="auto"/>
        </w:rPr>
      </w:pPr>
      <w:r>
        <w:rPr>
          <w:rFonts w:ascii="Arial" w:cs="Arial" w:eastAsia="Arial" w:hAnsi="Arial"/>
          <w:sz w:val="16"/>
          <w:szCs w:val="16"/>
          <w:color w:val="auto"/>
        </w:rPr>
        <w:t>Our Audit Committee operates under a written charter that satisfies the applicable rules of the SEC and the Nasdaq rules. The Audit Committee met eight times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327660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660" w:space="400"/>
            <w:col w:w="4319"/>
          </w:cols>
          <w:pgMar w:left="1080" w:top="114"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Report of the Audit Committee of the Board of Directors</w:t>
      </w:r>
    </w:p>
    <w:p>
      <w:pPr>
        <w:spacing w:after="0" w:line="141" w:lineRule="exact"/>
        <w:rPr>
          <w:sz w:val="20"/>
          <w:szCs w:val="20"/>
          <w:color w:val="auto"/>
        </w:rPr>
      </w:pPr>
    </w:p>
    <w:p>
      <w:pPr>
        <w:jc w:val="both"/>
        <w:ind w:left="660" w:right="640"/>
        <w:spacing w:after="0" w:line="270" w:lineRule="auto"/>
        <w:rPr>
          <w:sz w:val="20"/>
          <w:szCs w:val="20"/>
          <w:color w:val="auto"/>
        </w:rPr>
      </w:pPr>
      <w:r>
        <w:rPr>
          <w:rFonts w:ascii="Arial" w:cs="Arial" w:eastAsia="Arial" w:hAnsi="Arial"/>
          <w:sz w:val="16"/>
          <w:szCs w:val="16"/>
          <w:b w:val="1"/>
          <w:bCs w:val="1"/>
          <w:i w:val="1"/>
          <w:iCs w:val="1"/>
          <w:color w:val="auto"/>
        </w:rPr>
        <w:t>The material in this report is not “soliciting material,” is not deemed “filed” with the SEC and is not to be incorporated by reference in any filing of Fastly under the Securities Act or the Exchange Act, whether made before or after the date hereof and irrespective of any general incorporation language in any such filing.</w:t>
      </w:r>
    </w:p>
    <w:p>
      <w:pPr>
        <w:spacing w:after="0" w:line="93" w:lineRule="exact"/>
        <w:rPr>
          <w:sz w:val="20"/>
          <w:szCs w:val="20"/>
          <w:color w:val="auto"/>
        </w:rPr>
      </w:pPr>
    </w:p>
    <w:p>
      <w:pPr>
        <w:jc w:val="both"/>
        <w:ind w:left="660" w:right="640"/>
        <w:spacing w:after="0" w:line="249" w:lineRule="auto"/>
        <w:rPr>
          <w:sz w:val="20"/>
          <w:szCs w:val="20"/>
          <w:color w:val="auto"/>
        </w:rPr>
      </w:pPr>
      <w:r>
        <w:rPr>
          <w:rFonts w:ascii="Arial" w:cs="Arial" w:eastAsia="Arial" w:hAnsi="Arial"/>
          <w:sz w:val="16"/>
          <w:szCs w:val="16"/>
          <w:color w:val="auto"/>
        </w:rPr>
        <w:t>The Audit Committee has reviewed the audited financial statements for the year ended December 31, 2025 and met with management of the Company, as well as with representatives of the Company’s independent registered public accounting firm for the fiscal year ended December 31, 2025, Deloitte &amp; Touche LLP, to discuss the audited financial statements and management’s assessment and the independent registered public accounting firm’s evaluation of the effectiveness of the Company’s internal control over financial reporting as of December 31, 2025.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and the letter from the independent registered public accounting firm required by applicable requirements of the PCAOB regarding the independent accountants’ communications with the Audit Committee concerning independence, and has discussed the accounting firm’s independence with the independent registered public accounting firm. Based on the foregoing, the Audit Committee has recommended to the Board of Directors that the audited financial statements be included in the Company’s Annual Report on Form 10-K for the fiscal year ended December 31, 2025.</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Respectfully submitted by the members of the Audit Committee of the Board of Directors:</w:t>
      </w:r>
    </w:p>
    <w:p>
      <w:pPr>
        <w:sectPr>
          <w:pgSz w:w="11900" w:h="16838" w:orient="portrait"/>
          <w:cols w:equalWidth="0" w:num="1">
            <w:col w:w="9720"/>
          </w:cols>
          <w:pgMar w:left="1080" w:top="114" w:right="1099" w:bottom="1440" w:gutter="0" w:footer="0" w:header="0"/>
        </w:sectPr>
      </w:pP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Paisley (Chairperson)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Daniels</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Ms. Loop</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Compensation Committee</w:t>
      </w:r>
    </w:p>
    <w:p>
      <w:pPr>
        <w:spacing w:after="0" w:line="112"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Our Compensation Committee consists of three directors, Ms. Álvarez, Mr. Hornik, and Mr. Meyers, each of whom our Board of Directors has determined is a non-employee member of our Board of Directors as defined in Rule 16b-3 under the Exchange Act. The members of our Compensation Committee meet the requirements for independence under current Nasdaq rules and current SEC rules and regulations. The principal duties and responsibilities of our Compensation Committee include, among other things:</w:t>
      </w:r>
    </w:p>
    <w:p>
      <w:pPr>
        <w:spacing w:after="0" w:line="81" w:lineRule="exact"/>
        <w:rPr>
          <w:sz w:val="20"/>
          <w:szCs w:val="20"/>
          <w:color w:val="auto"/>
        </w:rPr>
      </w:pPr>
    </w:p>
    <w:p>
      <w:pPr>
        <w:jc w:val="both"/>
        <w:ind w:left="1100" w:hanging="268"/>
        <w:spacing w:after="0" w:line="254" w:lineRule="auto"/>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of Directors approve, the compensation of our executive officers, including evaluating the performance of our chief executive officer and, with his assistance, that of our other executive officers;</w:t>
      </w:r>
    </w:p>
    <w:p>
      <w:pPr>
        <w:spacing w:after="0" w:line="73" w:lineRule="exact"/>
        <w:rPr>
          <w:rFonts w:ascii="Arial" w:cs="Arial" w:eastAsia="Arial" w:hAnsi="Arial"/>
          <w:sz w:val="16"/>
          <w:szCs w:val="16"/>
          <w:color w:val="auto"/>
        </w:rPr>
      </w:pPr>
    </w:p>
    <w:p>
      <w:pPr>
        <w:jc w:val="both"/>
        <w:ind w:left="1100" w:hanging="268"/>
        <w:spacing w:after="0" w:line="266" w:lineRule="auto"/>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recommending to our Board of Directors the compensation of our non-employee directors;</w:t>
      </w:r>
    </w:p>
    <w:p>
      <w:pPr>
        <w:spacing w:after="0" w:line="63" w:lineRule="exact"/>
        <w:rPr>
          <w:rFonts w:ascii="Arial" w:cs="Arial" w:eastAsia="Arial" w:hAnsi="Arial"/>
          <w:sz w:val="16"/>
          <w:szCs w:val="16"/>
          <w:color w:val="auto"/>
        </w:rPr>
      </w:pPr>
    </w:p>
    <w:p>
      <w:pPr>
        <w:jc w:val="both"/>
        <w:ind w:left="1100" w:hanging="268"/>
        <w:spacing w:after="0" w:line="259" w:lineRule="auto"/>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of Directors approve, the terms of compensatory arrangements with our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460" w:right="640" w:hanging="278"/>
        <w:spacing w:after="0" w:line="26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approving the list of companies used to benchmark our compensation practices and programs;</w:t>
      </w:r>
    </w:p>
    <w:p>
      <w:pPr>
        <w:spacing w:after="0" w:line="63" w:lineRule="exact"/>
        <w:rPr>
          <w:rFonts w:ascii="Arial" w:cs="Arial" w:eastAsia="Arial" w:hAnsi="Arial"/>
          <w:sz w:val="16"/>
          <w:szCs w:val="16"/>
          <w:color w:val="auto"/>
        </w:rPr>
      </w:pPr>
    </w:p>
    <w:p>
      <w:pPr>
        <w:ind w:left="460" w:right="640" w:hanging="278"/>
        <w:spacing w:after="0" w:line="28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administering our equity and non-equity incentive plans;</w:t>
      </w:r>
    </w:p>
    <w:p>
      <w:pPr>
        <w:spacing w:after="0" w:line="47" w:lineRule="exact"/>
        <w:rPr>
          <w:rFonts w:ascii="Arial" w:cs="Arial" w:eastAsia="Arial" w:hAnsi="Arial"/>
          <w:sz w:val="16"/>
          <w:szCs w:val="16"/>
          <w:color w:val="auto"/>
        </w:rPr>
      </w:pPr>
    </w:p>
    <w:p>
      <w:pPr>
        <w:jc w:val="both"/>
        <w:ind w:left="460" w:right="640" w:hanging="278"/>
        <w:spacing w:after="0" w:line="256"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assisting the Board of Directors in its oversight of the development, implementation and effectiveness of our policies and strategies relating to our human capital management function;</w:t>
      </w:r>
    </w:p>
    <w:p>
      <w:pPr>
        <w:spacing w:after="0" w:line="71" w:lineRule="exact"/>
        <w:rPr>
          <w:rFonts w:ascii="Arial" w:cs="Arial" w:eastAsia="Arial" w:hAnsi="Arial"/>
          <w:sz w:val="16"/>
          <w:szCs w:val="16"/>
          <w:color w:val="auto"/>
        </w:rPr>
      </w:pPr>
    </w:p>
    <w:p>
      <w:pPr>
        <w:jc w:val="both"/>
        <w:ind w:left="460" w:right="640" w:hanging="278"/>
        <w:spacing w:after="0" w:line="259"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of Directors approve, incentive compensation, equity plans and, as applicable, clawback policies; and</w:t>
      </w:r>
    </w:p>
    <w:p>
      <w:pPr>
        <w:spacing w:after="0" w:line="69" w:lineRule="exact"/>
        <w:rPr>
          <w:rFonts w:ascii="Arial" w:cs="Arial" w:eastAsia="Arial" w:hAnsi="Arial"/>
          <w:sz w:val="16"/>
          <w:szCs w:val="16"/>
          <w:color w:val="auto"/>
        </w:rPr>
      </w:pPr>
    </w:p>
    <w:p>
      <w:pPr>
        <w:jc w:val="both"/>
        <w:ind w:left="460" w:right="640" w:hanging="278"/>
        <w:spacing w:after="0" w:line="259"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establishing general policies relating to compensation and benefits of our employees and reviewing our overall compensation philosophy.</w:t>
      </w:r>
    </w:p>
    <w:p>
      <w:pPr>
        <w:spacing w:after="0" w:line="110" w:lineRule="exact"/>
        <w:rPr>
          <w:sz w:val="20"/>
          <w:szCs w:val="20"/>
          <w:color w:val="auto"/>
        </w:rPr>
      </w:pPr>
    </w:p>
    <w:p>
      <w:pPr>
        <w:jc w:val="both"/>
        <w:ind w:right="660"/>
        <w:spacing w:after="0" w:line="259" w:lineRule="auto"/>
        <w:rPr>
          <w:sz w:val="20"/>
          <w:szCs w:val="20"/>
          <w:color w:val="auto"/>
        </w:rPr>
      </w:pPr>
      <w:r>
        <w:rPr>
          <w:rFonts w:ascii="Arial" w:cs="Arial" w:eastAsia="Arial" w:hAnsi="Arial"/>
          <w:sz w:val="16"/>
          <w:szCs w:val="16"/>
          <w:color w:val="auto"/>
        </w:rPr>
        <w:t>Our Compensation Committee operates under a written charter that satisfies the applicable rules of the SEC and the Nasdaq rules. The Compensation Committee met five times in 2025.</w:t>
      </w:r>
    </w:p>
    <w:p>
      <w:pPr>
        <w:spacing w:after="0" w:line="174" w:lineRule="exact"/>
        <w:rPr>
          <w:sz w:val="20"/>
          <w:szCs w:val="20"/>
          <w:color w:val="auto"/>
        </w:rPr>
      </w:pPr>
    </w:p>
    <w:p>
      <w:pPr>
        <w:sectPr>
          <w:pgSz w:w="11900" w:h="16838" w:orient="portrait"/>
          <w:cols w:equalWidth="0" w:num="2">
            <w:col w:w="4660" w:space="400"/>
            <w:col w:w="4660"/>
          </w:cols>
          <w:pgMar w:left="1080" w:top="114" w:right="1099" w:bottom="1440" w:gutter="0" w:footer="0" w:header="0"/>
          <w:type w:val="continuous"/>
        </w:sectPr>
      </w:pPr>
    </w:p>
    <w:p>
      <w:pPr>
        <w:ind w:left="7920"/>
        <w:spacing w:after="0"/>
        <w:rPr>
          <w:sz w:val="20"/>
          <w:szCs w:val="20"/>
          <w:color w:val="auto"/>
        </w:rPr>
      </w:pPr>
      <w:r>
        <w:rPr>
          <w:rFonts w:ascii="Arial" w:cs="Arial" w:eastAsia="Arial" w:hAnsi="Arial"/>
          <w:sz w:val="12"/>
          <w:szCs w:val="12"/>
          <w:color w:val="auto"/>
        </w:rPr>
        <w:t>2026 PROXY STATEMENT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120650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Report of the Compensation Committee of the Board of Directors</w:t>
      </w:r>
    </w:p>
    <w:p>
      <w:pPr>
        <w:spacing w:after="0" w:line="141" w:lineRule="exact"/>
        <w:rPr>
          <w:sz w:val="20"/>
          <w:szCs w:val="20"/>
          <w:color w:val="auto"/>
        </w:rPr>
      </w:pPr>
    </w:p>
    <w:p>
      <w:pPr>
        <w:jc w:val="both"/>
        <w:ind w:left="660" w:right="299"/>
        <w:spacing w:after="0" w:line="270" w:lineRule="auto"/>
        <w:rPr>
          <w:sz w:val="20"/>
          <w:szCs w:val="20"/>
          <w:color w:val="auto"/>
        </w:rPr>
      </w:pPr>
      <w:r>
        <w:rPr>
          <w:rFonts w:ascii="Arial" w:cs="Arial" w:eastAsia="Arial" w:hAnsi="Arial"/>
          <w:sz w:val="16"/>
          <w:szCs w:val="16"/>
          <w:b w:val="1"/>
          <w:bCs w:val="1"/>
          <w:i w:val="1"/>
          <w:iCs w:val="1"/>
          <w:color w:val="auto"/>
        </w:rPr>
        <w:t>The material in this report is not “soliciting material,” is not deemed “filed” with the SEC and is not to be incorporated by reference in any filing of Fastly under the Securities Act or the Exchange Act, whether made before or after the date hereof and irrespective of any general incorporation language in any such filing.</w:t>
      </w:r>
    </w:p>
    <w:p>
      <w:pPr>
        <w:spacing w:after="0" w:line="93" w:lineRule="exact"/>
        <w:rPr>
          <w:sz w:val="20"/>
          <w:szCs w:val="20"/>
          <w:color w:val="auto"/>
        </w:rPr>
      </w:pPr>
    </w:p>
    <w:p>
      <w:pPr>
        <w:jc w:val="both"/>
        <w:ind w:left="660" w:right="299"/>
        <w:spacing w:after="0" w:line="256" w:lineRule="auto"/>
        <w:rPr>
          <w:sz w:val="20"/>
          <w:szCs w:val="20"/>
          <w:color w:val="auto"/>
        </w:rPr>
      </w:pPr>
      <w:r>
        <w:rPr>
          <w:rFonts w:ascii="Arial" w:cs="Arial" w:eastAsia="Arial" w:hAnsi="Arial"/>
          <w:sz w:val="16"/>
          <w:szCs w:val="16"/>
          <w:color w:val="auto"/>
        </w:rPr>
        <w:t>Our Compensation Committee has reviewed and discussed the Compensation Discussion and Analysis required by Item 402(b) of Regulation S-K and contained within this Proxy Statement with management and, based on such review and discussions, our Compensation Committee recommended to our Board of Directors that the Compensation Discussion and Analysis be included in this Proxy Statement and incorporated into our Annual Report on Form 10-K for the year ended December 31, 2025.</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Respectfully submitted by the members of the Compensation Committee of the Board of Directors: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Meyers (Chairperson)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Ms. Álvarez</w:t>
      </w:r>
    </w:p>
    <w:p>
      <w:pPr>
        <w:spacing w:after="0" w:line="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Mr. Hornik</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Compensation Committee Interlocks and Insider Participation</w:t>
      </w:r>
    </w:p>
    <w:p>
      <w:pPr>
        <w:sectPr>
          <w:pgSz w:w="11900" w:h="16838" w:orient="portrait"/>
          <w:cols w:equalWidth="0" w:num="1">
            <w:col w:w="9379"/>
          </w:cols>
          <w:pgMar w:left="1080" w:top="114" w:right="1440" w:bottom="1440" w:gutter="0" w:footer="0" w:header="0"/>
        </w:sectPr>
      </w:pPr>
    </w:p>
    <w:p>
      <w:pPr>
        <w:spacing w:after="0" w:line="112"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color w:val="auto"/>
        </w:rPr>
        <w:t>None of Ms. Álvarez, Mr. Hornik, or Mr. Meyers, the members of our Compensation Committee, is currently, or has been at any time, one of our officers or employees. None of our executive officers currently serves, or in the past year has served, as a member of</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both"/>
        <w:ind w:right="299"/>
        <w:spacing w:after="0" w:line="262" w:lineRule="auto"/>
        <w:rPr>
          <w:sz w:val="20"/>
          <w:szCs w:val="20"/>
          <w:color w:val="auto"/>
        </w:rPr>
      </w:pPr>
      <w:r>
        <w:rPr>
          <w:rFonts w:ascii="Arial" w:cs="Arial" w:eastAsia="Arial" w:hAnsi="Arial"/>
          <w:sz w:val="16"/>
          <w:szCs w:val="16"/>
          <w:color w:val="auto"/>
        </w:rPr>
        <w:t>the board of directors or compensation committee of any entity that has one or more executive officers serving on our Board of Directors or Compensation Committee.</w:t>
      </w:r>
    </w:p>
    <w:p>
      <w:pPr>
        <w:spacing w:after="0" w:line="578" w:lineRule="exact"/>
        <w:rPr>
          <w:sz w:val="20"/>
          <w:szCs w:val="20"/>
          <w:color w:val="auto"/>
        </w:rPr>
      </w:pPr>
    </w:p>
    <w:p>
      <w:pPr>
        <w:sectPr>
          <w:pgSz w:w="11900" w:h="16838" w:orient="portrait"/>
          <w:cols w:equalWidth="0" w:num="2">
            <w:col w:w="4660" w:space="400"/>
            <w:col w:w="4319"/>
          </w:cols>
          <w:pgMar w:left="1080" w:top="114" w:right="1440" w:bottom="1440" w:gutter="0" w:footer="0" w:header="0"/>
          <w:type w:val="continuous"/>
        </w:sectPr>
      </w:pPr>
    </w:p>
    <w:p>
      <w:pPr>
        <w:spacing w:after="0" w:line="114"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EE3434"/>
        </w:rPr>
        <w:t>Nominating and Corporate Governance Committee</w:t>
      </w:r>
    </w:p>
    <w:p>
      <w:pPr>
        <w:sectPr>
          <w:pgSz w:w="11900" w:h="16838" w:orient="portrait"/>
          <w:cols w:equalWidth="0" w:num="1">
            <w:col w:w="9379"/>
          </w:cols>
          <w:pgMar w:left="1080" w:top="114" w:right="1440" w:bottom="1440" w:gutter="0" w:footer="0" w:header="0"/>
          <w:type w:val="continuous"/>
        </w:sectPr>
      </w:pPr>
    </w:p>
    <w:p>
      <w:pPr>
        <w:spacing w:after="0" w:line="124"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Our Nominating and Corporate Governance Committee consists of five directors, Ms. Álvarez, Mr. Hornik, Ms. Loop, Mr. Paisley, and Ms. Smith. Ms. Álvarez is the chairperson of the Nominating and Corporate Governance Committee. The members of our Nominating and Corporate Governance Committee meet the requirements for independence under current Nasdaq rules and current SEC rules and regulations. The Nominating and Corporate Governance Committee’s responsibilities include, among other things:</w:t>
      </w:r>
    </w:p>
    <w:p>
      <w:pPr>
        <w:spacing w:after="0" w:line="79" w:lineRule="exact"/>
        <w:rPr>
          <w:sz w:val="20"/>
          <w:szCs w:val="20"/>
          <w:color w:val="auto"/>
        </w:rPr>
      </w:pPr>
    </w:p>
    <w:p>
      <w:pPr>
        <w:jc w:val="both"/>
        <w:ind w:left="1100" w:hanging="268"/>
        <w:spacing w:after="0" w:line="259" w:lineRule="auto"/>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identifying, evaluating, and selecting, or recommending that our Board of Directors approve, nominees for election to our Board of Directors and its committees;</w:t>
      </w:r>
    </w:p>
    <w:p>
      <w:pPr>
        <w:spacing w:after="0" w:line="69" w:lineRule="exact"/>
        <w:rPr>
          <w:rFonts w:ascii="Arial" w:cs="Arial" w:eastAsia="Arial" w:hAnsi="Arial"/>
          <w:sz w:val="16"/>
          <w:szCs w:val="16"/>
          <w:color w:val="auto"/>
        </w:rPr>
      </w:pPr>
    </w:p>
    <w:p>
      <w:pPr>
        <w:jc w:val="both"/>
        <w:ind w:left="1100" w:hanging="268"/>
        <w:spacing w:after="0" w:line="266" w:lineRule="auto"/>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evaluating the performance of our Board of Directors, its committees, and of individual directors;</w:t>
      </w:r>
    </w:p>
    <w:p>
      <w:pPr>
        <w:spacing w:after="0" w:line="63" w:lineRule="exact"/>
        <w:rPr>
          <w:rFonts w:ascii="Arial" w:cs="Arial" w:eastAsia="Arial" w:hAnsi="Arial"/>
          <w:sz w:val="16"/>
          <w:szCs w:val="16"/>
          <w:color w:val="auto"/>
        </w:rPr>
      </w:pPr>
    </w:p>
    <w:p>
      <w:pPr>
        <w:jc w:val="both"/>
        <w:ind w:left="1100" w:hanging="268"/>
        <w:spacing w:after="0" w:line="266" w:lineRule="auto"/>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considering and making recommendations to our Board of Directors regarding the composition of our Board of Directors and its committees;</w:t>
      </w:r>
    </w:p>
    <w:p>
      <w:pPr>
        <w:spacing w:after="0" w:line="63" w:lineRule="exact"/>
        <w:rPr>
          <w:rFonts w:ascii="Arial" w:cs="Arial" w:eastAsia="Arial" w:hAnsi="Arial"/>
          <w:sz w:val="16"/>
          <w:szCs w:val="16"/>
          <w:color w:val="auto"/>
        </w:rPr>
      </w:pPr>
    </w:p>
    <w:p>
      <w:pPr>
        <w:jc w:val="both"/>
        <w:ind w:left="1100" w:hanging="268"/>
        <w:spacing w:after="0" w:line="266" w:lineRule="auto"/>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and making recommendations regarding indemnification and insurance matters related to our Board of Directors and officers;</w:t>
      </w:r>
    </w:p>
    <w:p>
      <w:pPr>
        <w:spacing w:after="0" w:line="63" w:lineRule="exact"/>
        <w:rPr>
          <w:rFonts w:ascii="Arial" w:cs="Arial" w:eastAsia="Arial" w:hAnsi="Arial"/>
          <w:sz w:val="16"/>
          <w:szCs w:val="16"/>
          <w:color w:val="auto"/>
        </w:rPr>
      </w:pPr>
    </w:p>
    <w:p>
      <w:pPr>
        <w:jc w:val="both"/>
        <w:ind w:left="1100" w:hanging="268"/>
        <w:spacing w:after="0" w:line="259" w:lineRule="auto"/>
        <w:tabs>
          <w:tab w:leader="none" w:pos="11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developments in corporate governance practices and making recommendations to our Board of Directors regarding corporate governance guidelines and matters;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ind w:left="460" w:right="319" w:hanging="278"/>
        <w:spacing w:after="0" w:line="28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evaluating the adequacy of our corporate governance practices and reporting; and</w:t>
      </w:r>
    </w:p>
    <w:p>
      <w:pPr>
        <w:spacing w:after="0" w:line="47" w:lineRule="exact"/>
        <w:rPr>
          <w:rFonts w:ascii="Arial" w:cs="Arial" w:eastAsia="Arial" w:hAnsi="Arial"/>
          <w:sz w:val="16"/>
          <w:szCs w:val="16"/>
          <w:color w:val="auto"/>
        </w:rPr>
      </w:pPr>
    </w:p>
    <w:p>
      <w:pPr>
        <w:jc w:val="both"/>
        <w:ind w:left="460" w:right="299" w:hanging="278"/>
        <w:spacing w:after="0" w:line="25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reviewing and considering social responsibility, environmental and sustainability matters and making recommendations to our Board of Directors, or taking action, with respect to such matters.</w:t>
      </w:r>
    </w:p>
    <w:p>
      <w:pPr>
        <w:spacing w:after="0" w:line="112" w:lineRule="exact"/>
        <w:rPr>
          <w:sz w:val="20"/>
          <w:szCs w:val="20"/>
          <w:color w:val="auto"/>
        </w:rPr>
      </w:pPr>
    </w:p>
    <w:p>
      <w:pPr>
        <w:jc w:val="both"/>
        <w:ind w:right="299"/>
        <w:spacing w:after="0" w:line="256" w:lineRule="auto"/>
        <w:rPr>
          <w:sz w:val="20"/>
          <w:szCs w:val="20"/>
          <w:color w:val="auto"/>
        </w:rPr>
      </w:pPr>
      <w:r>
        <w:rPr>
          <w:rFonts w:ascii="Arial" w:cs="Arial" w:eastAsia="Arial" w:hAnsi="Arial"/>
          <w:sz w:val="16"/>
          <w:szCs w:val="16"/>
          <w:color w:val="auto"/>
        </w:rPr>
        <w:t>Our Nominating and Corporate Governance Committee operates under a written charter that satisfies the applicable rules of the SEC and the Nasdaq rules. The Nominating and Corporate Governance Committee met four times in 2025.</w:t>
      </w:r>
    </w:p>
    <w:p>
      <w:pPr>
        <w:spacing w:after="0" w:line="99" w:lineRule="exact"/>
        <w:rPr>
          <w:sz w:val="20"/>
          <w:szCs w:val="20"/>
          <w:color w:val="auto"/>
        </w:rPr>
      </w:pPr>
    </w:p>
    <w:p>
      <w:pPr>
        <w:jc w:val="both"/>
        <w:ind w:right="299"/>
        <w:spacing w:after="0" w:line="247" w:lineRule="auto"/>
        <w:rPr>
          <w:sz w:val="20"/>
          <w:szCs w:val="20"/>
          <w:color w:val="auto"/>
        </w:rPr>
      </w:pPr>
      <w:r>
        <w:rPr>
          <w:rFonts w:ascii="Arial" w:cs="Arial" w:eastAsia="Arial" w:hAnsi="Arial"/>
          <w:sz w:val="16"/>
          <w:szCs w:val="16"/>
          <w:color w:val="auto"/>
        </w:rPr>
        <w:t>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our affairs, demonstrated excellence in his or her field, having the ability to exercise sound business judgment, and having the commitment to rigorously represent the long-term interests of our stockholders. However, the Nominating and Corporate Governance Committee retains the right to modify these qualifications from time to time. Candidates for director nominees are reviewed in the context of the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current composition of our Board of Directors, our</w:t>
      </w:r>
    </w:p>
    <w:p>
      <w:pPr>
        <w:spacing w:after="0" w:line="200" w:lineRule="exact"/>
        <w:rPr>
          <w:sz w:val="20"/>
          <w:szCs w:val="20"/>
          <w:color w:val="auto"/>
        </w:rPr>
      </w:pPr>
    </w:p>
    <w:p>
      <w:pPr>
        <w:sectPr>
          <w:pgSz w:w="11900" w:h="16838" w:orient="portrait"/>
          <w:cols w:equalWidth="0" w:num="2">
            <w:col w:w="4660" w:space="400"/>
            <w:col w:w="4319"/>
          </w:cols>
          <w:pgMar w:left="1080" w:top="114"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16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129540</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ectPr>
          <w:pgSz w:w="11900" w:h="16838" w:orient="portrait"/>
          <w:cols w:equalWidth="0" w:num="1">
            <w:col w:w="9720"/>
          </w:cols>
          <w:pgMar w:left="1080" w:top="114" w:right="1099" w:bottom="1440" w:gutter="0" w:footer="0" w:header="0"/>
        </w:sectPr>
      </w:pPr>
    </w:p>
    <w:p>
      <w:pPr>
        <w:spacing w:after="0" w:line="256"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color w:val="auto"/>
        </w:rPr>
        <w:t>operating requirements, and the long-term interests of its stockholders. In conducting this assessment, the Nominating and Corporate Governance Committee typically aims to maintain a variety of backgrounds, skills, experiences, and perspectives, and such other</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640"/>
        <w:spacing w:after="0" w:line="262" w:lineRule="auto"/>
        <w:rPr>
          <w:sz w:val="20"/>
          <w:szCs w:val="20"/>
          <w:color w:val="auto"/>
        </w:rPr>
      </w:pPr>
      <w:r>
        <w:rPr>
          <w:rFonts w:ascii="Arial" w:cs="Arial" w:eastAsia="Arial" w:hAnsi="Arial"/>
          <w:sz w:val="16"/>
          <w:szCs w:val="16"/>
          <w:color w:val="auto"/>
        </w:rPr>
        <w:t>factors as it deems appropriate, given our current needs and the needs of the Board of Directors, to maintain a balance of knowledge, experience and capability.</w:t>
      </w:r>
    </w:p>
    <w:p>
      <w:pPr>
        <w:spacing w:after="0" w:line="450" w:lineRule="exact"/>
        <w:rPr>
          <w:sz w:val="20"/>
          <w:szCs w:val="20"/>
          <w:color w:val="auto"/>
        </w:rPr>
      </w:pPr>
    </w:p>
    <w:p>
      <w:pPr>
        <w:sectPr>
          <w:pgSz w:w="11900" w:h="16838" w:orient="portrait"/>
          <w:cols w:equalWidth="0" w:num="2">
            <w:col w:w="4660" w:space="400"/>
            <w:col w:w="4660"/>
          </w:cols>
          <w:pgMar w:left="1080" w:top="114" w:right="1099" w:bottom="1440" w:gutter="0" w:footer="0" w:header="0"/>
          <w:type w:val="continuous"/>
        </w:sectPr>
      </w:pPr>
    </w:p>
    <w:p>
      <w:pPr>
        <w:jc w:val="both"/>
        <w:ind w:left="660" w:right="640"/>
        <w:spacing w:after="0" w:line="259" w:lineRule="auto"/>
        <w:rPr>
          <w:sz w:val="20"/>
          <w:szCs w:val="20"/>
          <w:color w:val="auto"/>
        </w:rPr>
      </w:pPr>
      <w:r>
        <w:rPr>
          <w:rFonts w:ascii="Arial" w:cs="Arial" w:eastAsia="Arial" w:hAnsi="Arial"/>
          <w:sz w:val="16"/>
          <w:szCs w:val="16"/>
          <w:color w:val="auto"/>
        </w:rPr>
        <w:t>The Board of Directors regularly assesses the backgrounds, skills, experiences, and perspectives of its members and nominees as part of its annual evaluation process. Our Board of Directors believes that our directors represent a diverse and broad range of attributes, qualifications, experiences, and skills to provide an effective mix of viewpoints and knowledge. The metrics of our Board of Directors are highlighted in the following graphic.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139065</wp:posOffset>
            </wp:positionV>
            <wp:extent cx="5057775" cy="1525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5777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740"/>
        <w:spacing w:after="0"/>
        <w:tabs>
          <w:tab w:leader="none" w:pos="3520" w:val="left"/>
          <w:tab w:leader="none" w:pos="636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1116965</wp:posOffset>
            </wp:positionH>
            <wp:positionV relativeFrom="paragraph">
              <wp:posOffset>192405</wp:posOffset>
            </wp:positionV>
            <wp:extent cx="1242695" cy="1525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42695" cy="152590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192405</wp:posOffset>
            </wp:positionV>
            <wp:extent cx="1242695" cy="1525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4269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40"/>
        <w:spacing w:after="0"/>
        <w:tabs>
          <w:tab w:leader="none" w:pos="496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w:t>
      </w:r>
    </w:p>
    <w:p>
      <w:pPr>
        <w:spacing w:after="0" w:line="27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Board Skills Matrix</w:t>
      </w:r>
    </w:p>
    <w:p>
      <w:pPr>
        <w:spacing w:after="0" w:line="140" w:lineRule="exact"/>
        <w:rPr>
          <w:sz w:val="20"/>
          <w:szCs w:val="20"/>
          <w:color w:val="auto"/>
        </w:rPr>
      </w:pPr>
    </w:p>
    <w:p>
      <w:pPr>
        <w:jc w:val="both"/>
        <w:ind w:left="820" w:right="800"/>
        <w:spacing w:after="0" w:line="253" w:lineRule="auto"/>
        <w:rPr>
          <w:sz w:val="20"/>
          <w:szCs w:val="20"/>
          <w:color w:val="auto"/>
        </w:rPr>
      </w:pPr>
      <w:r>
        <w:rPr>
          <w:rFonts w:ascii="Arial" w:cs="Arial" w:eastAsia="Arial" w:hAnsi="Arial"/>
          <w:sz w:val="16"/>
          <w:szCs w:val="16"/>
          <w:color w:val="auto"/>
        </w:rPr>
        <w:t>The matrix below provides information regarding our directors’ knowledge, skills, and experiences based on their service as a director or current and past business experience. These skills, among other factors, caused our Board to determine that the person should serve as a member of our Board of Directors. The matrix does not encompass all the knowledge, skills, and experiences of our directors, and the fact that we do not list a particular item does not mean that a director does not possess it. In addition, the absence of a particular knowledge, skill, or experience with respect to a director does not mean the director is unable to contribute to the decision-making process in that area. The type and degree of knowledge, skill, and experience listed below may vary among the directors.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5"/>
              </w:rPr>
              <w:t>Cybersecurity,</w:t>
            </w:r>
          </w:p>
        </w:tc>
        <w:tc>
          <w:tcPr>
            <w:tcW w:w="8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Finance and</w:t>
            </w:r>
          </w:p>
        </w:tc>
        <w:tc>
          <w:tcPr>
            <w:tcW w:w="960" w:type="dxa"/>
            <w:vAlign w:val="bottom"/>
          </w:tcPr>
          <w:p>
            <w:pPr>
              <w:spacing w:after="0"/>
              <w:rPr>
                <w:sz w:val="13"/>
                <w:szCs w:val="13"/>
                <w:color w:val="auto"/>
              </w:rPr>
            </w:pPr>
          </w:p>
        </w:tc>
        <w:tc>
          <w:tcPr>
            <w:tcW w:w="124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97"/>
              </w:rPr>
              <w:t>Environmental</w:t>
            </w: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980" w:type="dxa"/>
            <w:vAlign w:val="bottom"/>
            <w:vMerge w:val="restart"/>
          </w:tcPr>
          <w:p>
            <w:pPr>
              <w:jc w:val="center"/>
              <w:ind w:right="10"/>
              <w:spacing w:after="0"/>
              <w:rPr>
                <w:sz w:val="20"/>
                <w:szCs w:val="20"/>
                <w:color w:val="auto"/>
              </w:rPr>
            </w:pPr>
            <w:r>
              <w:rPr>
                <w:rFonts w:ascii="Arial" w:cs="Arial" w:eastAsia="Arial" w:hAnsi="Arial"/>
                <w:sz w:val="13"/>
                <w:szCs w:val="13"/>
                <w:b w:val="1"/>
                <w:bCs w:val="1"/>
                <w:color w:val="auto"/>
                <w:w w:val="96"/>
              </w:rPr>
              <w:t>Business and</w:t>
            </w:r>
          </w:p>
        </w:tc>
        <w:tc>
          <w:tcPr>
            <w:tcW w:w="8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Customer</w:t>
            </w: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International</w:t>
            </w:r>
          </w:p>
        </w:tc>
        <w:tc>
          <w:tcPr>
            <w:tcW w:w="10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Technology or</w:t>
            </w: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Information</w:t>
            </w:r>
          </w:p>
        </w:tc>
        <w:tc>
          <w:tcPr>
            <w:tcW w:w="82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960" w:type="dxa"/>
            <w:vAlign w:val="bottom"/>
            <w:vMerge w:val="restart"/>
          </w:tcPr>
          <w:p>
            <w:pPr>
              <w:jc w:val="center"/>
              <w:ind w:right="12"/>
              <w:spacing w:after="0"/>
              <w:rPr>
                <w:sz w:val="20"/>
                <w:szCs w:val="20"/>
                <w:color w:val="auto"/>
              </w:rPr>
            </w:pPr>
            <w:r>
              <w:rPr>
                <w:rFonts w:ascii="Arial" w:cs="Arial" w:eastAsia="Arial" w:hAnsi="Arial"/>
                <w:sz w:val="13"/>
                <w:szCs w:val="13"/>
                <w:b w:val="1"/>
                <w:bCs w:val="1"/>
                <w:color w:val="auto"/>
                <w:w w:val="93"/>
              </w:rPr>
              <w:t>Strategic</w:t>
            </w: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4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7"/>
              </w:rPr>
              <w:t>Security or</w:t>
            </w:r>
          </w:p>
        </w:tc>
        <w:tc>
          <w:tcPr>
            <w:tcW w:w="8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Operations</w:t>
            </w: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Capital</w:t>
            </w:r>
          </w:p>
        </w:tc>
        <w:tc>
          <w:tcPr>
            <w:tcW w:w="960" w:type="dxa"/>
            <w:vAlign w:val="bottom"/>
            <w:vMerge w:val="continue"/>
          </w:tcPr>
          <w:p>
            <w:pPr>
              <w:spacing w:after="0"/>
              <w:rPr>
                <w:sz w:val="11"/>
                <w:szCs w:val="11"/>
                <w:color w:val="auto"/>
              </w:rPr>
            </w:pPr>
          </w:p>
        </w:tc>
        <w:tc>
          <w:tcPr>
            <w:tcW w:w="1240" w:type="dxa"/>
            <w:vAlign w:val="bottom"/>
          </w:tcPr>
          <w:p>
            <w:pPr>
              <w:jc w:val="center"/>
              <w:ind w:right="73"/>
              <w:spacing w:after="0" w:line="135" w:lineRule="exact"/>
              <w:rPr>
                <w:sz w:val="20"/>
                <w:szCs w:val="20"/>
                <w:color w:val="auto"/>
              </w:rPr>
            </w:pPr>
            <w:r>
              <w:rPr>
                <w:rFonts w:ascii="Arial" w:cs="Arial" w:eastAsia="Arial" w:hAnsi="Arial"/>
                <w:sz w:val="13"/>
                <w:szCs w:val="13"/>
                <w:b w:val="1"/>
                <w:bCs w:val="1"/>
                <w:color w:val="auto"/>
                <w:w w:val="95"/>
              </w:rPr>
              <w:t>and Social</w:t>
            </w:r>
          </w:p>
        </w:tc>
        <w:tc>
          <w:tcPr>
            <w:tcW w:w="0" w:type="dxa"/>
            <w:vAlign w:val="bottom"/>
          </w:tcPr>
          <w:p>
            <w:pPr>
              <w:spacing w:after="0"/>
              <w:rPr>
                <w:sz w:val="1"/>
                <w:szCs w:val="1"/>
                <w:color w:val="auto"/>
              </w:rPr>
            </w:pPr>
          </w:p>
        </w:tc>
      </w:tr>
      <w:tr>
        <w:trPr>
          <w:trHeight w:val="172"/>
        </w:trPr>
        <w:tc>
          <w:tcPr>
            <w:tcW w:w="1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3"/>
                <w:szCs w:val="13"/>
                <w:b w:val="1"/>
                <w:bCs w:val="1"/>
                <w:color w:val="auto"/>
                <w:w w:val="95"/>
              </w:rPr>
              <w:t>Management</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7"/>
              </w:rPr>
              <w:t>Experience</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Business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7"/>
              </w:rPr>
              <w:t>Innovation</w:t>
            </w:r>
          </w:p>
        </w:tc>
        <w:tc>
          <w:tcPr>
            <w:tcW w:w="1080" w:type="dxa"/>
            <w:vAlign w:val="bottom"/>
          </w:tcPr>
          <w:p>
            <w:pPr>
              <w:jc w:val="center"/>
              <w:spacing w:after="0"/>
              <w:rPr>
                <w:sz w:val="20"/>
                <w:szCs w:val="20"/>
                <w:color w:val="auto"/>
              </w:rPr>
            </w:pPr>
            <w:r>
              <w:rPr>
                <w:rFonts w:ascii="Arial" w:cs="Arial" w:eastAsia="Arial" w:hAnsi="Arial"/>
                <w:sz w:val="13"/>
                <w:szCs w:val="13"/>
                <w:b w:val="1"/>
                <w:bCs w:val="1"/>
                <w:color w:val="auto"/>
                <w:w w:val="95"/>
              </w:rPr>
              <w:t>Privacy</w:t>
            </w:r>
          </w:p>
        </w:tc>
        <w:tc>
          <w:tcPr>
            <w:tcW w:w="820" w:type="dxa"/>
            <w:vAlign w:val="bottom"/>
            <w:vMerge w:val="continue"/>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5"/>
              </w:rPr>
              <w:t>Allocation</w:t>
            </w: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6"/>
              </w:rPr>
              <w:t>Transactions</w:t>
            </w:r>
          </w:p>
        </w:tc>
        <w:tc>
          <w:tcPr>
            <w:tcW w:w="124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Responsibility</w:t>
            </w:r>
          </w:p>
        </w:tc>
        <w:tc>
          <w:tcPr>
            <w:tcW w:w="0" w:type="dxa"/>
            <w:vAlign w:val="bottom"/>
          </w:tcPr>
          <w:p>
            <w:pPr>
              <w:spacing w:after="0"/>
              <w:rPr>
                <w:sz w:val="1"/>
                <w:szCs w:val="1"/>
                <w:color w:val="auto"/>
              </w:rPr>
            </w:pPr>
          </w:p>
        </w:tc>
      </w:tr>
      <w:tr>
        <w:trPr>
          <w:trHeight w:val="22"/>
        </w:trPr>
        <w:tc>
          <w:tcPr>
            <w:tcW w:w="1240" w:type="dxa"/>
            <w:vAlign w:val="bottom"/>
            <w:tcBorders>
              <w:bottom w:val="single" w:sz="8" w:color="404040"/>
            </w:tcBorders>
          </w:tcPr>
          <w:p>
            <w:pPr>
              <w:spacing w:after="0" w:line="20" w:lineRule="exact"/>
              <w:rPr>
                <w:sz w:val="1"/>
                <w:szCs w:val="1"/>
                <w:color w:val="auto"/>
              </w:rPr>
            </w:pPr>
          </w:p>
        </w:tc>
        <w:tc>
          <w:tcPr>
            <w:tcW w:w="980" w:type="dxa"/>
            <w:vAlign w:val="bottom"/>
            <w:tcBorders>
              <w:bottom w:val="single" w:sz="8" w:color="404040"/>
            </w:tcBorders>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40" w:type="dxa"/>
            <w:vAlign w:val="bottom"/>
            <w:tcBorders>
              <w:bottom w:val="single" w:sz="8" w:color="404040"/>
            </w:tcBorders>
          </w:tcPr>
          <w:p>
            <w:pPr>
              <w:spacing w:after="0" w:line="20" w:lineRule="exact"/>
              <w:rPr>
                <w:sz w:val="1"/>
                <w:szCs w:val="1"/>
                <w:color w:val="auto"/>
              </w:rPr>
            </w:pPr>
          </w:p>
        </w:tc>
        <w:tc>
          <w:tcPr>
            <w:tcW w:w="1080" w:type="dxa"/>
            <w:vAlign w:val="bottom"/>
            <w:tcBorders>
              <w:bottom w:val="single" w:sz="8" w:color="404040"/>
            </w:tcBorders>
          </w:tcPr>
          <w:p>
            <w:pPr>
              <w:spacing w:after="0" w:line="20" w:lineRule="exact"/>
              <w:rPr>
                <w:sz w:val="1"/>
                <w:szCs w:val="1"/>
                <w:color w:val="auto"/>
              </w:rPr>
            </w:pPr>
          </w:p>
        </w:tc>
        <w:tc>
          <w:tcPr>
            <w:tcW w:w="820" w:type="dxa"/>
            <w:vAlign w:val="bottom"/>
            <w:tcBorders>
              <w:bottom w:val="single" w:sz="8" w:color="404040"/>
            </w:tcBorders>
          </w:tcPr>
          <w:p>
            <w:pPr>
              <w:spacing w:after="0" w:line="20" w:lineRule="exact"/>
              <w:rPr>
                <w:sz w:val="1"/>
                <w:szCs w:val="1"/>
                <w:color w:val="auto"/>
              </w:rPr>
            </w:pPr>
          </w:p>
        </w:tc>
        <w:tc>
          <w:tcPr>
            <w:tcW w:w="860" w:type="dxa"/>
            <w:vAlign w:val="bottom"/>
            <w:tcBorders>
              <w:bottom w:val="single" w:sz="8" w:color="404040"/>
            </w:tcBorders>
          </w:tcPr>
          <w:p>
            <w:pPr>
              <w:spacing w:after="0" w:line="20" w:lineRule="exact"/>
              <w:rPr>
                <w:sz w:val="1"/>
                <w:szCs w:val="1"/>
                <w:color w:val="auto"/>
              </w:rPr>
            </w:pPr>
          </w:p>
        </w:tc>
        <w:tc>
          <w:tcPr>
            <w:tcW w:w="960" w:type="dxa"/>
            <w:vAlign w:val="bottom"/>
            <w:tcBorders>
              <w:bottom w:val="single" w:sz="8" w:color="404040"/>
            </w:tcBorders>
          </w:tcPr>
          <w:p>
            <w:pPr>
              <w:spacing w:after="0" w:line="20" w:lineRule="exact"/>
              <w:rPr>
                <w:sz w:val="1"/>
                <w:szCs w:val="1"/>
                <w:color w:val="auto"/>
              </w:rPr>
            </w:pPr>
          </w:p>
        </w:tc>
        <w:tc>
          <w:tcPr>
            <w:tcW w:w="1240" w:type="dxa"/>
            <w:vAlign w:val="bottom"/>
            <w:tcBorders>
              <w:bottom w:val="single" w:sz="8" w:color="40404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404040"/>
            </w:tcBorders>
          </w:tcPr>
          <w:p>
            <w:pPr>
              <w:ind w:left="80"/>
              <w:spacing w:after="0"/>
              <w:rPr>
                <w:sz w:val="20"/>
                <w:szCs w:val="20"/>
                <w:color w:val="auto"/>
              </w:rPr>
            </w:pPr>
            <w:r>
              <w:rPr>
                <w:rFonts w:ascii="Arial" w:cs="Arial" w:eastAsia="Arial" w:hAnsi="Arial"/>
                <w:sz w:val="14"/>
                <w:szCs w:val="14"/>
                <w:color w:val="auto"/>
              </w:rPr>
              <w:t>Aida Álvarez</w:t>
            </w:r>
          </w:p>
        </w:tc>
        <w:tc>
          <w:tcPr>
            <w:tcW w:w="9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Borders>
              <w:bottom w:val="single" w:sz="8" w:color="404040"/>
            </w:tcBorders>
          </w:tcPr>
          <w:p>
            <w:pPr>
              <w:spacing w:after="0"/>
              <w:rPr>
                <w:sz w:val="19"/>
                <w:szCs w:val="19"/>
                <w:color w:val="auto"/>
              </w:rPr>
            </w:pPr>
          </w:p>
        </w:tc>
        <w:tc>
          <w:tcPr>
            <w:tcW w:w="94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Borders>
              <w:bottom w:val="single" w:sz="8" w:color="404040"/>
            </w:tcBorders>
          </w:tcPr>
          <w:p>
            <w:pPr>
              <w:spacing w:after="0"/>
              <w:rPr>
                <w:sz w:val="19"/>
                <w:szCs w:val="19"/>
                <w:color w:val="auto"/>
              </w:rPr>
            </w:pPr>
          </w:p>
        </w:tc>
        <w:tc>
          <w:tcPr>
            <w:tcW w:w="1080" w:type="dxa"/>
            <w:vAlign w:val="bottom"/>
            <w:tcBorders>
              <w:bottom w:val="single" w:sz="8" w:color="404040"/>
            </w:tcBorders>
          </w:tcPr>
          <w:p>
            <w:pPr>
              <w:spacing w:after="0"/>
              <w:rPr>
                <w:sz w:val="19"/>
                <w:szCs w:val="19"/>
                <w:color w:val="auto"/>
              </w:rPr>
            </w:pPr>
          </w:p>
        </w:tc>
        <w:tc>
          <w:tcPr>
            <w:tcW w:w="820" w:type="dxa"/>
            <w:vAlign w:val="bottom"/>
            <w:tcBorders>
              <w:bottom w:val="single" w:sz="8" w:color="404040"/>
            </w:tcBorders>
          </w:tcPr>
          <w:p>
            <w:pPr>
              <w:spacing w:after="0"/>
              <w:rPr>
                <w:sz w:val="19"/>
                <w:szCs w:val="19"/>
                <w:color w:val="auto"/>
              </w:rPr>
            </w:pPr>
          </w:p>
        </w:tc>
        <w:tc>
          <w:tcPr>
            <w:tcW w:w="86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Borders>
              <w:bottom w:val="single" w:sz="8" w:color="404040"/>
            </w:tcBorders>
          </w:tcPr>
          <w:p>
            <w:pPr>
              <w:spacing w:after="0"/>
              <w:rPr>
                <w:sz w:val="19"/>
                <w:szCs w:val="19"/>
                <w:color w:val="auto"/>
              </w:rPr>
            </w:pPr>
          </w:p>
        </w:tc>
        <w:tc>
          <w:tcPr>
            <w:tcW w:w="1240" w:type="dxa"/>
            <w:vAlign w:val="bottom"/>
            <w:tcBorders>
              <w:bottom w:val="single" w:sz="8" w:color="404040"/>
            </w:tcBorders>
          </w:tcPr>
          <w:p>
            <w:pPr>
              <w:jc w:val="center"/>
              <w:ind w:right="13"/>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404040"/>
            </w:tcBorders>
          </w:tcPr>
          <w:p>
            <w:pPr>
              <w:ind w:left="80"/>
              <w:spacing w:after="0"/>
              <w:rPr>
                <w:sz w:val="20"/>
                <w:szCs w:val="20"/>
                <w:color w:val="auto"/>
              </w:rPr>
            </w:pPr>
            <w:r>
              <w:rPr>
                <w:rFonts w:ascii="Arial" w:cs="Arial" w:eastAsia="Arial" w:hAnsi="Arial"/>
                <w:sz w:val="14"/>
                <w:szCs w:val="14"/>
                <w:color w:val="auto"/>
              </w:rPr>
              <w:t>Artur Bergman</w:t>
            </w:r>
          </w:p>
        </w:tc>
        <w:tc>
          <w:tcPr>
            <w:tcW w:w="980" w:type="dxa"/>
            <w:vAlign w:val="bottom"/>
            <w:tcBorders>
              <w:bottom w:val="single" w:sz="8" w:color="404040"/>
            </w:tcBorders>
          </w:tcPr>
          <w:p>
            <w:pPr>
              <w:spacing w:after="0"/>
              <w:rPr>
                <w:sz w:val="19"/>
                <w:szCs w:val="19"/>
                <w:color w:val="auto"/>
              </w:rPr>
            </w:pPr>
          </w:p>
        </w:tc>
        <w:tc>
          <w:tcPr>
            <w:tcW w:w="8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Borders>
              <w:bottom w:val="single" w:sz="8" w:color="404040"/>
            </w:tcBorders>
          </w:tcPr>
          <w:p>
            <w:pPr>
              <w:spacing w:after="0"/>
              <w:rPr>
                <w:sz w:val="19"/>
                <w:szCs w:val="19"/>
                <w:color w:val="auto"/>
              </w:rPr>
            </w:pPr>
          </w:p>
        </w:tc>
        <w:tc>
          <w:tcPr>
            <w:tcW w:w="104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Borders>
              <w:bottom w:val="single" w:sz="8" w:color="404040"/>
            </w:tcBorders>
          </w:tcPr>
          <w:p>
            <w:pPr>
              <w:spacing w:after="0"/>
              <w:rPr>
                <w:sz w:val="19"/>
                <w:szCs w:val="19"/>
                <w:color w:val="auto"/>
              </w:rPr>
            </w:pPr>
          </w:p>
        </w:tc>
        <w:tc>
          <w:tcPr>
            <w:tcW w:w="960" w:type="dxa"/>
            <w:vAlign w:val="bottom"/>
            <w:tcBorders>
              <w:bottom w:val="single" w:sz="8" w:color="404040"/>
            </w:tcBorders>
          </w:tcPr>
          <w:p>
            <w:pPr>
              <w:spacing w:after="0"/>
              <w:rPr>
                <w:sz w:val="19"/>
                <w:szCs w:val="19"/>
                <w:color w:val="auto"/>
              </w:rPr>
            </w:pPr>
          </w:p>
        </w:tc>
        <w:tc>
          <w:tcPr>
            <w:tcW w:w="1240" w:type="dxa"/>
            <w:vAlign w:val="bottom"/>
            <w:tcBorders>
              <w:bottom w:val="single" w:sz="8" w:color="40404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404040"/>
            </w:tcBorders>
          </w:tcPr>
          <w:p>
            <w:pPr>
              <w:ind w:left="80"/>
              <w:spacing w:after="0"/>
              <w:rPr>
                <w:sz w:val="20"/>
                <w:szCs w:val="20"/>
                <w:color w:val="auto"/>
              </w:rPr>
            </w:pPr>
            <w:r>
              <w:rPr>
                <w:rFonts w:ascii="Arial" w:cs="Arial" w:eastAsia="Arial" w:hAnsi="Arial"/>
                <w:sz w:val="14"/>
                <w:szCs w:val="14"/>
                <w:color w:val="auto"/>
              </w:rPr>
              <w:t>Charles Compton</w:t>
            </w:r>
          </w:p>
        </w:tc>
        <w:tc>
          <w:tcPr>
            <w:tcW w:w="9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Borders>
              <w:bottom w:val="single" w:sz="8" w:color="404040"/>
            </w:tcBorders>
          </w:tcPr>
          <w:p>
            <w:pPr>
              <w:spacing w:after="0"/>
              <w:rPr>
                <w:sz w:val="19"/>
                <w:szCs w:val="19"/>
                <w:color w:val="auto"/>
              </w:rPr>
            </w:pPr>
          </w:p>
        </w:tc>
        <w:tc>
          <w:tcPr>
            <w:tcW w:w="96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Borders>
              <w:bottom w:val="single" w:sz="8" w:color="40404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404040"/>
            </w:tcBorders>
          </w:tcPr>
          <w:p>
            <w:pPr>
              <w:ind w:left="80"/>
              <w:spacing w:after="0"/>
              <w:rPr>
                <w:sz w:val="20"/>
                <w:szCs w:val="20"/>
                <w:color w:val="auto"/>
              </w:rPr>
            </w:pPr>
            <w:r>
              <w:rPr>
                <w:rFonts w:ascii="Arial" w:cs="Arial" w:eastAsia="Arial" w:hAnsi="Arial"/>
                <w:sz w:val="14"/>
                <w:szCs w:val="14"/>
                <w:color w:val="auto"/>
              </w:rPr>
              <w:t>Richard Daniels</w:t>
            </w:r>
          </w:p>
        </w:tc>
        <w:tc>
          <w:tcPr>
            <w:tcW w:w="9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Borders>
              <w:bottom w:val="single" w:sz="8" w:color="404040"/>
            </w:tcBorders>
          </w:tcPr>
          <w:p>
            <w:pPr>
              <w:spacing w:after="0"/>
              <w:rPr>
                <w:sz w:val="19"/>
                <w:szCs w:val="19"/>
                <w:color w:val="auto"/>
              </w:rPr>
            </w:pPr>
          </w:p>
        </w:tc>
        <w:tc>
          <w:tcPr>
            <w:tcW w:w="940" w:type="dxa"/>
            <w:vAlign w:val="bottom"/>
            <w:tcBorders>
              <w:bottom w:val="single" w:sz="8" w:color="404040"/>
            </w:tcBorders>
          </w:tcPr>
          <w:p>
            <w:pPr>
              <w:spacing w:after="0"/>
              <w:rPr>
                <w:sz w:val="19"/>
                <w:szCs w:val="19"/>
                <w:color w:val="auto"/>
              </w:rPr>
            </w:pPr>
          </w:p>
        </w:tc>
        <w:tc>
          <w:tcPr>
            <w:tcW w:w="104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Borders>
              <w:bottom w:val="single" w:sz="8" w:color="404040"/>
            </w:tcBorders>
          </w:tcPr>
          <w:p>
            <w:pPr>
              <w:spacing w:after="0"/>
              <w:rPr>
                <w:sz w:val="19"/>
                <w:szCs w:val="19"/>
                <w:color w:val="auto"/>
              </w:rPr>
            </w:pPr>
          </w:p>
        </w:tc>
        <w:tc>
          <w:tcPr>
            <w:tcW w:w="86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Borders>
              <w:bottom w:val="single" w:sz="8" w:color="404040"/>
            </w:tcBorders>
          </w:tcPr>
          <w:p>
            <w:pPr>
              <w:spacing w:after="0"/>
              <w:rPr>
                <w:sz w:val="19"/>
                <w:szCs w:val="19"/>
                <w:color w:val="auto"/>
              </w:rPr>
            </w:pPr>
          </w:p>
        </w:tc>
        <w:tc>
          <w:tcPr>
            <w:tcW w:w="1240" w:type="dxa"/>
            <w:vAlign w:val="bottom"/>
            <w:tcBorders>
              <w:bottom w:val="single" w:sz="8" w:color="40404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404040"/>
            </w:tcBorders>
          </w:tcPr>
          <w:p>
            <w:pPr>
              <w:ind w:left="80"/>
              <w:spacing w:after="0"/>
              <w:rPr>
                <w:sz w:val="20"/>
                <w:szCs w:val="20"/>
                <w:color w:val="auto"/>
              </w:rPr>
            </w:pPr>
            <w:r>
              <w:rPr>
                <w:rFonts w:ascii="Arial" w:cs="Arial" w:eastAsia="Arial" w:hAnsi="Arial"/>
                <w:sz w:val="14"/>
                <w:szCs w:val="14"/>
                <w:color w:val="auto"/>
              </w:rPr>
              <w:t>David Hornik</w:t>
            </w:r>
          </w:p>
        </w:tc>
        <w:tc>
          <w:tcPr>
            <w:tcW w:w="9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Borders>
              <w:bottom w:val="single" w:sz="8" w:color="404040"/>
            </w:tcBorders>
          </w:tcPr>
          <w:p>
            <w:pPr>
              <w:spacing w:after="0"/>
              <w:rPr>
                <w:sz w:val="19"/>
                <w:szCs w:val="19"/>
                <w:color w:val="auto"/>
              </w:rPr>
            </w:pPr>
          </w:p>
        </w:tc>
        <w:tc>
          <w:tcPr>
            <w:tcW w:w="940" w:type="dxa"/>
            <w:vAlign w:val="bottom"/>
            <w:tcBorders>
              <w:bottom w:val="single" w:sz="8" w:color="404040"/>
            </w:tcBorders>
          </w:tcPr>
          <w:p>
            <w:pPr>
              <w:spacing w:after="0"/>
              <w:rPr>
                <w:sz w:val="19"/>
                <w:szCs w:val="19"/>
                <w:color w:val="auto"/>
              </w:rPr>
            </w:pPr>
          </w:p>
        </w:tc>
        <w:tc>
          <w:tcPr>
            <w:tcW w:w="104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80" w:type="dxa"/>
            <w:vAlign w:val="bottom"/>
            <w:tcBorders>
              <w:bottom w:val="single" w:sz="8" w:color="404040"/>
            </w:tcBorders>
          </w:tcPr>
          <w:p>
            <w:pPr>
              <w:spacing w:after="0"/>
              <w:rPr>
                <w:sz w:val="19"/>
                <w:szCs w:val="19"/>
                <w:color w:val="auto"/>
              </w:rPr>
            </w:pPr>
          </w:p>
        </w:tc>
        <w:tc>
          <w:tcPr>
            <w:tcW w:w="820" w:type="dxa"/>
            <w:vAlign w:val="bottom"/>
            <w:tcBorders>
              <w:bottom w:val="single" w:sz="8" w:color="404040"/>
            </w:tcBorders>
          </w:tcPr>
          <w:p>
            <w:pPr>
              <w:spacing w:after="0"/>
              <w:rPr>
                <w:sz w:val="19"/>
                <w:szCs w:val="19"/>
                <w:color w:val="auto"/>
              </w:rPr>
            </w:pPr>
          </w:p>
        </w:tc>
        <w:tc>
          <w:tcPr>
            <w:tcW w:w="86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Borders>
              <w:bottom w:val="single" w:sz="8" w:color="404040"/>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40" w:type="dxa"/>
            <w:vAlign w:val="bottom"/>
            <w:tcBorders>
              <w:bottom w:val="single" w:sz="8" w:color="404040"/>
            </w:tcBorders>
          </w:tcPr>
          <w:p>
            <w:pPr>
              <w:ind w:left="80"/>
              <w:spacing w:after="0"/>
              <w:rPr>
                <w:sz w:val="20"/>
                <w:szCs w:val="20"/>
                <w:color w:val="auto"/>
              </w:rPr>
            </w:pPr>
            <w:r>
              <w:rPr>
                <w:rFonts w:ascii="Arial" w:cs="Arial" w:eastAsia="Arial" w:hAnsi="Arial"/>
                <w:sz w:val="14"/>
                <w:szCs w:val="14"/>
                <w:color w:val="auto"/>
              </w:rPr>
              <w:t>Paula Loop</w:t>
            </w:r>
          </w:p>
        </w:tc>
        <w:tc>
          <w:tcPr>
            <w:tcW w:w="9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Borders>
              <w:bottom w:val="single" w:sz="8" w:color="404040"/>
            </w:tcBorders>
          </w:tcPr>
          <w:p>
            <w:pPr>
              <w:spacing w:after="0"/>
              <w:rPr>
                <w:sz w:val="19"/>
                <w:szCs w:val="19"/>
                <w:color w:val="auto"/>
              </w:rPr>
            </w:pPr>
          </w:p>
        </w:tc>
        <w:tc>
          <w:tcPr>
            <w:tcW w:w="94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Borders>
              <w:bottom w:val="single" w:sz="8" w:color="404040"/>
            </w:tcBorders>
          </w:tcPr>
          <w:p>
            <w:pPr>
              <w:spacing w:after="0"/>
              <w:rPr>
                <w:sz w:val="19"/>
                <w:szCs w:val="19"/>
                <w:color w:val="auto"/>
              </w:rPr>
            </w:pPr>
          </w:p>
        </w:tc>
        <w:tc>
          <w:tcPr>
            <w:tcW w:w="1080" w:type="dxa"/>
            <w:vAlign w:val="bottom"/>
            <w:tcBorders>
              <w:bottom w:val="single" w:sz="8" w:color="404040"/>
            </w:tcBorders>
          </w:tcPr>
          <w:p>
            <w:pPr>
              <w:spacing w:after="0"/>
              <w:rPr>
                <w:sz w:val="19"/>
                <w:szCs w:val="19"/>
                <w:color w:val="auto"/>
              </w:rPr>
            </w:pPr>
          </w:p>
        </w:tc>
        <w:tc>
          <w:tcPr>
            <w:tcW w:w="82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Borders>
              <w:bottom w:val="single" w:sz="8" w:color="404040"/>
            </w:tcBorders>
          </w:tcPr>
          <w:p>
            <w:pPr>
              <w:spacing w:after="0"/>
              <w:rPr>
                <w:sz w:val="19"/>
                <w:szCs w:val="19"/>
                <w:color w:val="auto"/>
              </w:rPr>
            </w:pPr>
          </w:p>
        </w:tc>
        <w:tc>
          <w:tcPr>
            <w:tcW w:w="1240" w:type="dxa"/>
            <w:vAlign w:val="bottom"/>
            <w:tcBorders>
              <w:bottom w:val="single" w:sz="8" w:color="404040"/>
            </w:tcBorders>
          </w:tcPr>
          <w:p>
            <w:pPr>
              <w:jc w:val="center"/>
              <w:ind w:right="13"/>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r>
        <w:trPr>
          <w:trHeight w:val="223"/>
        </w:trPr>
        <w:tc>
          <w:tcPr>
            <w:tcW w:w="1240" w:type="dxa"/>
            <w:vAlign w:val="bottom"/>
            <w:tcBorders>
              <w:bottom w:val="single" w:sz="8" w:color="404040"/>
            </w:tcBorders>
          </w:tcPr>
          <w:p>
            <w:pPr>
              <w:ind w:left="80"/>
              <w:spacing w:after="0"/>
              <w:rPr>
                <w:sz w:val="20"/>
                <w:szCs w:val="20"/>
                <w:color w:val="auto"/>
              </w:rPr>
            </w:pPr>
            <w:r>
              <w:rPr>
                <w:rFonts w:ascii="Arial" w:cs="Arial" w:eastAsia="Arial" w:hAnsi="Arial"/>
                <w:sz w:val="14"/>
                <w:szCs w:val="14"/>
                <w:color w:val="auto"/>
              </w:rPr>
              <w:t>Charles Meyers</w:t>
            </w:r>
          </w:p>
        </w:tc>
        <w:tc>
          <w:tcPr>
            <w:tcW w:w="9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2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Borders>
              <w:bottom w:val="single" w:sz="8" w:color="404040"/>
            </w:tcBorders>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240" w:type="dxa"/>
            <w:vAlign w:val="bottom"/>
          </w:tcPr>
          <w:p>
            <w:pPr>
              <w:ind w:left="80"/>
              <w:spacing w:after="0"/>
              <w:rPr>
                <w:sz w:val="20"/>
                <w:szCs w:val="20"/>
                <w:color w:val="auto"/>
              </w:rPr>
            </w:pPr>
            <w:r>
              <w:rPr>
                <w:rFonts w:ascii="Arial" w:cs="Arial" w:eastAsia="Arial" w:hAnsi="Arial"/>
                <w:sz w:val="14"/>
                <w:szCs w:val="14"/>
                <w:color w:val="auto"/>
              </w:rPr>
              <w:t>Christopher B.</w:t>
            </w:r>
          </w:p>
        </w:tc>
        <w:tc>
          <w:tcPr>
            <w:tcW w:w="9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Pr>
          <w:p>
            <w:pPr>
              <w:spacing w:after="0"/>
              <w:rPr>
                <w:sz w:val="15"/>
                <w:szCs w:val="15"/>
                <w:color w:val="auto"/>
              </w:rPr>
            </w:pPr>
          </w:p>
        </w:tc>
        <w:tc>
          <w:tcPr>
            <w:tcW w:w="9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240" w:type="dxa"/>
            <w:vAlign w:val="bottom"/>
            <w:tcBorders>
              <w:bottom w:val="single" w:sz="8" w:color="404040"/>
            </w:tcBorders>
          </w:tcPr>
          <w:p>
            <w:pPr>
              <w:ind w:left="80"/>
              <w:spacing w:after="0"/>
              <w:rPr>
                <w:sz w:val="20"/>
                <w:szCs w:val="20"/>
                <w:color w:val="auto"/>
              </w:rPr>
            </w:pPr>
            <w:r>
              <w:rPr>
                <w:rFonts w:ascii="Arial" w:cs="Arial" w:eastAsia="Arial" w:hAnsi="Arial"/>
                <w:sz w:val="14"/>
                <w:szCs w:val="14"/>
                <w:color w:val="auto"/>
              </w:rPr>
              <w:t>Paisley</w:t>
            </w:r>
          </w:p>
        </w:tc>
        <w:tc>
          <w:tcPr>
            <w:tcW w:w="980" w:type="dxa"/>
            <w:vAlign w:val="bottom"/>
            <w:tcBorders>
              <w:bottom w:val="single" w:sz="8" w:color="404040"/>
            </w:tcBorders>
          </w:tcPr>
          <w:p>
            <w:pPr>
              <w:spacing w:after="0"/>
              <w:rPr>
                <w:sz w:val="16"/>
                <w:szCs w:val="16"/>
                <w:color w:val="auto"/>
              </w:rPr>
            </w:pPr>
          </w:p>
        </w:tc>
        <w:tc>
          <w:tcPr>
            <w:tcW w:w="880" w:type="dxa"/>
            <w:vAlign w:val="bottom"/>
            <w:tcBorders>
              <w:bottom w:val="single" w:sz="8" w:color="404040"/>
            </w:tcBorders>
          </w:tcPr>
          <w:p>
            <w:pPr>
              <w:spacing w:after="0"/>
              <w:rPr>
                <w:sz w:val="16"/>
                <w:szCs w:val="16"/>
                <w:color w:val="auto"/>
              </w:rPr>
            </w:pPr>
          </w:p>
        </w:tc>
        <w:tc>
          <w:tcPr>
            <w:tcW w:w="940" w:type="dxa"/>
            <w:vAlign w:val="bottom"/>
            <w:tcBorders>
              <w:bottom w:val="single" w:sz="8" w:color="404040"/>
            </w:tcBorders>
          </w:tcPr>
          <w:p>
            <w:pPr>
              <w:spacing w:after="0"/>
              <w:rPr>
                <w:sz w:val="16"/>
                <w:szCs w:val="16"/>
                <w:color w:val="auto"/>
              </w:rPr>
            </w:pPr>
          </w:p>
        </w:tc>
        <w:tc>
          <w:tcPr>
            <w:tcW w:w="1040" w:type="dxa"/>
            <w:vAlign w:val="bottom"/>
            <w:tcBorders>
              <w:bottom w:val="single" w:sz="8" w:color="404040"/>
            </w:tcBorders>
          </w:tcPr>
          <w:p>
            <w:pPr>
              <w:spacing w:after="0"/>
              <w:rPr>
                <w:sz w:val="16"/>
                <w:szCs w:val="16"/>
                <w:color w:val="auto"/>
              </w:rPr>
            </w:pPr>
          </w:p>
        </w:tc>
        <w:tc>
          <w:tcPr>
            <w:tcW w:w="1080" w:type="dxa"/>
            <w:vAlign w:val="bottom"/>
            <w:tcBorders>
              <w:bottom w:val="single" w:sz="8" w:color="404040"/>
            </w:tcBorders>
          </w:tcPr>
          <w:p>
            <w:pPr>
              <w:spacing w:after="0"/>
              <w:rPr>
                <w:sz w:val="16"/>
                <w:szCs w:val="16"/>
                <w:color w:val="auto"/>
              </w:rPr>
            </w:pPr>
          </w:p>
        </w:tc>
        <w:tc>
          <w:tcPr>
            <w:tcW w:w="820" w:type="dxa"/>
            <w:vAlign w:val="bottom"/>
            <w:tcBorders>
              <w:bottom w:val="single" w:sz="8" w:color="404040"/>
            </w:tcBorders>
          </w:tcPr>
          <w:p>
            <w:pPr>
              <w:spacing w:after="0"/>
              <w:rPr>
                <w:sz w:val="16"/>
                <w:szCs w:val="16"/>
                <w:color w:val="auto"/>
              </w:rPr>
            </w:pPr>
          </w:p>
        </w:tc>
        <w:tc>
          <w:tcPr>
            <w:tcW w:w="860" w:type="dxa"/>
            <w:vAlign w:val="bottom"/>
            <w:tcBorders>
              <w:bottom w:val="single" w:sz="8" w:color="404040"/>
            </w:tcBorders>
          </w:tcPr>
          <w:p>
            <w:pPr>
              <w:spacing w:after="0"/>
              <w:rPr>
                <w:sz w:val="16"/>
                <w:szCs w:val="16"/>
                <w:color w:val="auto"/>
              </w:rPr>
            </w:pPr>
          </w:p>
        </w:tc>
        <w:tc>
          <w:tcPr>
            <w:tcW w:w="960" w:type="dxa"/>
            <w:vAlign w:val="bottom"/>
            <w:tcBorders>
              <w:bottom w:val="single" w:sz="8" w:color="404040"/>
            </w:tcBorders>
          </w:tcPr>
          <w:p>
            <w:pPr>
              <w:spacing w:after="0"/>
              <w:rPr>
                <w:sz w:val="16"/>
                <w:szCs w:val="16"/>
                <w:color w:val="auto"/>
              </w:rPr>
            </w:pPr>
          </w:p>
        </w:tc>
        <w:tc>
          <w:tcPr>
            <w:tcW w:w="1240" w:type="dxa"/>
            <w:vAlign w:val="bottom"/>
            <w:tcBorders>
              <w:bottom w:val="single" w:sz="8" w:color="404040"/>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240" w:type="dxa"/>
            <w:vAlign w:val="bottom"/>
            <w:tcBorders>
              <w:bottom w:val="single" w:sz="8" w:color="404040"/>
            </w:tcBorders>
          </w:tcPr>
          <w:p>
            <w:pPr>
              <w:ind w:left="80"/>
              <w:spacing w:after="0"/>
              <w:rPr>
                <w:sz w:val="20"/>
                <w:szCs w:val="20"/>
                <w:color w:val="auto"/>
              </w:rPr>
            </w:pPr>
            <w:r>
              <w:rPr>
                <w:rFonts w:ascii="Arial" w:cs="Arial" w:eastAsia="Arial" w:hAnsi="Arial"/>
                <w:sz w:val="14"/>
                <w:szCs w:val="14"/>
                <w:color w:val="auto"/>
              </w:rPr>
              <w:t>Vanessa Smith</w:t>
            </w:r>
          </w:p>
        </w:tc>
        <w:tc>
          <w:tcPr>
            <w:tcW w:w="9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8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940" w:type="dxa"/>
            <w:vAlign w:val="bottom"/>
            <w:tcBorders>
              <w:bottom w:val="single" w:sz="8" w:color="404040"/>
            </w:tcBorders>
          </w:tcPr>
          <w:p>
            <w:pPr>
              <w:spacing w:after="0"/>
              <w:rPr>
                <w:sz w:val="17"/>
                <w:szCs w:val="17"/>
                <w:color w:val="auto"/>
              </w:rPr>
            </w:pPr>
          </w:p>
        </w:tc>
        <w:tc>
          <w:tcPr>
            <w:tcW w:w="104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080" w:type="dxa"/>
            <w:vAlign w:val="bottom"/>
            <w:tcBorders>
              <w:bottom w:val="single" w:sz="8" w:color="404040"/>
            </w:tcBorders>
          </w:tcPr>
          <w:p>
            <w:pPr>
              <w:spacing w:after="0"/>
              <w:rPr>
                <w:sz w:val="17"/>
                <w:szCs w:val="17"/>
                <w:color w:val="auto"/>
              </w:rPr>
            </w:pPr>
          </w:p>
        </w:tc>
        <w:tc>
          <w:tcPr>
            <w:tcW w:w="820" w:type="dxa"/>
            <w:vAlign w:val="bottom"/>
            <w:tcBorders>
              <w:bottom w:val="single" w:sz="8" w:color="404040"/>
            </w:tcBorders>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860" w:type="dxa"/>
            <w:vAlign w:val="bottom"/>
            <w:tcBorders>
              <w:bottom w:val="single" w:sz="8" w:color="404040"/>
            </w:tcBorders>
          </w:tcPr>
          <w:p>
            <w:pPr>
              <w:spacing w:after="0"/>
              <w:rPr>
                <w:sz w:val="17"/>
                <w:szCs w:val="17"/>
                <w:color w:val="auto"/>
              </w:rPr>
            </w:pPr>
          </w:p>
        </w:tc>
        <w:tc>
          <w:tcPr>
            <w:tcW w:w="960" w:type="dxa"/>
            <w:vAlign w:val="bottom"/>
            <w:tcBorders>
              <w:bottom w:val="single" w:sz="8" w:color="404040"/>
            </w:tcBorders>
          </w:tcPr>
          <w:p>
            <w:pPr>
              <w:spacing w:after="0"/>
              <w:rPr>
                <w:sz w:val="17"/>
                <w:szCs w:val="17"/>
                <w:color w:val="auto"/>
              </w:rPr>
            </w:pPr>
          </w:p>
        </w:tc>
        <w:tc>
          <w:tcPr>
            <w:tcW w:w="1240" w:type="dxa"/>
            <w:vAlign w:val="bottom"/>
            <w:tcBorders>
              <w:bottom w:val="single" w:sz="8" w:color="404040"/>
            </w:tcBorders>
          </w:tcPr>
          <w:p>
            <w:pPr>
              <w:jc w:val="center"/>
              <w:ind w:right="13"/>
              <w:spacing w:after="0" w:line="141" w:lineRule="exact"/>
              <w:rPr>
                <w:sz w:val="20"/>
                <w:szCs w:val="20"/>
                <w:color w:val="auto"/>
              </w:rPr>
            </w:pPr>
            <w:r>
              <w:rPr>
                <w:rFonts w:ascii="MS PGothic" w:cs="MS PGothic" w:eastAsia="MS PGothic" w:hAnsi="MS PGothic"/>
                <w:sz w:val="14"/>
                <w:szCs w:val="14"/>
                <w:color w:val="auto"/>
                <w:w w:val="85"/>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sectPr>
          <w:pgSz w:w="11900" w:h="16838" w:orient="portrait"/>
          <w:cols w:equalWidth="0" w:num="1">
            <w:col w:w="10040"/>
          </w:cols>
          <w:pgMar w:left="920" w:top="114" w:right="939" w:bottom="1440" w:gutter="0" w:footer="0" w:header="0"/>
        </w:sectPr>
      </w:pPr>
    </w:p>
    <w:p>
      <w:pPr>
        <w:jc w:val="both"/>
        <w:ind w:left="820"/>
        <w:spacing w:after="0" w:line="247" w:lineRule="auto"/>
        <w:rPr>
          <w:sz w:val="20"/>
          <w:szCs w:val="20"/>
          <w:color w:val="auto"/>
        </w:rPr>
      </w:pPr>
      <w:r>
        <w:rPr>
          <w:rFonts w:ascii="Arial" w:cs="Arial" w:eastAsia="Arial" w:hAnsi="Arial"/>
          <w:sz w:val="16"/>
          <w:szCs w:val="16"/>
          <w:color w:val="auto"/>
        </w:rPr>
        <w:t>The Nominating and Corporate Governance Committee appreciates the value of thoughtful Board refreshment, and regularly identifies and considers qualities, skills, and other director attributes that would enhance the composition of the Board of Directors. 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rules, 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of Directors. The Nominating and Corporate Governance Committee meets to discuss and consider the candidates’ qualifications and then selects a nominee for recommendation to the Board of Directors by majority vote.</w:t>
      </w:r>
    </w:p>
    <w:p>
      <w:pPr>
        <w:spacing w:after="0" w:line="138" w:lineRule="exact"/>
        <w:rPr>
          <w:sz w:val="20"/>
          <w:szCs w:val="20"/>
          <w:color w:val="auto"/>
        </w:rPr>
      </w:pPr>
    </w:p>
    <w:p>
      <w:pPr>
        <w:jc w:val="both"/>
        <w:ind w:left="820"/>
        <w:spacing w:after="0" w:line="286" w:lineRule="auto"/>
        <w:rPr>
          <w:sz w:val="20"/>
          <w:szCs w:val="20"/>
          <w:color w:val="auto"/>
        </w:rPr>
      </w:pPr>
      <w:r>
        <w:rPr>
          <w:rFonts w:ascii="Arial" w:cs="Arial" w:eastAsia="Arial" w:hAnsi="Arial"/>
          <w:sz w:val="16"/>
          <w:szCs w:val="16"/>
          <w:color w:val="auto"/>
        </w:rPr>
        <w:t>The Nominating and Corporate Governance Committee will consider director candidates recommended by</w:t>
      </w:r>
    </w:p>
    <w:p>
      <w:pPr>
        <w:spacing w:after="0" w:line="20" w:lineRule="exact"/>
        <w:rPr>
          <w:sz w:val="20"/>
          <w:szCs w:val="20"/>
          <w:color w:val="auto"/>
        </w:rPr>
      </w:pPr>
      <w:r>
        <w:rPr>
          <w:sz w:val="20"/>
          <w:szCs w:val="20"/>
          <w:color w:val="auto"/>
        </w:rPr>
        <w:br w:type="column"/>
      </w:r>
    </w:p>
    <w:p>
      <w:pPr>
        <w:jc w:val="both"/>
        <w:ind w:right="800"/>
        <w:spacing w:after="0" w:line="247" w:lineRule="auto"/>
        <w:rPr>
          <w:sz w:val="20"/>
          <w:szCs w:val="20"/>
          <w:color w:val="auto"/>
        </w:rPr>
      </w:pPr>
      <w:r>
        <w:rPr>
          <w:rFonts w:ascii="Arial" w:cs="Arial" w:eastAsia="Arial" w:hAnsi="Arial"/>
          <w:sz w:val="16"/>
          <w:szCs w:val="16"/>
          <w:color w:val="auto"/>
        </w:rPr>
        <w:t>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of Directors may do so by delivering a written recommendation to the Nominating and Corporate Governance Committee at the following address: 475 Brannan Street, Suite 300, San Francisco, CA 94107 not later than March 5, 2027 nor earlier than February 3, 2027; provided that if the date of next year’s annual meeting of stockholders is earlier than May 4, 2027, or later than August 2, 2027, you</w:t>
      </w:r>
    </w:p>
    <w:p>
      <w:pPr>
        <w:spacing w:after="0" w:line="8" w:lineRule="exact"/>
        <w:rPr>
          <w:sz w:val="20"/>
          <w:szCs w:val="20"/>
          <w:color w:val="auto"/>
        </w:rPr>
      </w:pPr>
    </w:p>
    <w:p>
      <w:pPr>
        <w:jc w:val="both"/>
        <w:ind w:right="800"/>
        <w:spacing w:after="0" w:line="207" w:lineRule="auto"/>
        <w:rPr>
          <w:sz w:val="20"/>
          <w:szCs w:val="20"/>
          <w:color w:val="auto"/>
        </w:rPr>
      </w:pPr>
      <w:r>
        <w:rPr>
          <w:rFonts w:ascii="Arial" w:cs="Arial" w:eastAsia="Arial" w:hAnsi="Arial"/>
          <w:sz w:val="16"/>
          <w:szCs w:val="16"/>
          <w:color w:val="auto"/>
        </w:rPr>
        <w:t>must give the required notice not earlier than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meeting date and not later than the later</w:t>
      </w:r>
    </w:p>
    <w:p>
      <w:pPr>
        <w:spacing w:after="0" w:line="2" w:lineRule="exact"/>
        <w:rPr>
          <w:sz w:val="20"/>
          <w:szCs w:val="20"/>
          <w:color w:val="auto"/>
        </w:rPr>
      </w:pPr>
    </w:p>
    <w:p>
      <w:pPr>
        <w:jc w:val="both"/>
        <w:ind w:right="800"/>
        <w:spacing w:after="0"/>
        <w:rPr>
          <w:sz w:val="20"/>
          <w:szCs w:val="20"/>
          <w:color w:val="auto"/>
        </w:rPr>
      </w:pPr>
      <w:r>
        <w:rPr>
          <w:rFonts w:ascii="Arial" w:cs="Arial" w:eastAsia="Arial" w:hAnsi="Arial"/>
          <w:sz w:val="16"/>
          <w:szCs w:val="16"/>
          <w:color w:val="auto"/>
        </w:rPr>
        <w:t>of (i)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meeting date or (ii)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disclosure of that meeting date is first made.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our stock and has been a holder for at least one year. Any such submission must be accompanied by the written consent of the proposed nominee to be named as a nominee and to serve as a director if elected.</w:t>
      </w:r>
    </w:p>
    <w:p>
      <w:pPr>
        <w:spacing w:after="0" w:line="635" w:lineRule="exact"/>
        <w:rPr>
          <w:sz w:val="20"/>
          <w:szCs w:val="20"/>
          <w:color w:val="auto"/>
        </w:rPr>
      </w:pPr>
    </w:p>
    <w:p>
      <w:pPr>
        <w:sectPr>
          <w:pgSz w:w="11900" w:h="16838" w:orient="portrait"/>
          <w:cols w:equalWidth="0" w:num="2">
            <w:col w:w="4820" w:space="400"/>
            <w:col w:w="4820"/>
          </w:cols>
          <w:pgMar w:left="920" w:top="114" w:right="939" w:bottom="1440" w:gutter="0" w:footer="0" w:header="0"/>
          <w:type w:val="continuous"/>
        </w:sectPr>
      </w:pPr>
    </w:p>
    <w:p>
      <w:pPr>
        <w:ind w:left="160"/>
        <w:spacing w:after="0"/>
        <w:rPr>
          <w:sz w:val="20"/>
          <w:szCs w:val="20"/>
          <w:color w:val="auto"/>
        </w:rPr>
      </w:pPr>
      <w:r>
        <w:rPr>
          <w:rFonts w:ascii="Arial" w:cs="Arial" w:eastAsia="Arial" w:hAnsi="Arial"/>
          <w:sz w:val="12"/>
          <w:szCs w:val="12"/>
          <w:color w:val="auto"/>
        </w:rPr>
        <w:t>18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120650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660" w:right="880"/>
        <w:spacing w:after="0" w:line="272" w:lineRule="auto"/>
        <w:rPr>
          <w:sz w:val="20"/>
          <w:szCs w:val="20"/>
          <w:color w:val="auto"/>
        </w:rPr>
      </w:pPr>
      <w:r>
        <w:rPr>
          <w:rFonts w:ascii="Arial" w:cs="Arial" w:eastAsia="Arial" w:hAnsi="Arial"/>
          <w:sz w:val="22"/>
          <w:szCs w:val="22"/>
          <w:b w:val="1"/>
          <w:bCs w:val="1"/>
          <w:color w:val="EE3434"/>
        </w:rPr>
        <w:t>Stockholder Communications with the Board of Directors and Engagement with Stockholders</w:t>
      </w:r>
    </w:p>
    <w:p>
      <w:pPr>
        <w:sectPr>
          <w:pgSz w:w="11900" w:h="16838" w:orient="portrait"/>
          <w:cols w:equalWidth="0" w:num="1">
            <w:col w:w="9720"/>
          </w:cols>
          <w:pgMar w:left="1080" w:top="114" w:right="1099" w:bottom="1440" w:gutter="0" w:footer="0" w:header="0"/>
        </w:sectPr>
      </w:pPr>
    </w:p>
    <w:p>
      <w:pPr>
        <w:spacing w:after="0" w:line="35"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We make every effort to ensure that the views of stockholders are heard by the Board of Directors or individual directors, as applicable, and that appropriate responses are provided to stockholders in a timely manner. We believe our responsiveness to stockholder communications to the Board of Directors has been excellent.</w:t>
      </w:r>
    </w:p>
    <w:p>
      <w:pPr>
        <w:spacing w:after="0" w:line="100"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color w:val="auto"/>
        </w:rPr>
        <w:t>Any interested person or stockholder may, however, communicate directly with the presiding director or the non-management or independent directors as a group. Stockholders and other interested parties may send such communication to Fastly, Inc., Attn:</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ind w:right="640"/>
        <w:spacing w:after="0" w:line="250" w:lineRule="auto"/>
        <w:rPr>
          <w:sz w:val="20"/>
          <w:szCs w:val="20"/>
          <w:color w:val="auto"/>
        </w:rPr>
      </w:pPr>
      <w:r>
        <w:rPr>
          <w:rFonts w:ascii="Arial" w:cs="Arial" w:eastAsia="Arial" w:hAnsi="Arial"/>
          <w:sz w:val="16"/>
          <w:szCs w:val="16"/>
          <w:color w:val="auto"/>
        </w:rPr>
        <w:t>Secretary, 475 Brannan Street, Suite 300, San Francisco, CA 94107. The communication should indicate that it contains a stockholder or interested party communication. All such communication will be reviewed by our Secretary, in consultation with appropriate directors as necessary, and, if appropriate, will be forwarded to the director or directors to whom the communications are addressed or, if none are specified, to the Chairperson of our Board of Directors. If the communication is unduly frivolous, hostile, threatening, or similarly inappropriate, the Secretary shall discard the communication.</w:t>
      </w:r>
    </w:p>
    <w:p>
      <w:pPr>
        <w:spacing w:after="0" w:line="339" w:lineRule="exact"/>
        <w:rPr>
          <w:sz w:val="20"/>
          <w:szCs w:val="20"/>
          <w:color w:val="auto"/>
        </w:rPr>
      </w:pPr>
    </w:p>
    <w:p>
      <w:pPr>
        <w:sectPr>
          <w:pgSz w:w="11900" w:h="16838" w:orient="portrait"/>
          <w:cols w:equalWidth="0" w:num="2">
            <w:col w:w="4660" w:space="400"/>
            <w:col w:w="4660"/>
          </w:cols>
          <w:pgMar w:left="1080" w:top="114" w:right="1099" w:bottom="1440" w:gutter="0" w:footer="0" w:header="0"/>
          <w:type w:val="continuous"/>
        </w:sectPr>
      </w:pPr>
    </w:p>
    <w:p>
      <w:pPr>
        <w:spacing w:after="0" w:line="114"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EE3434"/>
        </w:rPr>
        <w:t>Environmental, Social, and Governance Matters</w:t>
      </w:r>
    </w:p>
    <w:p>
      <w:pPr>
        <w:sectPr>
          <w:pgSz w:w="11900" w:h="16838" w:orient="portrait"/>
          <w:cols w:equalWidth="0" w:num="1">
            <w:col w:w="9720"/>
          </w:cols>
          <w:pgMar w:left="1080" w:top="114" w:right="1099" w:bottom="1440" w:gutter="0" w:footer="0" w:header="0"/>
          <w:type w:val="continuous"/>
        </w:sectPr>
      </w:pPr>
    </w:p>
    <w:p>
      <w:pPr>
        <w:spacing w:after="0" w:line="124"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We believe that sound corporate citizenship should drive us to be responsive to ESG related matters that impact our stakeholders and the communities in which we operate. As reflected in the core values of our Code of Business Conduct and Ethics (the “Code of Conduct”), we are committed to operating our business with integrity, embracing transparency, and being good people. Consistent with these values, we published our 2024 Sustainability Report in November 2025 at investors.fastly.com under the “Governance” page. The information contained on, or that can be accessed through, our website is not incorporated by reference into this Proxy Statement. Our Nominating and Corporate Governance Committee reviews our ESG matters as it determines appropriate and makes recommendations to the Board of Directors regarding, or takes action with respect to, such matters. Our Sustainability program builds on our mission to make the internet a better place—one that is fast, safe, and engaging for everyone. Central to our success is a data-driven approach to environmental stewardship, evidenced by the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both"/>
        <w:ind w:right="640"/>
        <w:spacing w:after="0" w:line="248" w:lineRule="auto"/>
        <w:rPr>
          <w:sz w:val="20"/>
          <w:szCs w:val="20"/>
          <w:color w:val="auto"/>
        </w:rPr>
      </w:pPr>
      <w:r>
        <w:rPr>
          <w:rFonts w:ascii="Arial" w:cs="Arial" w:eastAsia="Arial" w:hAnsi="Arial"/>
          <w:sz w:val="16"/>
          <w:szCs w:val="16"/>
          <w:color w:val="auto"/>
        </w:rPr>
        <w:t>publication of our first comprehensive greenhouse gas (GHG) inventory across Scopes 1, 2, and 3. Our Scope 3 emissions included Categories 1-8, and categories not included were determined to be immaterial to our GHG inventory. We believe that driving platform efficiency naturally aligns with sustainability, as a more efficient global edge infrastructure reduces energy consumption and results in a lighter footprint for the planet. We’ve also developed a sustainability dashboard to provide our customers with transparent data on the carbon footprint of their services on our platform. We have committed to achieving 100% global renewable electricity coverage for our direct electricity consumption. Moving forward, we are utilizing our baseline data to define ambitious emission reduction targets and develop a comprehensive climate transition plan. Through these efforts, alongside programs like Fast Forward which support the open-source community, we strive to secure the long-term sustainability of the internet infrastructure that modern life relies upon.</w:t>
      </w:r>
    </w:p>
    <w:p>
      <w:pPr>
        <w:spacing w:after="0" w:line="580" w:lineRule="exact"/>
        <w:rPr>
          <w:sz w:val="20"/>
          <w:szCs w:val="20"/>
          <w:color w:val="auto"/>
        </w:rPr>
      </w:pPr>
    </w:p>
    <w:p>
      <w:pPr>
        <w:sectPr>
          <w:pgSz w:w="11900" w:h="16838" w:orient="portrait"/>
          <w:cols w:equalWidth="0" w:num="2">
            <w:col w:w="4660" w:space="400"/>
            <w:col w:w="4660"/>
          </w:cols>
          <w:pgMar w:left="1080" w:top="114" w:right="1099" w:bottom="1440" w:gutter="0" w:footer="0" w:header="0"/>
          <w:type w:val="continuous"/>
        </w:sectPr>
      </w:pPr>
    </w:p>
    <w:p>
      <w:pPr>
        <w:spacing w:after="0" w:line="12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Code of Business Conduct and Ethics</w:t>
      </w:r>
    </w:p>
    <w:p>
      <w:pPr>
        <w:spacing w:after="0" w:line="112"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We have adopted a Code of Conduct applicable to all our employees, executive officers, and directors. The Code of Conduct is available on our website at investors.fastly.com. The Nominating and Corporate Governance Committee of our Board of Directors is responsible for overseeing the Code of Conduct and must approve any waivers of the Code of Conduct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jc w:val="both"/>
        <w:ind w:right="640"/>
        <w:spacing w:after="0" w:line="254" w:lineRule="auto"/>
        <w:rPr>
          <w:sz w:val="20"/>
          <w:szCs w:val="20"/>
          <w:color w:val="auto"/>
        </w:rPr>
      </w:pPr>
      <w:r>
        <w:rPr>
          <w:rFonts w:ascii="Arial" w:cs="Arial" w:eastAsia="Arial" w:hAnsi="Arial"/>
          <w:sz w:val="16"/>
          <w:szCs w:val="16"/>
          <w:color w:val="auto"/>
        </w:rPr>
        <w:t>executive officers and directors. If we make any substantive amendments to the Code of Conduct or grant any waiver from a provision of the Code of Conduct to any executive officer or director, we will promptly disclose the nature of the amendment or waiver on our website.</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113665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660" w:space="400"/>
            <w:col w:w="4660"/>
          </w:cols>
          <w:pgMar w:left="1080" w:top="114" w:right="10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Corporate Governance Guidelines</w:t>
      </w:r>
    </w:p>
    <w:p>
      <w:pPr>
        <w:spacing w:after="0" w:line="112"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The Board of Directors has documented our governance practices by adopting Corporate Governance Guidelines to assure that the Board of Directors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w:t>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20  |  2026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299"/>
        <w:spacing w:after="0" w:line="251" w:lineRule="auto"/>
        <w:rPr>
          <w:sz w:val="20"/>
          <w:szCs w:val="20"/>
          <w:color w:val="auto"/>
        </w:rPr>
      </w:pPr>
      <w:r>
        <w:rPr>
          <w:rFonts w:ascii="Arial" w:cs="Arial" w:eastAsia="Arial" w:hAnsi="Arial"/>
          <w:sz w:val="16"/>
          <w:szCs w:val="16"/>
          <w:color w:val="auto"/>
        </w:rPr>
        <w:t>practices the Board of Directors intends to follow with respect to board composition and selection, board meetings and involvement of senior management, Chief Executive Officer performance evaluation and succession planning, and board committees and compensation. The Corporate Governance Guidelines, as well as the charters for each committee of the Board of Directors, may be viewed on the Investors section of our website at investors.fastly.com.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443865</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660" w:space="400"/>
            <w:col w:w="4319"/>
          </w:cols>
          <w:pgMar w:left="1080" w:top="114"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820"/>
        <w:spacing w:after="0"/>
        <w:rPr>
          <w:sz w:val="20"/>
          <w:szCs w:val="20"/>
          <w:color w:val="auto"/>
        </w:rPr>
      </w:pPr>
      <w:r>
        <w:rPr>
          <w:rFonts w:ascii="Arial" w:cs="Arial" w:eastAsia="Arial" w:hAnsi="Arial"/>
          <w:sz w:val="43"/>
          <w:szCs w:val="43"/>
          <w:b w:val="1"/>
          <w:bCs w:val="1"/>
          <w:color w:val="auto"/>
        </w:rPr>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6377940" cy="68148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77940" cy="681482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820"/>
        <w:spacing w:after="0"/>
        <w:tabs>
          <w:tab w:leader="none" w:pos="9320" w:val="left"/>
        </w:tabs>
        <w:rPr>
          <w:sz w:val="20"/>
          <w:szCs w:val="20"/>
          <w:color w:val="auto"/>
        </w:rPr>
      </w:pPr>
      <w:r>
        <w:rPr>
          <w:rFonts w:ascii="Arial" w:cs="Arial" w:eastAsia="Arial" w:hAnsi="Arial"/>
          <w:sz w:val="22"/>
          <w:szCs w:val="22"/>
          <w:b w:val="1"/>
          <w:bCs w:val="1"/>
          <w:color w:val="EE3434"/>
        </w:rPr>
        <w:t>RATIFICATION OF SELECTION OF INDEPENDENT REGISTERED PUBLIC</w:t>
      </w:r>
      <w:r>
        <w:rPr>
          <w:sz w:val="20"/>
          <w:szCs w:val="20"/>
          <w:color w:val="auto"/>
        </w:rPr>
        <w:tab/>
      </w:r>
      <w:r>
        <w:rPr>
          <w:rFonts w:ascii="Arial" w:cs="Arial" w:eastAsia="Arial" w:hAnsi="Arial"/>
          <w:sz w:val="16"/>
          <w:szCs w:val="16"/>
          <w:color w:val="auto"/>
        </w:rPr>
        <w:t xml:space="preserve">       </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EE3434"/>
        </w:rPr>
        <w:t>ACCOUNTING FIRM</w:t>
      </w:r>
    </w:p>
    <w:p>
      <w:pPr>
        <w:spacing w:after="0" w:line="131" w:lineRule="exact"/>
        <w:rPr>
          <w:sz w:val="20"/>
          <w:szCs w:val="20"/>
          <w:color w:val="auto"/>
        </w:rPr>
      </w:pPr>
    </w:p>
    <w:p>
      <w:pPr>
        <w:jc w:val="both"/>
        <w:ind w:left="820" w:right="800"/>
        <w:spacing w:after="0" w:line="275" w:lineRule="auto"/>
        <w:rPr>
          <w:sz w:val="20"/>
          <w:szCs w:val="20"/>
          <w:color w:val="auto"/>
        </w:rPr>
      </w:pPr>
      <w:r>
        <w:rPr>
          <w:rFonts w:ascii="Arial" w:cs="Arial" w:eastAsia="Arial" w:hAnsi="Arial"/>
          <w:sz w:val="16"/>
          <w:szCs w:val="16"/>
          <w:color w:val="auto"/>
        </w:rPr>
        <w:t>As disclosed in the Company’s Current Report on Form 8-K filed with the SEC on March 5, 2026 (the “Form 8-K”), on March 4, 2026, following the completion of a process to review the Company’s independent registered public accounting firm for the fiscal year ending December 31, 2025, the Audit Committee of our Board of Directors selected KPMG as the Company’s independent registered public accounting firm for the fiscal year ending December 31, 2026, and dismissed Deloitte &amp; Touche LLP (“Deloitte”) as the Company’s independent registered public accounting firm. The Audit Committee of our Board of Directors has further directed that management submit the selection of its independent registered public accounting firm for ratification by the stockholders at the annual meeting. Representatives of KPMG are expected to be present at the virtual annual meeting. They will have an opportunity to make a statement if they so desire and will be available to respond to appropriate questions. Representatives of Deloitte, our former independent registered public accounting firm, will not be present at the annual meeting and will not be available to respond to questions or make a statement.</w:t>
      </w:r>
    </w:p>
    <w:p>
      <w:pPr>
        <w:spacing w:after="0" w:line="111" w:lineRule="exact"/>
        <w:rPr>
          <w:sz w:val="20"/>
          <w:szCs w:val="20"/>
          <w:color w:val="auto"/>
        </w:rPr>
      </w:pPr>
    </w:p>
    <w:p>
      <w:pPr>
        <w:jc w:val="both"/>
        <w:ind w:left="820" w:right="820"/>
        <w:spacing w:after="0" w:line="266" w:lineRule="auto"/>
        <w:rPr>
          <w:sz w:val="20"/>
          <w:szCs w:val="20"/>
          <w:color w:val="auto"/>
        </w:rPr>
      </w:pPr>
      <w:r>
        <w:rPr>
          <w:rFonts w:ascii="Arial" w:cs="Arial" w:eastAsia="Arial" w:hAnsi="Arial"/>
          <w:sz w:val="16"/>
          <w:szCs w:val="16"/>
          <w:color w:val="auto"/>
        </w:rPr>
        <w:t>Deloitte’s reports on our consolidated financial statements for the fiscal years ended December 31, 2025 and 2024, respectively, did not contain an adverse opinion or a disclaimer of opinion, nor were they qualified or modified as to uncertainty, audit scope or accounting principles.</w:t>
      </w:r>
    </w:p>
    <w:p>
      <w:pPr>
        <w:spacing w:after="0" w:line="104" w:lineRule="exact"/>
        <w:rPr>
          <w:sz w:val="20"/>
          <w:szCs w:val="20"/>
          <w:color w:val="auto"/>
        </w:rPr>
      </w:pPr>
    </w:p>
    <w:p>
      <w:pPr>
        <w:jc w:val="both"/>
        <w:ind w:left="820" w:right="800"/>
        <w:spacing w:after="0" w:line="252" w:lineRule="auto"/>
        <w:rPr>
          <w:sz w:val="20"/>
          <w:szCs w:val="20"/>
          <w:color w:val="auto"/>
        </w:rPr>
      </w:pPr>
      <w:r>
        <w:rPr>
          <w:rFonts w:ascii="Arial" w:cs="Arial" w:eastAsia="Arial" w:hAnsi="Arial"/>
          <w:sz w:val="16"/>
          <w:szCs w:val="16"/>
          <w:color w:val="auto"/>
        </w:rPr>
        <w:t>During our fiscal years ended December 31, 2025 and 2024, there were no (i) disagreements (within the meaning of Item 304(a)(1)(iv) of Regulation S-K and the related instructions thereto) with Deloitte on any matter of accounting principles or practices, financial statement disclosure, or auditing scope or procedure that, if not resolved to the satisfaction of Deloitte, would have caused Deloitte to make reference thereto in its reports covering our consolidated financial statements for such periods and (ii) reportable events (as defined in Item 304(a)(1)(v) of Regulation S-K), except for the disclosure of the material weakness in our internal controls over financial reporting as disclosed in Part II, Item 9A of our Annual Report on Form 10-K for the year ended December 31, 2024. As of December 31, 2025, we have concluded that this material weakness has been remediated.</w:t>
      </w:r>
    </w:p>
    <w:p>
      <w:pPr>
        <w:spacing w:after="0" w:line="115" w:lineRule="exact"/>
        <w:rPr>
          <w:sz w:val="20"/>
          <w:szCs w:val="20"/>
          <w:color w:val="auto"/>
        </w:rPr>
      </w:pPr>
    </w:p>
    <w:p>
      <w:pPr>
        <w:jc w:val="both"/>
        <w:ind w:left="820" w:right="800"/>
        <w:spacing w:after="0" w:line="266" w:lineRule="auto"/>
        <w:rPr>
          <w:sz w:val="20"/>
          <w:szCs w:val="20"/>
          <w:color w:val="auto"/>
        </w:rPr>
      </w:pPr>
      <w:r>
        <w:rPr>
          <w:rFonts w:ascii="Arial" w:cs="Arial" w:eastAsia="Arial" w:hAnsi="Arial"/>
          <w:sz w:val="16"/>
          <w:szCs w:val="16"/>
          <w:color w:val="auto"/>
        </w:rPr>
        <w:t>This reportable event was discussed among the Audit Committee and Deloitte. Deloitte has been authorized by the Company to respond fully to the inquiries of KPMG, the successor independent registered public accounting firm, concerning this reportable event.</w:t>
      </w:r>
    </w:p>
    <w:p>
      <w:pPr>
        <w:spacing w:after="0" w:line="104" w:lineRule="exact"/>
        <w:rPr>
          <w:sz w:val="20"/>
          <w:szCs w:val="20"/>
          <w:color w:val="auto"/>
        </w:rPr>
      </w:pPr>
    </w:p>
    <w:p>
      <w:pPr>
        <w:jc w:val="both"/>
        <w:ind w:left="820" w:right="820"/>
        <w:spacing w:after="0" w:line="256" w:lineRule="auto"/>
        <w:rPr>
          <w:sz w:val="20"/>
          <w:szCs w:val="20"/>
          <w:color w:val="auto"/>
        </w:rPr>
      </w:pPr>
      <w:r>
        <w:rPr>
          <w:rFonts w:ascii="Arial" w:cs="Arial" w:eastAsia="Arial" w:hAnsi="Arial"/>
          <w:sz w:val="16"/>
          <w:szCs w:val="16"/>
          <w:color w:val="auto"/>
        </w:rPr>
        <w:t>We provided Deloitte with a copy of the disclosures made in the Form 8-K and requested Deloitte furnish the Company with a letter addressed to the SEC stating whether it agrees with the statements made by the Company in Item 4.01 of the Form 8-K and, if not, stating the respects in which it does not agree. A copy of Deloitte’s letter to the SEC dated March 5, 2026, which confirmed agreement with the disclosures in the Form 8-K is filed as Exhibit 16.1 of the Form 8-K.</w:t>
      </w:r>
    </w:p>
    <w:p>
      <w:pPr>
        <w:spacing w:after="0" w:line="112" w:lineRule="exact"/>
        <w:rPr>
          <w:sz w:val="20"/>
          <w:szCs w:val="20"/>
          <w:color w:val="auto"/>
        </w:rPr>
      </w:pPr>
    </w:p>
    <w:p>
      <w:pPr>
        <w:jc w:val="both"/>
        <w:ind w:left="820" w:right="800"/>
        <w:spacing w:after="0" w:line="256" w:lineRule="auto"/>
        <w:rPr>
          <w:sz w:val="20"/>
          <w:szCs w:val="20"/>
          <w:color w:val="auto"/>
        </w:rPr>
      </w:pPr>
      <w:r>
        <w:rPr>
          <w:rFonts w:ascii="Arial" w:cs="Arial" w:eastAsia="Arial" w:hAnsi="Arial"/>
          <w:sz w:val="16"/>
          <w:szCs w:val="16"/>
          <w:color w:val="auto"/>
        </w:rPr>
        <w:t>During our fiscal years ended December 31, 2025 and 2024, and the subsequent interim period in fiscal year 2026 prior to KPMG’s appointment, neither the Company nor anyone on our behalf has consulted with KPMG regarding:</w:t>
      </w:r>
    </w:p>
    <w:p>
      <w:pPr>
        <w:spacing w:after="0" w:line="1" w:lineRule="exact"/>
        <w:rPr>
          <w:sz w:val="20"/>
          <w:szCs w:val="20"/>
          <w:color w:val="auto"/>
        </w:rPr>
      </w:pPr>
    </w:p>
    <w:p>
      <w:pPr>
        <w:jc w:val="both"/>
        <w:ind w:left="820" w:right="820" w:hanging="8"/>
        <w:spacing w:after="0" w:line="250" w:lineRule="auto"/>
        <w:tabs>
          <w:tab w:leader="none" w:pos="102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application of accounting principles to a specified transaction, either completed or proposed, or the type of audit opinion that might be rendered on the Company’s consolidated financial statements, and neither a written report nor oral advice was provided to us that KPMG concluded was an important factor considered by us in reaching a decision as to any accounting, auditing, or financial reporting issue; (ii) any matter that was the subject of a disagreement (within the meaning of Item 304(a)(1)(iv) of Regulation S-K and the related instructions thereto); or (iii) any reportable event, as defined in Item 304(a)(1)(v) of Regulation S-K.</w:t>
      </w:r>
    </w:p>
    <w:p>
      <w:pPr>
        <w:spacing w:after="0" w:line="117" w:lineRule="exact"/>
        <w:rPr>
          <w:sz w:val="20"/>
          <w:szCs w:val="20"/>
          <w:color w:val="auto"/>
        </w:rPr>
      </w:pPr>
    </w:p>
    <w:p>
      <w:pPr>
        <w:jc w:val="both"/>
        <w:ind w:left="820" w:right="800"/>
        <w:spacing w:after="0" w:line="253" w:lineRule="auto"/>
        <w:rPr>
          <w:sz w:val="20"/>
          <w:szCs w:val="20"/>
          <w:color w:val="auto"/>
        </w:rPr>
      </w:pPr>
      <w:r>
        <w:rPr>
          <w:rFonts w:ascii="Arial" w:cs="Arial" w:eastAsia="Arial" w:hAnsi="Arial"/>
          <w:sz w:val="16"/>
          <w:szCs w:val="16"/>
          <w:color w:val="auto"/>
        </w:rPr>
        <w:t>Neither our Amended and Restated Bylaws nor other governing documents or law require stockholder ratification of the selection of KPMG as our independent registered public accounting firm. However, the Audit Committee of the Board of Directors is submitting the selection of KPMG to the stockholders for ratification as a matter of good corporate practice. If the stockholders fail to ratify the selection, the Audit Committee will reconsider whether or not to retain KPMG. Even if the selection is ratified, the Audit Committee in its discretion may direct the appointment of different independent auditors at any time during the year if they determine that such a change would be in the best interests of us and our stockholders.</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121920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80"/>
          </w:cols>
          <w:pgMar w:left="920" w:top="114" w:right="10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102870</wp:posOffset>
            </wp:positionV>
            <wp:extent cx="6377940" cy="6437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77940" cy="6437630"/>
                    </a:xfrm>
                    <a:prstGeom prst="rect">
                      <a:avLst/>
                    </a:prstGeom>
                    <a:noFill/>
                  </pic:spPr>
                </pic:pic>
              </a:graphicData>
            </a:graphic>
          </wp:anchor>
        </w:drawing>
      </w:r>
    </w:p>
    <w:p>
      <w:pPr>
        <w:spacing w:after="0" w:line="236" w:lineRule="exact"/>
        <w:rPr>
          <w:sz w:val="20"/>
          <w:szCs w:val="20"/>
          <w:color w:val="auto"/>
        </w:rPr>
      </w:pPr>
    </w:p>
    <w:p>
      <w:pPr>
        <w:jc w:val="both"/>
        <w:ind w:left="820" w:right="479"/>
        <w:spacing w:after="0" w:line="286" w:lineRule="auto"/>
        <w:rPr>
          <w:sz w:val="20"/>
          <w:szCs w:val="20"/>
          <w:color w:val="auto"/>
        </w:rPr>
      </w:pPr>
      <w:r>
        <w:rPr>
          <w:rFonts w:ascii="Arial" w:cs="Arial" w:eastAsia="Arial" w:hAnsi="Arial"/>
          <w:sz w:val="16"/>
          <w:szCs w:val="16"/>
          <w:color w:val="auto"/>
        </w:rPr>
        <w:t>The affirmative vote of the holders of a majority in voting power of the votes cast (excluding abstentions and broker non-votes) will be required to ratify the selection of KPMG.</w:t>
      </w:r>
    </w:p>
    <w:p>
      <w:pPr>
        <w:spacing w:after="0" w:line="13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149" w:lineRule="exact"/>
        <w:rPr>
          <w:sz w:val="20"/>
          <w:szCs w:val="20"/>
          <w:color w:val="auto"/>
        </w:rPr>
      </w:pPr>
    </w:p>
    <w:p>
      <w:pPr>
        <w:jc w:val="both"/>
        <w:ind w:left="820" w:right="479"/>
        <w:spacing w:after="0" w:line="286" w:lineRule="auto"/>
        <w:rPr>
          <w:sz w:val="20"/>
          <w:szCs w:val="20"/>
          <w:color w:val="auto"/>
        </w:rPr>
      </w:pPr>
      <w:r>
        <w:rPr>
          <w:rFonts w:ascii="Arial" w:cs="Arial" w:eastAsia="Arial" w:hAnsi="Arial"/>
          <w:sz w:val="16"/>
          <w:szCs w:val="16"/>
          <w:color w:val="auto"/>
        </w:rPr>
        <w:t>The following table represents aggregate fees billed to the Company by Deloitte for the fiscal years ended December 31, 2025 and 2024.</w:t>
      </w:r>
    </w:p>
    <w:p>
      <w:pPr>
        <w:spacing w:after="0" w:line="331" w:lineRule="exact"/>
        <w:rPr>
          <w:sz w:val="20"/>
          <w:szCs w:val="20"/>
          <w:color w:val="auto"/>
        </w:rPr>
      </w:pPr>
    </w:p>
    <w:tbl>
      <w:tblPr>
        <w:tblLayout w:type="fixed"/>
        <w:tblInd w:w="760" w:type="dxa"/>
        <w:tblCellMar>
          <w:top w:w="0" w:type="dxa"/>
          <w:left w:w="0" w:type="dxa"/>
          <w:bottom w:w="0" w:type="dxa"/>
          <w:right w:w="0" w:type="dxa"/>
        </w:tblCellMar>
      </w:tblPr>
      <w:tr>
        <w:trPr>
          <w:trHeight w:val="223"/>
        </w:trPr>
        <w:tc>
          <w:tcPr>
            <w:tcW w:w="3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gridSpan w:val="2"/>
          </w:tcPr>
          <w:p>
            <w:pPr>
              <w:jc w:val="center"/>
              <w:ind w:right="79"/>
              <w:spacing w:after="0"/>
              <w:rPr>
                <w:sz w:val="20"/>
                <w:szCs w:val="20"/>
                <w:color w:val="auto"/>
              </w:rPr>
            </w:pPr>
            <w:r>
              <w:rPr>
                <w:rFonts w:ascii="Arial" w:cs="Arial" w:eastAsia="Arial" w:hAnsi="Arial"/>
                <w:sz w:val="16"/>
                <w:szCs w:val="16"/>
                <w:b w:val="1"/>
                <w:bCs w:val="1"/>
                <w:color w:val="auto"/>
              </w:rPr>
              <w:t>Fiscal Year Ended</w:t>
            </w:r>
          </w:p>
        </w:tc>
        <w:tc>
          <w:tcPr>
            <w:tcW w:w="1220" w:type="dxa"/>
            <w:vAlign w:val="bottom"/>
          </w:tcPr>
          <w:p>
            <w:pPr>
              <w:spacing w:after="0"/>
              <w:rPr>
                <w:sz w:val="19"/>
                <w:szCs w:val="19"/>
                <w:color w:val="auto"/>
              </w:rPr>
            </w:pPr>
          </w:p>
        </w:tc>
      </w:tr>
      <w:tr>
        <w:trPr>
          <w:trHeight w:val="48"/>
        </w:trPr>
        <w:tc>
          <w:tcPr>
            <w:tcW w:w="3280" w:type="dxa"/>
            <w:vAlign w:val="bottom"/>
            <w:tcBorders>
              <w:bottom w:val="single" w:sz="8" w:color="808080"/>
            </w:tcBorders>
          </w:tcPr>
          <w:p>
            <w:pPr>
              <w:spacing w:after="0"/>
              <w:rPr>
                <w:sz w:val="4"/>
                <w:szCs w:val="4"/>
                <w:color w:val="auto"/>
              </w:rPr>
            </w:pPr>
          </w:p>
        </w:tc>
        <w:tc>
          <w:tcPr>
            <w:tcW w:w="2280" w:type="dxa"/>
            <w:vAlign w:val="bottom"/>
            <w:tcBorders>
              <w:bottom w:val="single" w:sz="8" w:color="808080"/>
            </w:tcBorders>
            <w:gridSpan w:val="2"/>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2120" w:type="dxa"/>
            <w:vAlign w:val="bottom"/>
            <w:tcBorders>
              <w:bottom w:val="single" w:sz="8" w:color="808080"/>
            </w:tcBorders>
            <w:gridSpan w:val="2"/>
          </w:tcPr>
          <w:p>
            <w:pPr>
              <w:spacing w:after="0"/>
              <w:rPr>
                <w:sz w:val="4"/>
                <w:szCs w:val="4"/>
                <w:color w:val="auto"/>
              </w:rPr>
            </w:pPr>
          </w:p>
        </w:tc>
      </w:tr>
      <w:tr>
        <w:trPr>
          <w:trHeight w:val="269"/>
        </w:trPr>
        <w:tc>
          <w:tcPr>
            <w:tcW w:w="3280" w:type="dxa"/>
            <w:vAlign w:val="bottom"/>
          </w:tcPr>
          <w:p>
            <w:pPr>
              <w:spacing w:after="0"/>
              <w:rPr>
                <w:sz w:val="23"/>
                <w:szCs w:val="23"/>
                <w:color w:val="auto"/>
              </w:rPr>
            </w:pPr>
          </w:p>
        </w:tc>
        <w:tc>
          <w:tcPr>
            <w:tcW w:w="22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2880" w:type="dxa"/>
            <w:vAlign w:val="bottom"/>
            <w:gridSpan w:val="3"/>
          </w:tcPr>
          <w:p>
            <w:pPr>
              <w:jc w:val="right"/>
              <w:ind w:right="799"/>
              <w:spacing w:after="0"/>
              <w:rPr>
                <w:sz w:val="20"/>
                <w:szCs w:val="20"/>
                <w:color w:val="auto"/>
              </w:rPr>
            </w:pPr>
            <w:r>
              <w:rPr>
                <w:rFonts w:ascii="Arial" w:cs="Arial" w:eastAsia="Arial" w:hAnsi="Arial"/>
                <w:sz w:val="16"/>
                <w:szCs w:val="16"/>
                <w:b w:val="1"/>
                <w:bCs w:val="1"/>
                <w:color w:val="auto"/>
              </w:rPr>
              <w:t>2024</w:t>
            </w:r>
          </w:p>
        </w:tc>
      </w:tr>
      <w:tr>
        <w:trPr>
          <w:trHeight w:val="48"/>
        </w:trPr>
        <w:tc>
          <w:tcPr>
            <w:tcW w:w="3280" w:type="dxa"/>
            <w:vAlign w:val="bottom"/>
            <w:tcBorders>
              <w:bottom w:val="single" w:sz="8" w:color="808080"/>
            </w:tcBorders>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r>
        <w:trPr>
          <w:trHeight w:val="269"/>
        </w:trPr>
        <w:tc>
          <w:tcPr>
            <w:tcW w:w="32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60" w:type="dxa"/>
            <w:vAlign w:val="bottom"/>
            <w:gridSpan w:val="2"/>
          </w:tcPr>
          <w:p>
            <w:pPr>
              <w:jc w:val="center"/>
              <w:ind w:right="59"/>
              <w:spacing w:after="0"/>
              <w:rPr>
                <w:sz w:val="20"/>
                <w:szCs w:val="20"/>
                <w:color w:val="auto"/>
              </w:rPr>
            </w:pPr>
            <w:r>
              <w:rPr>
                <w:rFonts w:ascii="Arial" w:cs="Arial" w:eastAsia="Arial" w:hAnsi="Arial"/>
                <w:sz w:val="16"/>
                <w:szCs w:val="16"/>
                <w:b w:val="1"/>
                <w:bCs w:val="1"/>
                <w:color w:val="auto"/>
              </w:rPr>
              <w:t>(in thousands)</w:t>
            </w:r>
          </w:p>
        </w:tc>
        <w:tc>
          <w:tcPr>
            <w:tcW w:w="1220" w:type="dxa"/>
            <w:vAlign w:val="bottom"/>
          </w:tcPr>
          <w:p>
            <w:pPr>
              <w:spacing w:after="0"/>
              <w:rPr>
                <w:sz w:val="23"/>
                <w:szCs w:val="23"/>
                <w:color w:val="auto"/>
              </w:rPr>
            </w:pPr>
          </w:p>
        </w:tc>
      </w:tr>
      <w:tr>
        <w:trPr>
          <w:trHeight w:val="48"/>
        </w:trPr>
        <w:tc>
          <w:tcPr>
            <w:tcW w:w="3280" w:type="dxa"/>
            <w:vAlign w:val="bottom"/>
            <w:tcBorders>
              <w:bottom w:val="single" w:sz="8" w:color="808080"/>
            </w:tcBorders>
          </w:tcPr>
          <w:p>
            <w:pPr>
              <w:spacing w:after="0"/>
              <w:rPr>
                <w:sz w:val="4"/>
                <w:szCs w:val="4"/>
                <w:color w:val="auto"/>
              </w:rPr>
            </w:pPr>
          </w:p>
        </w:tc>
        <w:tc>
          <w:tcPr>
            <w:tcW w:w="18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1220" w:type="dxa"/>
            <w:vAlign w:val="bottom"/>
            <w:tcBorders>
              <w:bottom w:val="single" w:sz="8" w:color="808080"/>
            </w:tcBorders>
          </w:tcPr>
          <w:p>
            <w:pPr>
              <w:spacing w:after="0"/>
              <w:rPr>
                <w:sz w:val="4"/>
                <w:szCs w:val="4"/>
                <w:color w:val="auto"/>
              </w:rPr>
            </w:pPr>
          </w:p>
        </w:tc>
      </w:tr>
      <w:tr>
        <w:trPr>
          <w:trHeight w:val="358"/>
        </w:trPr>
        <w:tc>
          <w:tcPr>
            <w:tcW w:w="32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1820" w:type="dxa"/>
            <w:vAlign w:val="bottom"/>
            <w:tcBorders>
              <w:bottom w:val="single" w:sz="8" w:color="808080"/>
            </w:tcBorders>
          </w:tcPr>
          <w:p>
            <w:pPr>
              <w:ind w:left="174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w w:val="99"/>
              </w:rPr>
              <w:t>3,519</w:t>
            </w:r>
          </w:p>
        </w:tc>
        <w:tc>
          <w:tcPr>
            <w:tcW w:w="1660" w:type="dxa"/>
            <w:vAlign w:val="bottom"/>
            <w:tcBorders>
              <w:bottom w:val="single" w:sz="8" w:color="808080"/>
            </w:tcBorders>
            <w:gridSpan w:val="2"/>
          </w:tcPr>
          <w:p>
            <w:pPr>
              <w:ind w:left="158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808080"/>
            </w:tcBorders>
          </w:tcPr>
          <w:p>
            <w:pPr>
              <w:jc w:val="right"/>
              <w:ind w:right="739"/>
              <w:spacing w:after="0"/>
              <w:rPr>
                <w:sz w:val="20"/>
                <w:szCs w:val="20"/>
                <w:color w:val="auto"/>
              </w:rPr>
            </w:pPr>
            <w:r>
              <w:rPr>
                <w:rFonts w:ascii="Arial" w:cs="Arial" w:eastAsia="Arial" w:hAnsi="Arial"/>
                <w:sz w:val="16"/>
                <w:szCs w:val="16"/>
                <w:color w:val="auto"/>
                <w:w w:val="94"/>
              </w:rPr>
              <w:t>3,112</w:t>
            </w:r>
          </w:p>
        </w:tc>
      </w:tr>
      <w:tr>
        <w:trPr>
          <w:trHeight w:val="358"/>
        </w:trPr>
        <w:tc>
          <w:tcPr>
            <w:tcW w:w="32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1820" w:type="dxa"/>
            <w:vAlign w:val="bottom"/>
            <w:tcBorders>
              <w:bottom w:val="single" w:sz="8" w:color="808080"/>
            </w:tcBorders>
          </w:tcPr>
          <w:p>
            <w:pPr>
              <w:ind w:left="174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0</w:t>
            </w:r>
          </w:p>
        </w:tc>
        <w:tc>
          <w:tcPr>
            <w:tcW w:w="1660" w:type="dxa"/>
            <w:vAlign w:val="bottom"/>
            <w:tcBorders>
              <w:bottom w:val="single" w:sz="8" w:color="808080"/>
            </w:tcBorders>
            <w:gridSpan w:val="2"/>
          </w:tcPr>
          <w:p>
            <w:pPr>
              <w:ind w:left="158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808080"/>
            </w:tcBorders>
          </w:tcPr>
          <w:p>
            <w:pPr>
              <w:jc w:val="right"/>
              <w:ind w:right="759"/>
              <w:spacing w:after="0"/>
              <w:rPr>
                <w:sz w:val="20"/>
                <w:szCs w:val="20"/>
                <w:color w:val="auto"/>
              </w:rPr>
            </w:pPr>
            <w:r>
              <w:rPr>
                <w:rFonts w:ascii="Arial" w:cs="Arial" w:eastAsia="Arial" w:hAnsi="Arial"/>
                <w:sz w:val="16"/>
                <w:szCs w:val="16"/>
                <w:color w:val="auto"/>
              </w:rPr>
              <w:t>0</w:t>
            </w:r>
          </w:p>
        </w:tc>
      </w:tr>
      <w:tr>
        <w:trPr>
          <w:trHeight w:val="358"/>
        </w:trPr>
        <w:tc>
          <w:tcPr>
            <w:tcW w:w="3280" w:type="dxa"/>
            <w:vAlign w:val="bottom"/>
            <w:tcBorders>
              <w:bottom w:val="single" w:sz="8" w:color="808080"/>
            </w:tcBorders>
          </w:tcPr>
          <w:p>
            <w:pPr>
              <w:ind w:left="60"/>
              <w:spacing w:after="0"/>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1820" w:type="dxa"/>
            <w:vAlign w:val="bottom"/>
            <w:tcBorders>
              <w:bottom w:val="single" w:sz="8" w:color="808080"/>
            </w:tcBorders>
          </w:tcPr>
          <w:p>
            <w:pPr>
              <w:ind w:left="1740"/>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808080"/>
            </w:tcBorders>
          </w:tcPr>
          <w:p>
            <w:pPr>
              <w:jc w:val="right"/>
              <w:spacing w:after="0"/>
              <w:rPr>
                <w:sz w:val="20"/>
                <w:szCs w:val="20"/>
                <w:color w:val="auto"/>
              </w:rPr>
            </w:pPr>
            <w:r>
              <w:rPr>
                <w:rFonts w:ascii="Arial" w:cs="Arial" w:eastAsia="Arial" w:hAnsi="Arial"/>
                <w:sz w:val="16"/>
                <w:szCs w:val="16"/>
                <w:color w:val="auto"/>
              </w:rPr>
              <w:t>72</w:t>
            </w:r>
          </w:p>
        </w:tc>
        <w:tc>
          <w:tcPr>
            <w:tcW w:w="1660" w:type="dxa"/>
            <w:vAlign w:val="bottom"/>
            <w:tcBorders>
              <w:bottom w:val="single" w:sz="8" w:color="808080"/>
            </w:tcBorders>
            <w:gridSpan w:val="2"/>
          </w:tcPr>
          <w:p>
            <w:pPr>
              <w:ind w:left="1580"/>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808080"/>
            </w:tcBorders>
          </w:tcPr>
          <w:p>
            <w:pPr>
              <w:jc w:val="right"/>
              <w:ind w:right="759"/>
              <w:spacing w:after="0"/>
              <w:rPr>
                <w:sz w:val="20"/>
                <w:szCs w:val="20"/>
                <w:color w:val="auto"/>
              </w:rPr>
            </w:pPr>
            <w:r>
              <w:rPr>
                <w:rFonts w:ascii="Arial" w:cs="Arial" w:eastAsia="Arial" w:hAnsi="Arial"/>
                <w:sz w:val="16"/>
                <w:szCs w:val="16"/>
                <w:color w:val="auto"/>
              </w:rPr>
              <w:t>85</w:t>
            </w:r>
          </w:p>
        </w:tc>
      </w:tr>
      <w:tr>
        <w:trPr>
          <w:trHeight w:val="358"/>
        </w:trPr>
        <w:tc>
          <w:tcPr>
            <w:tcW w:w="3280" w:type="dxa"/>
            <w:vAlign w:val="bottom"/>
          </w:tcPr>
          <w:p>
            <w:pPr>
              <w:ind w:left="60"/>
              <w:spacing w:after="0"/>
              <w:rPr>
                <w:sz w:val="20"/>
                <w:szCs w:val="20"/>
                <w:color w:val="auto"/>
              </w:rPr>
            </w:pPr>
            <w:r>
              <w:rPr>
                <w:rFonts w:ascii="Arial" w:cs="Arial" w:eastAsia="Arial" w:hAnsi="Arial"/>
                <w:sz w:val="16"/>
                <w:szCs w:val="16"/>
                <w:color w:val="auto"/>
              </w:rPr>
              <w:t>All Other Fees</w:t>
            </w:r>
            <w:r>
              <w:rPr>
                <w:rFonts w:ascii="Arial" w:cs="Arial" w:eastAsia="Arial" w:hAnsi="Arial"/>
                <w:sz w:val="26"/>
                <w:szCs w:val="26"/>
                <w:color w:val="auto"/>
                <w:vertAlign w:val="superscript"/>
              </w:rPr>
              <w:t>(4)</w:t>
            </w:r>
          </w:p>
        </w:tc>
        <w:tc>
          <w:tcPr>
            <w:tcW w:w="1820" w:type="dxa"/>
            <w:vAlign w:val="bottom"/>
          </w:tcPr>
          <w:p>
            <w:pPr>
              <w:ind w:left="1740"/>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c>
          <w:tcPr>
            <w:tcW w:w="1660" w:type="dxa"/>
            <w:vAlign w:val="bottom"/>
            <w:gridSpan w:val="2"/>
          </w:tcPr>
          <w:p>
            <w:pPr>
              <w:ind w:left="158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759"/>
              <w:spacing w:after="0"/>
              <w:rPr>
                <w:sz w:val="20"/>
                <w:szCs w:val="20"/>
                <w:color w:val="auto"/>
              </w:rPr>
            </w:pPr>
            <w:r>
              <w:rPr>
                <w:rFonts w:ascii="Arial" w:cs="Arial" w:eastAsia="Arial" w:hAnsi="Arial"/>
                <w:sz w:val="16"/>
                <w:szCs w:val="16"/>
                <w:color w:val="auto"/>
              </w:rPr>
              <w:t>7</w:t>
            </w:r>
          </w:p>
        </w:tc>
      </w:tr>
      <w:tr>
        <w:trPr>
          <w:trHeight w:val="261"/>
        </w:trPr>
        <w:tc>
          <w:tcPr>
            <w:tcW w:w="3280" w:type="dxa"/>
            <w:vAlign w:val="bottom"/>
            <w:tcBorders>
              <w:top w:val="single" w:sz="8" w:color="808080"/>
            </w:tcBorders>
          </w:tcPr>
          <w:p>
            <w:pPr>
              <w:ind w:left="60"/>
              <w:spacing w:after="0"/>
              <w:rPr>
                <w:sz w:val="20"/>
                <w:szCs w:val="20"/>
                <w:color w:val="auto"/>
              </w:rPr>
            </w:pPr>
            <w:r>
              <w:rPr>
                <w:rFonts w:ascii="Arial" w:cs="Arial" w:eastAsia="Arial" w:hAnsi="Arial"/>
                <w:sz w:val="16"/>
                <w:szCs w:val="16"/>
                <w:color w:val="auto"/>
              </w:rPr>
              <w:t>Total Fees</w:t>
            </w:r>
          </w:p>
        </w:tc>
        <w:tc>
          <w:tcPr>
            <w:tcW w:w="2280" w:type="dxa"/>
            <w:vAlign w:val="bottom"/>
            <w:tcBorders>
              <w:top w:val="single" w:sz="8" w:color="808080"/>
            </w:tcBorders>
            <w:gridSpan w:val="2"/>
          </w:tcPr>
          <w:p>
            <w:pPr>
              <w:ind w:left="1740"/>
              <w:spacing w:after="0"/>
              <w:rPr>
                <w:sz w:val="20"/>
                <w:szCs w:val="20"/>
                <w:color w:val="auto"/>
              </w:rPr>
            </w:pPr>
            <w:r>
              <w:rPr>
                <w:rFonts w:ascii="Arial" w:cs="Arial" w:eastAsia="Arial" w:hAnsi="Arial"/>
                <w:sz w:val="16"/>
                <w:szCs w:val="16"/>
                <w:color w:val="auto"/>
              </w:rPr>
              <w:t>$3,598</w:t>
            </w:r>
          </w:p>
        </w:tc>
        <w:tc>
          <w:tcPr>
            <w:tcW w:w="760" w:type="dxa"/>
            <w:vAlign w:val="bottom"/>
            <w:tcBorders>
              <w:top w:val="single" w:sz="8" w:color="808080"/>
              <w:right w:val="single" w:sz="8" w:color="auto"/>
            </w:tcBorders>
          </w:tcPr>
          <w:p>
            <w:pPr>
              <w:spacing w:after="0"/>
              <w:rPr>
                <w:sz w:val="22"/>
                <w:szCs w:val="22"/>
                <w:color w:val="auto"/>
              </w:rPr>
            </w:pPr>
          </w:p>
        </w:tc>
        <w:tc>
          <w:tcPr>
            <w:tcW w:w="2120" w:type="dxa"/>
            <w:vAlign w:val="bottom"/>
            <w:tcBorders>
              <w:top w:val="single" w:sz="8" w:color="808080"/>
            </w:tcBorders>
            <w:gridSpan w:val="2"/>
          </w:tcPr>
          <w:p>
            <w:pPr>
              <w:ind w:left="820"/>
              <w:spacing w:after="0"/>
              <w:rPr>
                <w:sz w:val="20"/>
                <w:szCs w:val="20"/>
                <w:color w:val="auto"/>
              </w:rPr>
            </w:pPr>
            <w:r>
              <w:rPr>
                <w:rFonts w:ascii="Arial" w:cs="Arial" w:eastAsia="Arial" w:hAnsi="Arial"/>
                <w:sz w:val="16"/>
                <w:szCs w:val="16"/>
                <w:color w:val="auto"/>
              </w:rPr>
              <w:t>$3,204</w:t>
            </w:r>
          </w:p>
        </w:tc>
      </w:tr>
      <w:tr>
        <w:trPr>
          <w:trHeight w:val="70"/>
        </w:trPr>
        <w:tc>
          <w:tcPr>
            <w:tcW w:w="3280" w:type="dxa"/>
            <w:vAlign w:val="bottom"/>
          </w:tcPr>
          <w:p>
            <w:pPr>
              <w:spacing w:after="0"/>
              <w:rPr>
                <w:sz w:val="6"/>
                <w:szCs w:val="6"/>
                <w:color w:val="auto"/>
              </w:rPr>
            </w:pPr>
          </w:p>
        </w:tc>
        <w:tc>
          <w:tcPr>
            <w:tcW w:w="18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900" w:type="dxa"/>
            <w:vAlign w:val="bottom"/>
          </w:tcPr>
          <w:p>
            <w:pPr>
              <w:spacing w:after="0"/>
              <w:rPr>
                <w:sz w:val="6"/>
                <w:szCs w:val="6"/>
                <w:color w:val="auto"/>
              </w:rPr>
            </w:pPr>
          </w:p>
        </w:tc>
        <w:tc>
          <w:tcPr>
            <w:tcW w:w="1220" w:type="dxa"/>
            <w:vAlign w:val="bottom"/>
          </w:tcPr>
          <w:p>
            <w:pPr>
              <w:spacing w:after="0"/>
              <w:rPr>
                <w:sz w:val="6"/>
                <w:szCs w:val="6"/>
                <w:color w:val="auto"/>
              </w:rPr>
            </w:pPr>
          </w:p>
        </w:tc>
      </w:tr>
    </w:tbl>
    <w:p>
      <w:pPr>
        <w:spacing w:after="0" w:line="50" w:lineRule="exact"/>
        <w:rPr>
          <w:sz w:val="20"/>
          <w:szCs w:val="20"/>
          <w:color w:val="auto"/>
        </w:rPr>
      </w:pPr>
    </w:p>
    <w:p>
      <w:pPr>
        <w:jc w:val="both"/>
        <w:ind w:left="1100" w:right="479" w:hanging="279"/>
        <w:spacing w:after="0" w:line="233" w:lineRule="auto"/>
        <w:rPr>
          <w:sz w:val="20"/>
          <w:szCs w:val="20"/>
          <w:color w:val="auto"/>
        </w:rPr>
      </w:pPr>
      <w:r>
        <w:rPr>
          <w:rFonts w:ascii="Arial" w:cs="Arial" w:eastAsia="Arial" w:hAnsi="Arial"/>
          <w:sz w:val="13"/>
          <w:szCs w:val="13"/>
          <w:color w:val="auto"/>
        </w:rPr>
        <w:t>(1)  Consists of fees and expenses billed for professional services rendered in connection with the audit of our consolidated financial statements and audit of internal control over financial reporting, reviews of our quarterly consolidated financial statements, related accounting consultations, and other regulatory filings.</w:t>
      </w:r>
    </w:p>
    <w:p>
      <w:pPr>
        <w:spacing w:after="0" w:line="118" w:lineRule="exact"/>
        <w:rPr>
          <w:sz w:val="20"/>
          <w:szCs w:val="20"/>
          <w:color w:val="auto"/>
        </w:rPr>
      </w:pPr>
    </w:p>
    <w:p>
      <w:pPr>
        <w:jc w:val="both"/>
        <w:ind w:left="1100" w:right="479" w:hanging="279"/>
        <w:spacing w:after="0" w:line="243" w:lineRule="auto"/>
        <w:rPr>
          <w:sz w:val="20"/>
          <w:szCs w:val="20"/>
          <w:color w:val="auto"/>
        </w:rPr>
      </w:pPr>
      <w:r>
        <w:rPr>
          <w:rFonts w:ascii="Arial" w:cs="Arial" w:eastAsia="Arial" w:hAnsi="Arial"/>
          <w:sz w:val="13"/>
          <w:szCs w:val="13"/>
          <w:color w:val="auto"/>
        </w:rPr>
        <w:t>(2)  Consists of fees billed for assurance and related services that are reasonably related to the performance of the audit or review of our consolidated financial statements and not reported under “Audit Fees,” such as due diligence related to mergers and acquisitions.</w:t>
      </w:r>
    </w:p>
    <w:p>
      <w:pPr>
        <w:spacing w:after="0" w:line="116" w:lineRule="exact"/>
        <w:rPr>
          <w:sz w:val="20"/>
          <w:szCs w:val="20"/>
          <w:color w:val="auto"/>
        </w:rPr>
      </w:pPr>
    </w:p>
    <w:p>
      <w:pPr>
        <w:ind w:left="820"/>
        <w:spacing w:after="0"/>
        <w:rPr>
          <w:sz w:val="20"/>
          <w:szCs w:val="20"/>
          <w:color w:val="auto"/>
        </w:rPr>
      </w:pPr>
      <w:r>
        <w:rPr>
          <w:rFonts w:ascii="Arial" w:cs="Arial" w:eastAsia="Arial" w:hAnsi="Arial"/>
          <w:sz w:val="12"/>
          <w:szCs w:val="12"/>
          <w:color w:val="auto"/>
        </w:rPr>
        <w:t>(3)   Tax Fees consist of fees for professional services for domestic and international tax advisory services for tax planning, compliance, and advice.</w:t>
      </w:r>
    </w:p>
    <w:p>
      <w:pPr>
        <w:spacing w:after="0" w:line="200" w:lineRule="exact"/>
        <w:rPr>
          <w:sz w:val="20"/>
          <w:szCs w:val="20"/>
          <w:color w:val="auto"/>
        </w:rPr>
      </w:pPr>
    </w:p>
    <w:p>
      <w:pPr>
        <w:ind w:left="820"/>
        <w:spacing w:after="0"/>
        <w:rPr>
          <w:sz w:val="20"/>
          <w:szCs w:val="20"/>
          <w:color w:val="auto"/>
        </w:rPr>
      </w:pPr>
      <w:r>
        <w:rPr>
          <w:rFonts w:ascii="Arial" w:cs="Arial" w:eastAsia="Arial" w:hAnsi="Arial"/>
          <w:sz w:val="12"/>
          <w:szCs w:val="12"/>
          <w:color w:val="auto"/>
        </w:rPr>
        <w:t>(4)   Consists of aggregate fees billed for services provided by the independent registered public accounting firm other than those disclosed above.</w:t>
      </w:r>
    </w:p>
    <w:p>
      <w:pPr>
        <w:spacing w:after="0" w:line="230" w:lineRule="exact"/>
        <w:rPr>
          <w:sz w:val="20"/>
          <w:szCs w:val="20"/>
          <w:color w:val="auto"/>
        </w:rPr>
      </w:pPr>
    </w:p>
    <w:p>
      <w:pPr>
        <w:jc w:val="both"/>
        <w:ind w:left="820" w:right="479"/>
        <w:spacing w:after="0" w:line="286" w:lineRule="auto"/>
        <w:rPr>
          <w:sz w:val="20"/>
          <w:szCs w:val="20"/>
          <w:color w:val="auto"/>
        </w:rPr>
      </w:pPr>
      <w:r>
        <w:rPr>
          <w:rFonts w:ascii="Arial" w:cs="Arial" w:eastAsia="Arial" w:hAnsi="Arial"/>
          <w:sz w:val="16"/>
          <w:szCs w:val="16"/>
          <w:color w:val="auto"/>
        </w:rPr>
        <w:t>All services rendered for these fees were pre-approved by the Audit Committee in accordance with the Audit Committee’s pre-approval policies and procedures.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49" w:lineRule="exact"/>
        <w:rPr>
          <w:sz w:val="20"/>
          <w:szCs w:val="20"/>
          <w:color w:val="auto"/>
        </w:rPr>
      </w:pPr>
    </w:p>
    <w:p>
      <w:pPr>
        <w:jc w:val="both"/>
        <w:ind w:left="820" w:right="459"/>
        <w:spacing w:after="0" w:line="259" w:lineRule="auto"/>
        <w:rPr>
          <w:sz w:val="20"/>
          <w:szCs w:val="20"/>
          <w:color w:val="auto"/>
        </w:rPr>
      </w:pPr>
      <w:r>
        <w:rPr>
          <w:rFonts w:ascii="Arial" w:cs="Arial" w:eastAsia="Arial" w:hAnsi="Arial"/>
          <w:sz w:val="16"/>
          <w:szCs w:val="16"/>
          <w:color w:val="auto"/>
        </w:rPr>
        <w:t>The Audit Committee has adopted a policy and procedures for the pre-approval of audit and non-audit services rendered by our independent registered public accounting firm, KPMG.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w:t>
      </w:r>
    </w:p>
    <w:p>
      <w:pPr>
        <w:ind w:left="820"/>
        <w:spacing w:after="0" w:line="185" w:lineRule="auto"/>
        <w:rPr>
          <w:sz w:val="20"/>
          <w:szCs w:val="20"/>
          <w:color w:val="auto"/>
        </w:rPr>
      </w:pPr>
      <w:r>
        <w:rPr>
          <w:rFonts w:ascii="Arial" w:cs="Arial" w:eastAsia="Arial" w:hAnsi="Arial"/>
          <w:sz w:val="11"/>
          <w:szCs w:val="11"/>
          <w:color w:val="auto"/>
        </w:rPr>
        <w:t>meeting.</w:t>
      </w:r>
    </w:p>
    <w:p>
      <w:pPr>
        <w:ind w:left="820"/>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jc w:val="both"/>
        <w:ind w:left="820" w:right="479"/>
        <w:spacing w:after="0" w:line="283" w:lineRule="auto"/>
        <w:rPr>
          <w:sz w:val="20"/>
          <w:szCs w:val="20"/>
          <w:color w:val="auto"/>
        </w:rPr>
      </w:pPr>
      <w:r>
        <w:rPr>
          <w:rFonts w:ascii="Arial" w:cs="Arial" w:eastAsia="Arial" w:hAnsi="Arial"/>
          <w:sz w:val="16"/>
          <w:szCs w:val="16"/>
          <w:color w:val="auto"/>
        </w:rPr>
        <w:t>The Audit Committee has determined that the rendering of services, such as tax advice, other than audit services by KPMG is compatible with maintaining the principal accountant’s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220345</wp:posOffset>
            </wp:positionV>
            <wp:extent cx="179705"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9705" cy="171450"/>
                    </a:xfrm>
                    <a:prstGeom prst="rect">
                      <a:avLst/>
                    </a:prstGeom>
                    <a:noFill/>
                  </pic:spPr>
                </pic:pic>
              </a:graphicData>
            </a:graphic>
          </wp:anchor>
        </w:drawing>
      </w:r>
    </w:p>
    <w:p>
      <w:pPr>
        <w:spacing w:after="0" w:line="33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in Favor of Proposal 2.</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22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113665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539"/>
          </w:cols>
          <w:pgMar w:left="920" w:top="114"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820"/>
        <w:spacing w:after="0"/>
        <w:rPr>
          <w:sz w:val="20"/>
          <w:szCs w:val="20"/>
          <w:color w:val="auto"/>
        </w:rPr>
      </w:pPr>
      <w:r>
        <w:rPr>
          <w:rFonts w:ascii="Arial" w:cs="Arial" w:eastAsia="Arial" w:hAnsi="Arial"/>
          <w:sz w:val="43"/>
          <w:szCs w:val="43"/>
          <w:b w:val="1"/>
          <w:bCs w:val="1"/>
          <w:color w:val="auto"/>
        </w:rPr>
        <w:t>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99060</wp:posOffset>
            </wp:positionV>
            <wp:extent cx="6377940" cy="5674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377940" cy="567499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EE3434"/>
        </w:rPr>
        <w:t>ADVISORY VOTE ON EXECUTIVE COMPENSATION</w:t>
      </w:r>
    </w:p>
    <w:p>
      <w:pPr>
        <w:spacing w:after="0" w:line="153" w:lineRule="exact"/>
        <w:rPr>
          <w:sz w:val="20"/>
          <w:szCs w:val="20"/>
          <w:color w:val="auto"/>
        </w:rPr>
      </w:pPr>
    </w:p>
    <w:p>
      <w:pPr>
        <w:jc w:val="both"/>
        <w:ind w:left="820" w:right="640"/>
        <w:spacing w:after="0" w:line="264" w:lineRule="auto"/>
        <w:rPr>
          <w:sz w:val="20"/>
          <w:szCs w:val="20"/>
          <w:color w:val="auto"/>
        </w:rPr>
      </w:pPr>
      <w:r>
        <w:rPr>
          <w:rFonts w:ascii="Arial" w:cs="Arial" w:eastAsia="Arial" w:hAnsi="Arial"/>
          <w:sz w:val="16"/>
          <w:szCs w:val="16"/>
          <w:color w:val="auto"/>
        </w:rPr>
        <w:t>We are asking our stockholders to vote to approve, on an advisory basis, the compensation of our Named Executive Officers for 2025 as disclosed in this Proxy Statement, in accordance with the requirements of Section 14A of the Exchange Act. As described in detail under the heading “Compensation Discussion and Analysis,” our executive compensation program is designed to drive and reward performance and align the compensation of our Named Executive Officers with the long-term interests of our stockholders. Please read the “Compensation Discussion and Analysis” and the compensation tables and narrative disclosure that follow for additional details about our executive compensation program, including information about the 2025 compensation of our Named Executive Officers.</w:t>
      </w:r>
    </w:p>
    <w:p>
      <w:pPr>
        <w:spacing w:after="0" w:line="122" w:lineRule="exact"/>
        <w:rPr>
          <w:sz w:val="20"/>
          <w:szCs w:val="20"/>
          <w:color w:val="auto"/>
        </w:rPr>
      </w:pPr>
    </w:p>
    <w:p>
      <w:pPr>
        <w:jc w:val="both"/>
        <w:ind w:left="820" w:right="640"/>
        <w:spacing w:after="0" w:line="254" w:lineRule="auto"/>
        <w:rPr>
          <w:sz w:val="20"/>
          <w:szCs w:val="20"/>
          <w:color w:val="auto"/>
        </w:rPr>
      </w:pPr>
      <w:r>
        <w:rPr>
          <w:rFonts w:ascii="Arial" w:cs="Arial" w:eastAsia="Arial" w:hAnsi="Arial"/>
          <w:sz w:val="16"/>
          <w:szCs w:val="16"/>
          <w:color w:val="auto"/>
        </w:rPr>
        <w:t>This proposal, commonly known as a “say-on-pay” proposal, gives our stockholders the opportunity to express their views on our Named Executive Officers’ compensation as a whole. This vote is not intended to address any specific element of compensation but rather the overall compensation of our Named Executive Officers and the philosophy, policies and practices described in this Proxy Statement. Our Board of Directors and our Compensation Committee believe that these policies and practices are effective in implementing our compensation philosophy and in achieving our compensation program goals.</w:t>
      </w:r>
    </w:p>
    <w:p>
      <w:pPr>
        <w:spacing w:after="0" w:line="114" w:lineRule="exact"/>
        <w:rPr>
          <w:sz w:val="20"/>
          <w:szCs w:val="20"/>
          <w:color w:val="auto"/>
        </w:rPr>
      </w:pPr>
    </w:p>
    <w:p>
      <w:pPr>
        <w:jc w:val="both"/>
        <w:ind w:left="820" w:right="640"/>
        <w:spacing w:after="0" w:line="252" w:lineRule="auto"/>
        <w:rPr>
          <w:sz w:val="20"/>
          <w:szCs w:val="20"/>
          <w:color w:val="auto"/>
        </w:rPr>
      </w:pPr>
      <w:r>
        <w:rPr>
          <w:rFonts w:ascii="Arial" w:cs="Arial" w:eastAsia="Arial" w:hAnsi="Arial"/>
          <w:sz w:val="16"/>
          <w:szCs w:val="16"/>
          <w:color w:val="auto"/>
        </w:rPr>
        <w:t>Since 2023, we have conducted ongoing and extensive outreach to connect directly with our stockholders and get their feedback on various pay and governance topics, including regarding the results of our most recent say-on-pay vote. In response to the feedback we received, we made meaningful changes to our executive compensation program for 2024 and 2025, and we continue to improve our programs with changes for 2026 that are directly responsive to stockholder feedback. Our outreach initiatives, as well as the related changes to our executive compensation programs for 2025, are described in more detail below under the section titled “Compensation Discussion and Analysis — 2025 “Say-on-Pay” Advisory Stockholder Vote on Executive Compensation &amp; Stockholder Engagement.”</w:t>
      </w:r>
    </w:p>
    <w:p>
      <w:pPr>
        <w:spacing w:after="0" w:line="308" w:lineRule="exact"/>
        <w:rPr>
          <w:sz w:val="20"/>
          <w:szCs w:val="20"/>
          <w:color w:val="auto"/>
        </w:rPr>
      </w:pPr>
    </w:p>
    <w:p>
      <w:pPr>
        <w:ind w:left="820"/>
        <w:spacing w:after="0"/>
        <w:rPr>
          <w:sz w:val="20"/>
          <w:szCs w:val="20"/>
          <w:color w:val="auto"/>
        </w:rPr>
      </w:pPr>
      <w:r>
        <w:rPr>
          <w:rFonts w:ascii="Arial" w:cs="Arial" w:eastAsia="Arial" w:hAnsi="Arial"/>
          <w:sz w:val="16"/>
          <w:szCs w:val="16"/>
          <w:color w:val="auto"/>
        </w:rPr>
        <w:t>Accordingly, we are asking our stockholders to vote “For” the following resolution:</w:t>
      </w:r>
    </w:p>
    <w:p>
      <w:pPr>
        <w:spacing w:after="0" w:line="154" w:lineRule="exact"/>
        <w:rPr>
          <w:sz w:val="20"/>
          <w:szCs w:val="20"/>
          <w:color w:val="auto"/>
        </w:rPr>
      </w:pPr>
    </w:p>
    <w:p>
      <w:pPr>
        <w:jc w:val="both"/>
        <w:ind w:left="820" w:right="640"/>
        <w:spacing w:after="0" w:line="259"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stockholders hereby approve, on an advisory non-binding basis, the compensation paid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Named Executive Officers, as disclosed in this Proxy Statement, pursuant to the compensation disclosure rules of the SEC, including the Compensation Discussion and Analysis, the compensation tables and the narrative discussions that accompany the compensation tables.</w:t>
      </w:r>
    </w:p>
    <w:p>
      <w:pPr>
        <w:spacing w:after="0" w:line="110"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Vote Required</w:t>
      </w:r>
    </w:p>
    <w:p>
      <w:pPr>
        <w:spacing w:after="0" w:line="154" w:lineRule="exact"/>
        <w:rPr>
          <w:sz w:val="20"/>
          <w:szCs w:val="20"/>
          <w:color w:val="auto"/>
        </w:rPr>
      </w:pPr>
    </w:p>
    <w:p>
      <w:pPr>
        <w:jc w:val="both"/>
        <w:ind w:left="820" w:right="660"/>
        <w:spacing w:after="0" w:line="286" w:lineRule="auto"/>
        <w:rPr>
          <w:sz w:val="20"/>
          <w:szCs w:val="20"/>
          <w:color w:val="auto"/>
        </w:rPr>
      </w:pPr>
      <w:r>
        <w:rPr>
          <w:rFonts w:ascii="Arial" w:cs="Arial" w:eastAsia="Arial" w:hAnsi="Arial"/>
          <w:sz w:val="16"/>
          <w:szCs w:val="16"/>
          <w:color w:val="auto"/>
        </w:rPr>
        <w:t>The approval of this advisory proposal requires the affirmative vote of a majority in voting power of the votes cast (excluding abstentions and broker non-votes).</w:t>
      </w:r>
    </w:p>
    <w:p>
      <w:pPr>
        <w:spacing w:after="0" w:line="88" w:lineRule="exact"/>
        <w:rPr>
          <w:sz w:val="20"/>
          <w:szCs w:val="20"/>
          <w:color w:val="auto"/>
        </w:rPr>
      </w:pPr>
    </w:p>
    <w:p>
      <w:pPr>
        <w:jc w:val="both"/>
        <w:ind w:left="820" w:right="640"/>
        <w:spacing w:after="0" w:line="259" w:lineRule="auto"/>
        <w:rPr>
          <w:sz w:val="20"/>
          <w:szCs w:val="20"/>
          <w:color w:val="auto"/>
        </w:rPr>
      </w:pPr>
      <w:r>
        <w:rPr>
          <w:rFonts w:ascii="Arial" w:cs="Arial" w:eastAsia="Arial" w:hAnsi="Arial"/>
          <w:sz w:val="16"/>
          <w:szCs w:val="16"/>
          <w:color w:val="auto"/>
        </w:rPr>
        <w:t>As an advisory vote, the outcome of the vote on this proposal is not binding. However, our management team, our Board of Directors and our Compensation Committee, which is responsible for designing and administering our executive compensation program, value the opinions expressed by our stockholders, whether through this vote or otherwise, and will consider the outcome of this vote when making future executive compensation decisions.</w:t>
      </w:r>
    </w:p>
    <w:p>
      <w:pPr>
        <w:spacing w:after="0" w:line="110" w:lineRule="exact"/>
        <w:rPr>
          <w:sz w:val="20"/>
          <w:szCs w:val="20"/>
          <w:color w:val="auto"/>
        </w:rPr>
      </w:pPr>
    </w:p>
    <w:p>
      <w:pPr>
        <w:jc w:val="both"/>
        <w:ind w:left="820" w:right="660"/>
        <w:spacing w:after="0" w:line="286" w:lineRule="auto"/>
        <w:rPr>
          <w:sz w:val="20"/>
          <w:szCs w:val="20"/>
          <w:color w:val="auto"/>
        </w:rPr>
      </w:pPr>
      <w:r>
        <w:rPr>
          <w:rFonts w:ascii="Arial" w:cs="Arial" w:eastAsia="Arial" w:hAnsi="Arial"/>
          <w:sz w:val="16"/>
          <w:szCs w:val="16"/>
          <w:color w:val="auto"/>
        </w:rPr>
        <w:t>We currently conduct annual advisory votes on executive compensation and expect to conduct the next advisory vote at our next annual meeting of stockholders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253365</wp:posOffset>
            </wp:positionV>
            <wp:extent cx="179705"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9705" cy="171450"/>
                    </a:xfrm>
                    <a:prstGeom prst="rect">
                      <a:avLst/>
                    </a:prstGeom>
                    <a:noFill/>
                  </pic:spPr>
                </pic:pic>
              </a:graphicData>
            </a:graphic>
          </wp:anchor>
        </w:drawing>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of Directors Recommends a Vote in Favor of Proposal 3.</w:t>
      </w:r>
    </w:p>
    <w:p>
      <w:pPr>
        <w:spacing w:after="0" w:line="25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121920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880"/>
          </w:cols>
          <w:pgMar w:left="920" w:top="114" w:right="10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660" w:right="1039"/>
        <w:spacing w:after="0" w:line="259" w:lineRule="auto"/>
        <w:rPr>
          <w:sz w:val="20"/>
          <w:szCs w:val="20"/>
          <w:color w:val="auto"/>
        </w:rPr>
      </w:pPr>
      <w:r>
        <w:rPr>
          <w:rFonts w:ascii="Arial" w:cs="Arial" w:eastAsia="Arial" w:hAnsi="Arial"/>
          <w:sz w:val="43"/>
          <w:szCs w:val="43"/>
          <w:b w:val="1"/>
          <w:bCs w:val="1"/>
          <w:color w:val="auto"/>
        </w:rPr>
        <w:t>SECURITY OWNERSHIP OF CERTAIN BENEFICIAL OWNERS AND MANAGEMENT AND RELATED STOCKHOLDER MATTERS</w:t>
      </w:r>
    </w:p>
    <w:p>
      <w:pPr>
        <w:spacing w:after="0" w:line="41" w:lineRule="exact"/>
        <w:rPr>
          <w:sz w:val="20"/>
          <w:szCs w:val="20"/>
          <w:color w:val="auto"/>
        </w:rPr>
      </w:pPr>
    </w:p>
    <w:p>
      <w:pPr>
        <w:jc w:val="both"/>
        <w:ind w:left="660" w:right="299"/>
        <w:spacing w:after="0" w:line="256" w:lineRule="auto"/>
        <w:rPr>
          <w:sz w:val="20"/>
          <w:szCs w:val="20"/>
          <w:color w:val="auto"/>
        </w:rPr>
      </w:pPr>
      <w:r>
        <w:rPr>
          <w:rFonts w:ascii="Arial" w:cs="Arial" w:eastAsia="Arial" w:hAnsi="Arial"/>
          <w:sz w:val="16"/>
          <w:szCs w:val="16"/>
          <w:color w:val="auto"/>
        </w:rPr>
        <w:t>The following table sets forth certain information regarding the ownership of our common stock as of March 15, 2026 (or as of the date otherwise indicated below), by: (i) all those known by us to be beneficial owners of more than five percent of our common stock; (ii) each of our Named Executive Officers listed in the 2025 Summary Compensation Table below; (iii) each director and nominee for director; and (iv) all our current executive officers and directors as a group.</w:t>
      </w:r>
    </w:p>
    <w:p>
      <w:pPr>
        <w:spacing w:after="0" w:line="112" w:lineRule="exact"/>
        <w:rPr>
          <w:sz w:val="20"/>
          <w:szCs w:val="20"/>
          <w:color w:val="auto"/>
        </w:rPr>
      </w:pPr>
    </w:p>
    <w:p>
      <w:pPr>
        <w:jc w:val="both"/>
        <w:ind w:left="660" w:right="299"/>
        <w:spacing w:after="0" w:line="250" w:lineRule="auto"/>
        <w:rPr>
          <w:sz w:val="20"/>
          <w:szCs w:val="20"/>
          <w:color w:val="auto"/>
        </w:rPr>
      </w:pPr>
      <w:r>
        <w:rPr>
          <w:rFonts w:ascii="Arial" w:cs="Arial" w:eastAsia="Arial" w:hAnsi="Arial"/>
          <w:sz w:val="16"/>
          <w:szCs w:val="16"/>
          <w:color w:val="auto"/>
        </w:rPr>
        <w:t>Applicable percentages are based on 155,806,663 shares of common stock outstanding on March 15, 2026. We have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capital stock issuable pursuant to the exercise of stock options or warrants that are either immediately exercisable or exercisable on or before May 14, 2026, which is 60 days after March 15, 2026.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persons or entities identified in this table have sole voting and investment power with respect to all shares shown as beneficially owned by them, subject to applicable community property laws.</w:t>
      </w:r>
    </w:p>
    <w:p>
      <w:pPr>
        <w:spacing w:after="0" w:line="108"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6"/>
          <w:szCs w:val="16"/>
          <w:color w:val="auto"/>
        </w:rPr>
        <w:t>The information contained in the following table is not necessarily indicative of beneficial ownership for any other purpose, and the inclusion of any shares in the table does not constitute an admission of beneficial ownership of those shares. Except as otherwise noted below, the address for persons listed in the table is c/o Fastly, Inc., 475 Brannan Street, Suite 300, San Francisco, California, 94107.</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185"/>
        </w:trPr>
        <w:tc>
          <w:tcPr>
            <w:tcW w:w="5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 Beneficial Ownership</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Name of Beneficial Owner</w:t>
            </w:r>
          </w:p>
        </w:tc>
        <w:tc>
          <w:tcPr>
            <w:tcW w:w="1300" w:type="dxa"/>
            <w:vAlign w:val="bottom"/>
            <w:tcBorders>
              <w:top w:val="single" w:sz="8" w:color="404040"/>
              <w:bottom w:val="single" w:sz="8" w:color="404040"/>
            </w:tcBorders>
          </w:tcPr>
          <w:p>
            <w:pPr>
              <w:spacing w:after="0"/>
              <w:rPr>
                <w:sz w:val="14"/>
                <w:szCs w:val="14"/>
                <w:color w:val="auto"/>
              </w:rPr>
            </w:pPr>
          </w:p>
        </w:tc>
        <w:tc>
          <w:tcPr>
            <w:tcW w:w="1160" w:type="dxa"/>
            <w:vAlign w:val="bottom"/>
            <w:tcBorders>
              <w:top w:val="single" w:sz="8" w:color="404040"/>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Borders>
              <w:bottom w:val="single" w:sz="8" w:color="404040"/>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60" w:type="dxa"/>
            <w:vAlign w:val="bottom"/>
            <w:tcBorders>
              <w:bottom w:val="single" w:sz="8" w:color="404040"/>
            </w:tcBorders>
            <w:gridSpan w:val="2"/>
            <w:vMerge w:val="continue"/>
          </w:tcPr>
          <w:p>
            <w:pPr>
              <w:spacing w:after="0"/>
              <w:rPr>
                <w:sz w:val="14"/>
                <w:szCs w:val="14"/>
                <w:color w:val="auto"/>
              </w:rPr>
            </w:pPr>
          </w:p>
        </w:tc>
        <w:tc>
          <w:tcPr>
            <w:tcW w:w="1300" w:type="dxa"/>
            <w:vAlign w:val="bottom"/>
            <w:tcBorders>
              <w:bottom w:val="single" w:sz="8" w:color="404040"/>
            </w:tcBorders>
          </w:tcPr>
          <w:p>
            <w:pPr>
              <w:jc w:val="right"/>
              <w:ind w:right="20"/>
              <w:spacing w:after="0"/>
              <w:rPr>
                <w:sz w:val="20"/>
                <w:szCs w:val="20"/>
                <w:color w:val="auto"/>
              </w:rPr>
            </w:pPr>
            <w:r>
              <w:rPr>
                <w:rFonts w:ascii="Arial" w:cs="Arial" w:eastAsia="Arial" w:hAnsi="Arial"/>
                <w:sz w:val="14"/>
                <w:szCs w:val="14"/>
                <w:b w:val="1"/>
                <w:bCs w:val="1"/>
                <w:color w:val="auto"/>
              </w:rPr>
              <w:t>Shares</w:t>
            </w:r>
          </w:p>
        </w:tc>
        <w:tc>
          <w:tcPr>
            <w:tcW w:w="1180" w:type="dxa"/>
            <w:vAlign w:val="bottom"/>
            <w:tcBorders>
              <w:bottom w:val="single" w:sz="8" w:color="404040"/>
            </w:tcBorders>
            <w:gridSpan w:val="2"/>
          </w:tcPr>
          <w:p>
            <w:pPr>
              <w:jc w:val="right"/>
              <w:ind w:right="2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404040"/>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404040"/>
            </w:tcBorders>
            <w:shd w:val="clear" w:color="auto" w:fill="F1F3F7"/>
          </w:tcPr>
          <w:p>
            <w:pPr>
              <w:ind w:left="60"/>
              <w:spacing w:after="0"/>
              <w:rPr>
                <w:sz w:val="20"/>
                <w:szCs w:val="20"/>
                <w:color w:val="auto"/>
              </w:rPr>
            </w:pPr>
            <w:r>
              <w:rPr>
                <w:rFonts w:ascii="Arial" w:cs="Arial" w:eastAsia="Arial" w:hAnsi="Arial"/>
                <w:sz w:val="16"/>
                <w:szCs w:val="16"/>
                <w:b w:val="1"/>
                <w:bCs w:val="1"/>
                <w:color w:val="auto"/>
              </w:rPr>
              <w:t>5% Stockholders:</w:t>
            </w:r>
          </w:p>
        </w:tc>
        <w:tc>
          <w:tcPr>
            <w:tcW w:w="200" w:type="dxa"/>
            <w:vAlign w:val="bottom"/>
            <w:tcBorders>
              <w:bottom w:val="single" w:sz="8" w:color="404040"/>
            </w:tcBorders>
          </w:tcPr>
          <w:p>
            <w:pPr>
              <w:spacing w:after="0"/>
              <w:rPr>
                <w:sz w:val="17"/>
                <w:szCs w:val="17"/>
                <w:color w:val="auto"/>
              </w:rPr>
            </w:pPr>
          </w:p>
        </w:tc>
        <w:tc>
          <w:tcPr>
            <w:tcW w:w="1300" w:type="dxa"/>
            <w:vAlign w:val="bottom"/>
            <w:tcBorders>
              <w:bottom w:val="single" w:sz="8" w:color="404040"/>
            </w:tcBorders>
          </w:tcPr>
          <w:p>
            <w:pPr>
              <w:spacing w:after="0"/>
              <w:rPr>
                <w:sz w:val="17"/>
                <w:szCs w:val="17"/>
                <w:color w:val="auto"/>
              </w:rPr>
            </w:pPr>
          </w:p>
        </w:tc>
        <w:tc>
          <w:tcPr>
            <w:tcW w:w="1160" w:type="dxa"/>
            <w:vAlign w:val="bottom"/>
            <w:tcBorders>
              <w:bottom w:val="single" w:sz="8" w:color="404040"/>
            </w:tcBorders>
          </w:tcPr>
          <w:p>
            <w:pPr>
              <w:spacing w:after="0"/>
              <w:rPr>
                <w:sz w:val="17"/>
                <w:szCs w:val="17"/>
                <w:color w:val="auto"/>
              </w:rPr>
            </w:pPr>
          </w:p>
        </w:tc>
        <w:tc>
          <w:tcPr>
            <w:tcW w:w="20" w:type="dxa"/>
            <w:vAlign w:val="bottom"/>
            <w:tcBorders>
              <w:bottom w:val="single" w:sz="8" w:color="404040"/>
            </w:tcBorders>
          </w:tcPr>
          <w:p>
            <w:pPr>
              <w:spacing w:after="0"/>
              <w:rPr>
                <w:sz w:val="17"/>
                <w:szCs w:val="17"/>
                <w:color w:val="auto"/>
              </w:rPr>
            </w:pPr>
          </w:p>
        </w:tc>
        <w:tc>
          <w:tcPr>
            <w:tcW w:w="80" w:type="dxa"/>
            <w:vAlign w:val="bottom"/>
            <w:tcBorders>
              <w:bottom w:val="single" w:sz="8" w:color="404040"/>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Entities Affiliated with Blackrock</w:t>
            </w:r>
            <w:r>
              <w:rPr>
                <w:rFonts w:ascii="Arial" w:cs="Arial" w:eastAsia="Arial" w:hAnsi="Arial"/>
                <w:sz w:val="26"/>
                <w:szCs w:val="26"/>
                <w:color w:val="auto"/>
                <w:vertAlign w:val="superscript"/>
              </w:rPr>
              <w:t>(1)</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40"/>
              <w:spacing w:after="0"/>
              <w:rPr>
                <w:sz w:val="20"/>
                <w:szCs w:val="20"/>
                <w:color w:val="auto"/>
              </w:rPr>
            </w:pPr>
            <w:r>
              <w:rPr>
                <w:rFonts w:ascii="Arial" w:cs="Arial" w:eastAsia="Arial" w:hAnsi="Arial"/>
                <w:sz w:val="16"/>
                <w:szCs w:val="16"/>
                <w:color w:val="auto"/>
              </w:rPr>
              <w:t>11,333,297</w:t>
            </w:r>
          </w:p>
        </w:tc>
        <w:tc>
          <w:tcPr>
            <w:tcW w:w="1160" w:type="dxa"/>
            <w:vAlign w:val="bottom"/>
            <w:tcBorders>
              <w:bottom w:val="single" w:sz="8" w:color="404040"/>
            </w:tcBorders>
          </w:tcPr>
          <w:p>
            <w:pPr>
              <w:jc w:val="right"/>
              <w:ind w:right="80"/>
              <w:spacing w:after="0"/>
              <w:rPr>
                <w:sz w:val="20"/>
                <w:szCs w:val="20"/>
                <w:color w:val="auto"/>
              </w:rPr>
            </w:pPr>
            <w:r>
              <w:rPr>
                <w:rFonts w:ascii="Arial" w:cs="Arial" w:eastAsia="Arial" w:hAnsi="Arial"/>
                <w:sz w:val="16"/>
                <w:szCs w:val="16"/>
                <w:color w:val="auto"/>
              </w:rPr>
              <w:t>7.3</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Entities Affiliated with Morgan Stanley</w:t>
            </w:r>
            <w:r>
              <w:rPr>
                <w:rFonts w:ascii="Arial" w:cs="Arial" w:eastAsia="Arial" w:hAnsi="Arial"/>
                <w:sz w:val="26"/>
                <w:szCs w:val="26"/>
                <w:color w:val="auto"/>
                <w:vertAlign w:val="superscript"/>
              </w:rPr>
              <w:t>(2)</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40"/>
              <w:spacing w:after="0"/>
              <w:rPr>
                <w:sz w:val="20"/>
                <w:szCs w:val="20"/>
                <w:color w:val="auto"/>
              </w:rPr>
            </w:pPr>
            <w:r>
              <w:rPr>
                <w:rFonts w:ascii="Arial" w:cs="Arial" w:eastAsia="Arial" w:hAnsi="Arial"/>
                <w:sz w:val="16"/>
                <w:szCs w:val="16"/>
                <w:color w:val="auto"/>
              </w:rPr>
              <w:t>8,073,950</w:t>
            </w:r>
          </w:p>
        </w:tc>
        <w:tc>
          <w:tcPr>
            <w:tcW w:w="1160" w:type="dxa"/>
            <w:vAlign w:val="bottom"/>
            <w:tcBorders>
              <w:bottom w:val="single" w:sz="8" w:color="404040"/>
            </w:tcBorders>
          </w:tcPr>
          <w:p>
            <w:pPr>
              <w:jc w:val="right"/>
              <w:ind w:right="80"/>
              <w:spacing w:after="0"/>
              <w:rPr>
                <w:sz w:val="20"/>
                <w:szCs w:val="20"/>
                <w:color w:val="auto"/>
              </w:rPr>
            </w:pPr>
            <w:r>
              <w:rPr>
                <w:rFonts w:ascii="Arial" w:cs="Arial" w:eastAsia="Arial" w:hAnsi="Arial"/>
                <w:sz w:val="16"/>
                <w:szCs w:val="16"/>
                <w:color w:val="auto"/>
              </w:rPr>
              <w:t>5.2</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Entities Affiliated with Vanguard</w:t>
            </w:r>
            <w:r>
              <w:rPr>
                <w:rFonts w:ascii="Arial" w:cs="Arial" w:eastAsia="Arial" w:hAnsi="Arial"/>
                <w:sz w:val="26"/>
                <w:szCs w:val="26"/>
                <w:color w:val="auto"/>
                <w:vertAlign w:val="superscript"/>
              </w:rPr>
              <w:t>(3)</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60"/>
              <w:spacing w:after="0"/>
              <w:rPr>
                <w:sz w:val="20"/>
                <w:szCs w:val="20"/>
                <w:color w:val="auto"/>
              </w:rPr>
            </w:pPr>
            <w:r>
              <w:rPr>
                <w:rFonts w:ascii="Arial" w:cs="Arial" w:eastAsia="Arial" w:hAnsi="Arial"/>
                <w:sz w:val="16"/>
                <w:szCs w:val="16"/>
                <w:color w:val="auto"/>
              </w:rPr>
              <w:t>16,111,511</w:t>
            </w:r>
          </w:p>
        </w:tc>
        <w:tc>
          <w:tcPr>
            <w:tcW w:w="1160" w:type="dxa"/>
            <w:vAlign w:val="bottom"/>
            <w:tcBorders>
              <w:bottom w:val="single" w:sz="8" w:color="404040"/>
            </w:tcBorders>
          </w:tcPr>
          <w:p>
            <w:pPr>
              <w:jc w:val="right"/>
              <w:ind w:right="60"/>
              <w:spacing w:after="0"/>
              <w:rPr>
                <w:sz w:val="20"/>
                <w:szCs w:val="20"/>
                <w:color w:val="auto"/>
              </w:rPr>
            </w:pPr>
            <w:r>
              <w:rPr>
                <w:rFonts w:ascii="Arial" w:cs="Arial" w:eastAsia="Arial" w:hAnsi="Arial"/>
                <w:sz w:val="16"/>
                <w:szCs w:val="16"/>
                <w:color w:val="auto"/>
              </w:rPr>
              <w:t>10.3</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404040"/>
            </w:tcBorders>
            <w:shd w:val="clear" w:color="auto" w:fill="F1F3F7"/>
          </w:tcPr>
          <w:p>
            <w:pPr>
              <w:ind w:left="60"/>
              <w:spacing w:after="0"/>
              <w:rPr>
                <w:sz w:val="20"/>
                <w:szCs w:val="20"/>
                <w:color w:val="auto"/>
              </w:rPr>
            </w:pPr>
            <w:r>
              <w:rPr>
                <w:rFonts w:ascii="Arial" w:cs="Arial" w:eastAsia="Arial" w:hAnsi="Arial"/>
                <w:sz w:val="16"/>
                <w:szCs w:val="16"/>
                <w:b w:val="1"/>
                <w:bCs w:val="1"/>
                <w:color w:val="auto"/>
              </w:rPr>
              <w:t>Named Executive Officers and Directors:</w:t>
            </w:r>
          </w:p>
        </w:tc>
        <w:tc>
          <w:tcPr>
            <w:tcW w:w="200" w:type="dxa"/>
            <w:vAlign w:val="bottom"/>
            <w:tcBorders>
              <w:bottom w:val="single" w:sz="8" w:color="404040"/>
            </w:tcBorders>
          </w:tcPr>
          <w:p>
            <w:pPr>
              <w:spacing w:after="0"/>
              <w:rPr>
                <w:sz w:val="17"/>
                <w:szCs w:val="17"/>
                <w:color w:val="auto"/>
              </w:rPr>
            </w:pPr>
          </w:p>
        </w:tc>
        <w:tc>
          <w:tcPr>
            <w:tcW w:w="1300" w:type="dxa"/>
            <w:vAlign w:val="bottom"/>
            <w:tcBorders>
              <w:bottom w:val="single" w:sz="8" w:color="404040"/>
            </w:tcBorders>
          </w:tcPr>
          <w:p>
            <w:pPr>
              <w:spacing w:after="0"/>
              <w:rPr>
                <w:sz w:val="17"/>
                <w:szCs w:val="17"/>
                <w:color w:val="auto"/>
              </w:rPr>
            </w:pPr>
          </w:p>
        </w:tc>
        <w:tc>
          <w:tcPr>
            <w:tcW w:w="1160" w:type="dxa"/>
            <w:vAlign w:val="bottom"/>
            <w:tcBorders>
              <w:bottom w:val="single" w:sz="8" w:color="404040"/>
            </w:tcBorders>
          </w:tcPr>
          <w:p>
            <w:pPr>
              <w:spacing w:after="0"/>
              <w:rPr>
                <w:sz w:val="17"/>
                <w:szCs w:val="17"/>
                <w:color w:val="auto"/>
              </w:rPr>
            </w:pPr>
          </w:p>
        </w:tc>
        <w:tc>
          <w:tcPr>
            <w:tcW w:w="20" w:type="dxa"/>
            <w:vAlign w:val="bottom"/>
            <w:tcBorders>
              <w:bottom w:val="single" w:sz="8" w:color="404040"/>
            </w:tcBorders>
          </w:tcPr>
          <w:p>
            <w:pPr>
              <w:spacing w:after="0"/>
              <w:rPr>
                <w:sz w:val="17"/>
                <w:szCs w:val="17"/>
                <w:color w:val="auto"/>
              </w:rPr>
            </w:pPr>
          </w:p>
        </w:tc>
        <w:tc>
          <w:tcPr>
            <w:tcW w:w="80" w:type="dxa"/>
            <w:vAlign w:val="bottom"/>
            <w:tcBorders>
              <w:bottom w:val="single" w:sz="8" w:color="404040"/>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Aida Álvarez</w:t>
            </w:r>
            <w:r>
              <w:rPr>
                <w:rFonts w:ascii="Arial" w:cs="Arial" w:eastAsia="Arial" w:hAnsi="Arial"/>
                <w:sz w:val="26"/>
                <w:szCs w:val="26"/>
                <w:color w:val="auto"/>
                <w:vertAlign w:val="superscript"/>
              </w:rPr>
              <w:t>(4)</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60"/>
              <w:spacing w:after="0"/>
              <w:rPr>
                <w:sz w:val="20"/>
                <w:szCs w:val="20"/>
                <w:color w:val="auto"/>
              </w:rPr>
            </w:pPr>
            <w:r>
              <w:rPr>
                <w:rFonts w:ascii="Arial" w:cs="Arial" w:eastAsia="Arial" w:hAnsi="Arial"/>
                <w:sz w:val="16"/>
                <w:szCs w:val="16"/>
                <w:color w:val="auto"/>
              </w:rPr>
              <w:t>89,839</w:t>
            </w:r>
          </w:p>
        </w:tc>
        <w:tc>
          <w:tcPr>
            <w:tcW w:w="1160" w:type="dxa"/>
            <w:vAlign w:val="bottom"/>
            <w:tcBorders>
              <w:bottom w:val="single" w:sz="8" w:color="404040"/>
            </w:tcBorders>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Artur Bergman</w:t>
            </w:r>
            <w:r>
              <w:rPr>
                <w:rFonts w:ascii="Arial" w:cs="Arial" w:eastAsia="Arial" w:hAnsi="Arial"/>
                <w:sz w:val="26"/>
                <w:szCs w:val="26"/>
                <w:color w:val="auto"/>
                <w:vertAlign w:val="superscript"/>
              </w:rPr>
              <w:t>(5)</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40"/>
              <w:spacing w:after="0"/>
              <w:rPr>
                <w:sz w:val="20"/>
                <w:szCs w:val="20"/>
                <w:color w:val="auto"/>
              </w:rPr>
            </w:pPr>
            <w:r>
              <w:rPr>
                <w:rFonts w:ascii="Arial" w:cs="Arial" w:eastAsia="Arial" w:hAnsi="Arial"/>
                <w:sz w:val="16"/>
                <w:szCs w:val="16"/>
                <w:color w:val="auto"/>
              </w:rPr>
              <w:t>5,326,063</w:t>
            </w:r>
          </w:p>
        </w:tc>
        <w:tc>
          <w:tcPr>
            <w:tcW w:w="1160" w:type="dxa"/>
            <w:vAlign w:val="bottom"/>
            <w:tcBorders>
              <w:bottom w:val="single" w:sz="8" w:color="404040"/>
            </w:tcBorders>
          </w:tcPr>
          <w:p>
            <w:pPr>
              <w:jc w:val="right"/>
              <w:ind w:right="80"/>
              <w:spacing w:after="0"/>
              <w:rPr>
                <w:sz w:val="20"/>
                <w:szCs w:val="20"/>
                <w:color w:val="auto"/>
              </w:rPr>
            </w:pPr>
            <w:r>
              <w:rPr>
                <w:rFonts w:ascii="Arial" w:cs="Arial" w:eastAsia="Arial" w:hAnsi="Arial"/>
                <w:sz w:val="16"/>
                <w:szCs w:val="16"/>
                <w:color w:val="auto"/>
              </w:rPr>
              <w:t>3.4</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Charles Compton</w:t>
            </w:r>
            <w:r>
              <w:rPr>
                <w:rFonts w:ascii="Arial" w:cs="Arial" w:eastAsia="Arial" w:hAnsi="Arial"/>
                <w:sz w:val="26"/>
                <w:szCs w:val="26"/>
                <w:color w:val="auto"/>
                <w:vertAlign w:val="superscript"/>
              </w:rPr>
              <w:t>(6)</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60"/>
              <w:spacing w:after="0"/>
              <w:rPr>
                <w:sz w:val="20"/>
                <w:szCs w:val="20"/>
                <w:color w:val="auto"/>
              </w:rPr>
            </w:pPr>
            <w:r>
              <w:rPr>
                <w:rFonts w:ascii="Arial" w:cs="Arial" w:eastAsia="Arial" w:hAnsi="Arial"/>
                <w:sz w:val="16"/>
                <w:szCs w:val="16"/>
                <w:color w:val="auto"/>
              </w:rPr>
              <w:t>179,459</w:t>
            </w:r>
          </w:p>
        </w:tc>
        <w:tc>
          <w:tcPr>
            <w:tcW w:w="1160" w:type="dxa"/>
            <w:vAlign w:val="bottom"/>
            <w:tcBorders>
              <w:bottom w:val="single" w:sz="8" w:color="404040"/>
            </w:tcBorders>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Richard Daniels</w:t>
            </w:r>
            <w:r>
              <w:rPr>
                <w:rFonts w:ascii="Arial" w:cs="Arial" w:eastAsia="Arial" w:hAnsi="Arial"/>
                <w:sz w:val="26"/>
                <w:szCs w:val="26"/>
                <w:color w:val="auto"/>
                <w:vertAlign w:val="superscript"/>
              </w:rPr>
              <w:t>(7)</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60"/>
              <w:spacing w:after="0"/>
              <w:rPr>
                <w:sz w:val="20"/>
                <w:szCs w:val="20"/>
                <w:color w:val="auto"/>
              </w:rPr>
            </w:pPr>
            <w:r>
              <w:rPr>
                <w:rFonts w:ascii="Arial" w:cs="Arial" w:eastAsia="Arial" w:hAnsi="Arial"/>
                <w:sz w:val="16"/>
                <w:szCs w:val="16"/>
                <w:color w:val="auto"/>
              </w:rPr>
              <w:t>46,449</w:t>
            </w:r>
          </w:p>
        </w:tc>
        <w:tc>
          <w:tcPr>
            <w:tcW w:w="1160" w:type="dxa"/>
            <w:vAlign w:val="bottom"/>
            <w:tcBorders>
              <w:bottom w:val="single" w:sz="8" w:color="404040"/>
            </w:tcBorders>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David Hornik</w:t>
            </w:r>
            <w:r>
              <w:rPr>
                <w:rFonts w:ascii="Arial" w:cs="Arial" w:eastAsia="Arial" w:hAnsi="Arial"/>
                <w:sz w:val="26"/>
                <w:szCs w:val="26"/>
                <w:color w:val="auto"/>
                <w:vertAlign w:val="superscript"/>
              </w:rPr>
              <w:t>(8)</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60"/>
              <w:spacing w:after="0"/>
              <w:rPr>
                <w:sz w:val="20"/>
                <w:szCs w:val="20"/>
                <w:color w:val="auto"/>
              </w:rPr>
            </w:pPr>
            <w:r>
              <w:rPr>
                <w:rFonts w:ascii="Arial" w:cs="Arial" w:eastAsia="Arial" w:hAnsi="Arial"/>
                <w:sz w:val="16"/>
                <w:szCs w:val="16"/>
                <w:color w:val="auto"/>
              </w:rPr>
              <w:t>253,603</w:t>
            </w:r>
          </w:p>
        </w:tc>
        <w:tc>
          <w:tcPr>
            <w:tcW w:w="1160" w:type="dxa"/>
            <w:vAlign w:val="bottom"/>
            <w:tcBorders>
              <w:bottom w:val="single" w:sz="8" w:color="404040"/>
            </w:tcBorders>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Ronald Kisling</w:t>
            </w:r>
            <w:r>
              <w:rPr>
                <w:rFonts w:ascii="Arial" w:cs="Arial" w:eastAsia="Arial" w:hAnsi="Arial"/>
                <w:sz w:val="26"/>
                <w:szCs w:val="26"/>
                <w:color w:val="auto"/>
                <w:vertAlign w:val="superscript"/>
              </w:rPr>
              <w:t>(9)</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60"/>
              <w:spacing w:after="0"/>
              <w:rPr>
                <w:sz w:val="20"/>
                <w:szCs w:val="20"/>
                <w:color w:val="auto"/>
              </w:rPr>
            </w:pPr>
            <w:r>
              <w:rPr>
                <w:rFonts w:ascii="Arial" w:cs="Arial" w:eastAsia="Arial" w:hAnsi="Arial"/>
                <w:sz w:val="16"/>
                <w:szCs w:val="16"/>
                <w:color w:val="auto"/>
              </w:rPr>
              <w:t>78,348</w:t>
            </w:r>
          </w:p>
        </w:tc>
        <w:tc>
          <w:tcPr>
            <w:tcW w:w="1160" w:type="dxa"/>
            <w:vAlign w:val="bottom"/>
            <w:tcBorders>
              <w:bottom w:val="single" w:sz="8" w:color="404040"/>
            </w:tcBorders>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Paula Loop</w:t>
            </w:r>
            <w:r>
              <w:rPr>
                <w:rFonts w:ascii="Arial" w:cs="Arial" w:eastAsia="Arial" w:hAnsi="Arial"/>
                <w:sz w:val="26"/>
                <w:szCs w:val="26"/>
                <w:color w:val="auto"/>
                <w:vertAlign w:val="superscript"/>
              </w:rPr>
              <w:t>(10)</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60"/>
              <w:spacing w:after="0"/>
              <w:rPr>
                <w:sz w:val="20"/>
                <w:szCs w:val="20"/>
                <w:color w:val="auto"/>
              </w:rPr>
            </w:pPr>
            <w:r>
              <w:rPr>
                <w:rFonts w:ascii="Arial" w:cs="Arial" w:eastAsia="Arial" w:hAnsi="Arial"/>
                <w:sz w:val="16"/>
                <w:szCs w:val="16"/>
                <w:color w:val="auto"/>
              </w:rPr>
              <w:t>81,947</w:t>
            </w:r>
          </w:p>
        </w:tc>
        <w:tc>
          <w:tcPr>
            <w:tcW w:w="1160" w:type="dxa"/>
            <w:vAlign w:val="bottom"/>
            <w:tcBorders>
              <w:bottom w:val="single" w:sz="8" w:color="404040"/>
            </w:tcBorders>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Scott Lovett</w:t>
            </w:r>
            <w:r>
              <w:rPr>
                <w:rFonts w:ascii="Arial" w:cs="Arial" w:eastAsia="Arial" w:hAnsi="Arial"/>
                <w:sz w:val="26"/>
                <w:szCs w:val="26"/>
                <w:color w:val="auto"/>
                <w:vertAlign w:val="superscript"/>
              </w:rPr>
              <w:t>(11)</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60"/>
              <w:spacing w:after="0"/>
              <w:rPr>
                <w:sz w:val="20"/>
                <w:szCs w:val="20"/>
                <w:color w:val="auto"/>
              </w:rPr>
            </w:pPr>
            <w:r>
              <w:rPr>
                <w:rFonts w:ascii="Arial" w:cs="Arial" w:eastAsia="Arial" w:hAnsi="Arial"/>
                <w:sz w:val="16"/>
                <w:szCs w:val="16"/>
                <w:color w:val="auto"/>
              </w:rPr>
              <w:t>132,462</w:t>
            </w:r>
          </w:p>
        </w:tc>
        <w:tc>
          <w:tcPr>
            <w:tcW w:w="1160" w:type="dxa"/>
            <w:vAlign w:val="bottom"/>
            <w:tcBorders>
              <w:bottom w:val="single" w:sz="8" w:color="404040"/>
            </w:tcBorders>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Charles Meyers</w:t>
            </w:r>
            <w:r>
              <w:rPr>
                <w:rFonts w:ascii="Arial" w:cs="Arial" w:eastAsia="Arial" w:hAnsi="Arial"/>
                <w:sz w:val="26"/>
                <w:szCs w:val="26"/>
                <w:color w:val="auto"/>
                <w:vertAlign w:val="superscript"/>
              </w:rPr>
              <w:t>(12)</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60"/>
              <w:spacing w:after="0"/>
              <w:rPr>
                <w:sz w:val="20"/>
                <w:szCs w:val="20"/>
                <w:color w:val="auto"/>
              </w:rPr>
            </w:pPr>
            <w:r>
              <w:rPr>
                <w:rFonts w:ascii="Arial" w:cs="Arial" w:eastAsia="Arial" w:hAnsi="Arial"/>
                <w:sz w:val="16"/>
                <w:szCs w:val="16"/>
                <w:color w:val="auto"/>
              </w:rPr>
              <w:t>81,947</w:t>
            </w:r>
          </w:p>
        </w:tc>
        <w:tc>
          <w:tcPr>
            <w:tcW w:w="1160" w:type="dxa"/>
            <w:vAlign w:val="bottom"/>
            <w:tcBorders>
              <w:bottom w:val="single" w:sz="8" w:color="404040"/>
            </w:tcBorders>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Todd Nightingale</w:t>
            </w:r>
            <w:r>
              <w:rPr>
                <w:rFonts w:ascii="Arial" w:cs="Arial" w:eastAsia="Arial" w:hAnsi="Arial"/>
                <w:sz w:val="26"/>
                <w:szCs w:val="26"/>
                <w:color w:val="auto"/>
                <w:vertAlign w:val="superscript"/>
              </w:rPr>
              <w:t>(13)</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60"/>
              <w:spacing w:after="0"/>
              <w:rPr>
                <w:sz w:val="20"/>
                <w:szCs w:val="20"/>
                <w:color w:val="auto"/>
              </w:rPr>
            </w:pPr>
            <w:r>
              <w:rPr>
                <w:rFonts w:ascii="Arial" w:cs="Arial" w:eastAsia="Arial" w:hAnsi="Arial"/>
                <w:sz w:val="16"/>
                <w:szCs w:val="16"/>
                <w:color w:val="auto"/>
              </w:rPr>
              <w:t>824,044</w:t>
            </w:r>
          </w:p>
        </w:tc>
        <w:tc>
          <w:tcPr>
            <w:tcW w:w="1160" w:type="dxa"/>
            <w:vAlign w:val="bottom"/>
            <w:tcBorders>
              <w:bottom w:val="single" w:sz="8" w:color="404040"/>
            </w:tcBorders>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Christopher B. Paisley</w:t>
            </w:r>
            <w:r>
              <w:rPr>
                <w:rFonts w:ascii="Arial" w:cs="Arial" w:eastAsia="Arial" w:hAnsi="Arial"/>
                <w:sz w:val="26"/>
                <w:szCs w:val="26"/>
                <w:color w:val="auto"/>
                <w:vertAlign w:val="superscript"/>
              </w:rPr>
              <w:t>(14)</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40"/>
              <w:spacing w:after="0"/>
              <w:rPr>
                <w:sz w:val="20"/>
                <w:szCs w:val="20"/>
                <w:color w:val="auto"/>
              </w:rPr>
            </w:pPr>
            <w:r>
              <w:rPr>
                <w:rFonts w:ascii="Arial" w:cs="Arial" w:eastAsia="Arial" w:hAnsi="Arial"/>
                <w:sz w:val="16"/>
                <w:szCs w:val="16"/>
                <w:color w:val="auto"/>
              </w:rPr>
              <w:t>284,485</w:t>
            </w:r>
          </w:p>
        </w:tc>
        <w:tc>
          <w:tcPr>
            <w:tcW w:w="1160" w:type="dxa"/>
            <w:vAlign w:val="bottom"/>
            <w:tcBorders>
              <w:bottom w:val="single" w:sz="8" w:color="404040"/>
            </w:tcBorders>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660" w:type="dxa"/>
            <w:vAlign w:val="bottom"/>
            <w:tcBorders>
              <w:bottom w:val="single" w:sz="8" w:color="404040"/>
            </w:tcBorders>
            <w:shd w:val="clear" w:color="auto" w:fill="F1F3F7"/>
          </w:tcPr>
          <w:p>
            <w:pPr>
              <w:ind w:left="60"/>
              <w:spacing w:after="0" w:line="236" w:lineRule="exact"/>
              <w:rPr>
                <w:sz w:val="20"/>
                <w:szCs w:val="20"/>
                <w:color w:val="auto"/>
              </w:rPr>
            </w:pPr>
            <w:r>
              <w:rPr>
                <w:rFonts w:ascii="Arial" w:cs="Arial" w:eastAsia="Arial" w:hAnsi="Arial"/>
                <w:sz w:val="16"/>
                <w:szCs w:val="16"/>
                <w:color w:val="auto"/>
              </w:rPr>
              <w:t>Vanessa Smith</w:t>
            </w:r>
            <w:r>
              <w:rPr>
                <w:rFonts w:ascii="Arial" w:cs="Arial" w:eastAsia="Arial" w:hAnsi="Arial"/>
                <w:sz w:val="26"/>
                <w:szCs w:val="26"/>
                <w:color w:val="auto"/>
                <w:vertAlign w:val="superscript"/>
              </w:rPr>
              <w:t>(15)</w:t>
            </w:r>
          </w:p>
        </w:tc>
        <w:tc>
          <w:tcPr>
            <w:tcW w:w="200" w:type="dxa"/>
            <w:vAlign w:val="bottom"/>
            <w:tcBorders>
              <w:bottom w:val="single" w:sz="8" w:color="404040"/>
            </w:tcBorders>
          </w:tcPr>
          <w:p>
            <w:pPr>
              <w:spacing w:after="0"/>
              <w:rPr>
                <w:sz w:val="20"/>
                <w:szCs w:val="20"/>
                <w:color w:val="auto"/>
              </w:rPr>
            </w:pPr>
          </w:p>
        </w:tc>
        <w:tc>
          <w:tcPr>
            <w:tcW w:w="1300" w:type="dxa"/>
            <w:vAlign w:val="bottom"/>
            <w:tcBorders>
              <w:bottom w:val="single" w:sz="8" w:color="404040"/>
            </w:tcBorders>
          </w:tcPr>
          <w:p>
            <w:pPr>
              <w:jc w:val="right"/>
              <w:ind w:right="60"/>
              <w:spacing w:after="0"/>
              <w:rPr>
                <w:sz w:val="20"/>
                <w:szCs w:val="20"/>
                <w:color w:val="auto"/>
              </w:rPr>
            </w:pPr>
            <w:r>
              <w:rPr>
                <w:rFonts w:ascii="Arial" w:cs="Arial" w:eastAsia="Arial" w:hAnsi="Arial"/>
                <w:sz w:val="16"/>
                <w:szCs w:val="16"/>
                <w:color w:val="auto"/>
              </w:rPr>
              <w:t>82,439</w:t>
            </w:r>
          </w:p>
        </w:tc>
        <w:tc>
          <w:tcPr>
            <w:tcW w:w="1160" w:type="dxa"/>
            <w:vAlign w:val="bottom"/>
            <w:tcBorders>
              <w:bottom w:val="single" w:sz="8" w:color="404040"/>
            </w:tcBorders>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404040"/>
            </w:tcBorders>
          </w:tcPr>
          <w:p>
            <w:pPr>
              <w:spacing w:after="0"/>
              <w:rPr>
                <w:sz w:val="20"/>
                <w:szCs w:val="20"/>
                <w:color w:val="auto"/>
              </w:rPr>
            </w:pPr>
          </w:p>
        </w:tc>
        <w:tc>
          <w:tcPr>
            <w:tcW w:w="80" w:type="dxa"/>
            <w:vAlign w:val="bottom"/>
            <w:tcBorders>
              <w:bottom w:val="single" w:sz="8" w:color="40404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660" w:type="dxa"/>
            <w:vAlign w:val="bottom"/>
            <w:tcBorders>
              <w:bottom w:val="single" w:sz="8" w:color="404040"/>
            </w:tcBorders>
            <w:shd w:val="clear" w:color="auto" w:fill="F1F3F7"/>
          </w:tcPr>
          <w:p>
            <w:pPr>
              <w:ind w:left="60"/>
              <w:spacing w:after="0"/>
              <w:rPr>
                <w:sz w:val="20"/>
                <w:szCs w:val="20"/>
                <w:color w:val="auto"/>
              </w:rPr>
            </w:pPr>
            <w:r>
              <w:rPr>
                <w:rFonts w:ascii="Arial" w:cs="Arial" w:eastAsia="Arial" w:hAnsi="Arial"/>
                <w:sz w:val="16"/>
                <w:szCs w:val="16"/>
                <w:color w:val="auto"/>
              </w:rPr>
              <w:t>Richard Wong</w:t>
            </w:r>
          </w:p>
        </w:tc>
        <w:tc>
          <w:tcPr>
            <w:tcW w:w="200" w:type="dxa"/>
            <w:vAlign w:val="bottom"/>
            <w:tcBorders>
              <w:bottom w:val="single" w:sz="8" w:color="404040"/>
            </w:tcBorders>
          </w:tcPr>
          <w:p>
            <w:pPr>
              <w:spacing w:after="0"/>
              <w:rPr>
                <w:sz w:val="17"/>
                <w:szCs w:val="17"/>
                <w:color w:val="auto"/>
              </w:rPr>
            </w:pPr>
          </w:p>
        </w:tc>
        <w:tc>
          <w:tcPr>
            <w:tcW w:w="1300" w:type="dxa"/>
            <w:vAlign w:val="bottom"/>
            <w:tcBorders>
              <w:bottom w:val="single" w:sz="8" w:color="404040"/>
            </w:tcBorders>
          </w:tcPr>
          <w:p>
            <w:pPr>
              <w:jc w:val="right"/>
              <w:ind w:right="100"/>
              <w:spacing w:after="0"/>
              <w:rPr>
                <w:sz w:val="20"/>
                <w:szCs w:val="20"/>
                <w:color w:val="auto"/>
              </w:rPr>
            </w:pPr>
            <w:r>
              <w:rPr>
                <w:rFonts w:ascii="Arial" w:cs="Arial" w:eastAsia="Arial" w:hAnsi="Arial"/>
                <w:sz w:val="16"/>
                <w:szCs w:val="16"/>
                <w:color w:val="auto"/>
              </w:rPr>
              <w:t>0</w:t>
            </w:r>
          </w:p>
        </w:tc>
        <w:tc>
          <w:tcPr>
            <w:tcW w:w="1180" w:type="dxa"/>
            <w:vAlign w:val="bottom"/>
            <w:tcBorders>
              <w:bottom w:val="single" w:sz="8" w:color="404040"/>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404040"/>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660" w:type="dxa"/>
            <w:vAlign w:val="bottom"/>
            <w:tcBorders>
              <w:bottom w:val="single" w:sz="8" w:color="404040"/>
            </w:tcBorders>
            <w:shd w:val="clear" w:color="auto" w:fill="F1F3F7"/>
          </w:tcPr>
          <w:p>
            <w:pPr>
              <w:ind w:left="60"/>
              <w:spacing w:after="0" w:line="223" w:lineRule="exact"/>
              <w:rPr>
                <w:sz w:val="20"/>
                <w:szCs w:val="20"/>
                <w:color w:val="auto"/>
              </w:rPr>
            </w:pPr>
            <w:r>
              <w:rPr>
                <w:rFonts w:ascii="Arial" w:cs="Arial" w:eastAsia="Arial" w:hAnsi="Arial"/>
                <w:sz w:val="16"/>
                <w:szCs w:val="16"/>
                <w:b w:val="1"/>
                <w:bCs w:val="1"/>
                <w:color w:val="auto"/>
              </w:rPr>
              <w:t>All current executive officers and directors as a group (11 persons)</w:t>
            </w:r>
            <w:r>
              <w:rPr>
                <w:rFonts w:ascii="Arial" w:cs="Arial" w:eastAsia="Arial" w:hAnsi="Arial"/>
                <w:sz w:val="25"/>
                <w:szCs w:val="25"/>
                <w:b w:val="1"/>
                <w:bCs w:val="1"/>
                <w:color w:val="auto"/>
                <w:vertAlign w:val="superscript"/>
              </w:rPr>
              <w:t>(16)</w:t>
            </w:r>
          </w:p>
        </w:tc>
        <w:tc>
          <w:tcPr>
            <w:tcW w:w="200" w:type="dxa"/>
            <w:vAlign w:val="bottom"/>
            <w:tcBorders>
              <w:bottom w:val="single" w:sz="8" w:color="404040"/>
            </w:tcBorders>
          </w:tcPr>
          <w:p>
            <w:pPr>
              <w:spacing w:after="0"/>
              <w:rPr>
                <w:sz w:val="19"/>
                <w:szCs w:val="19"/>
                <w:color w:val="auto"/>
              </w:rPr>
            </w:pPr>
          </w:p>
        </w:tc>
        <w:tc>
          <w:tcPr>
            <w:tcW w:w="1300" w:type="dxa"/>
            <w:vAlign w:val="bottom"/>
            <w:tcBorders>
              <w:bottom w:val="single" w:sz="8" w:color="404040"/>
            </w:tcBorders>
          </w:tcPr>
          <w:p>
            <w:pPr>
              <w:jc w:val="right"/>
              <w:ind w:right="40"/>
              <w:spacing w:after="0"/>
              <w:rPr>
                <w:sz w:val="20"/>
                <w:szCs w:val="20"/>
                <w:color w:val="auto"/>
              </w:rPr>
            </w:pPr>
            <w:r>
              <w:rPr>
                <w:rFonts w:ascii="Arial" w:cs="Arial" w:eastAsia="Arial" w:hAnsi="Arial"/>
                <w:sz w:val="16"/>
                <w:szCs w:val="16"/>
                <w:color w:val="auto"/>
              </w:rPr>
              <w:t>6,558,693</w:t>
            </w:r>
          </w:p>
        </w:tc>
        <w:tc>
          <w:tcPr>
            <w:tcW w:w="1160" w:type="dxa"/>
            <w:vAlign w:val="bottom"/>
            <w:tcBorders>
              <w:bottom w:val="single" w:sz="8" w:color="404040"/>
            </w:tcBorders>
          </w:tcPr>
          <w:p>
            <w:pPr>
              <w:jc w:val="right"/>
              <w:spacing w:after="0"/>
              <w:rPr>
                <w:sz w:val="20"/>
                <w:szCs w:val="20"/>
                <w:color w:val="auto"/>
              </w:rPr>
            </w:pPr>
            <w:r>
              <w:rPr>
                <w:rFonts w:ascii="Arial" w:cs="Arial" w:eastAsia="Arial" w:hAnsi="Arial"/>
                <w:sz w:val="16"/>
                <w:szCs w:val="16"/>
                <w:color w:val="auto"/>
              </w:rPr>
              <w:t>4.2%</w:t>
            </w:r>
          </w:p>
        </w:tc>
        <w:tc>
          <w:tcPr>
            <w:tcW w:w="20" w:type="dxa"/>
            <w:vAlign w:val="bottom"/>
            <w:tcBorders>
              <w:bottom w:val="single" w:sz="8" w:color="404040"/>
            </w:tcBorders>
          </w:tcPr>
          <w:p>
            <w:pPr>
              <w:spacing w:after="0"/>
              <w:rPr>
                <w:sz w:val="19"/>
                <w:szCs w:val="19"/>
                <w:color w:val="auto"/>
              </w:rPr>
            </w:pPr>
          </w:p>
        </w:tc>
        <w:tc>
          <w:tcPr>
            <w:tcW w:w="80" w:type="dxa"/>
            <w:vAlign w:val="bottom"/>
            <w:tcBorders>
              <w:bottom w:val="single" w:sz="8" w:color="40404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000" w:hanging="348"/>
        <w:spacing w:after="0"/>
        <w:tabs>
          <w:tab w:leader="none" w:pos="10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Less than one percent.</w:t>
      </w:r>
    </w:p>
    <w:p>
      <w:pPr>
        <w:spacing w:after="0" w:line="26" w:lineRule="exact"/>
        <w:rPr>
          <w:sz w:val="20"/>
          <w:szCs w:val="20"/>
          <w:color w:val="auto"/>
        </w:rPr>
      </w:pPr>
    </w:p>
    <w:p>
      <w:pPr>
        <w:jc w:val="both"/>
        <w:ind w:left="1000" w:right="299" w:hanging="348"/>
        <w:spacing w:after="0" w:line="229" w:lineRule="auto"/>
        <w:tabs>
          <w:tab w:leader="none" w:pos="10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Based solely on a report on Schedule 13G filed with the SEC on January 25, 2024. BlackRock, Inc. has sole voting power of 11,004,000 shares of our common stock and sole dispositive power over 11,333,297 shares of our common stock. The Schedule 13G contained information as of December 31, 2023 and may not reflect current holdings of our common stock. The address for BlackRock, Inc. is 50 Hudson Yards, New York, NY 10001.</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24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000" w:right="660" w:hanging="348"/>
        <w:spacing w:after="0" w:line="229"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solely on a report on Schedule 13G/A filed with the SEC on February 11, 2026. Morgan Stanley has shared voting power of 1,019,395 shares of our common stock and shared dispositive power over 8,073,950 shares of our common stock. The Schedule 13G/A contained information as of December 31, 2025 and may not reflect current holdings of our common stock. The address for Morgan Stanley is 1585 Broadway, New York, NY 10036.</w:t>
      </w:r>
    </w:p>
    <w:p>
      <w:pPr>
        <w:jc w:val="both"/>
        <w:ind w:left="1000" w:right="640" w:hanging="348"/>
        <w:spacing w:after="0" w:line="227"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Based solely on a report on Schedule 13G filed with the SEC on July 29, 2025. The Vanguard Group has shared voting power of 85,746 shares of our common stock, sole dispositive power over 15,873,520 shares of our common stock, and shared dispositive power over 237,991 shares of our common stock. The Schedule 13G/A contained information as of June 30, 2025 and may not reflect current holdings of our common stock. The address for The Vanguard Group is 100 Vanguard Blvd., Malvern, PA 19355.</w:t>
      </w:r>
    </w:p>
    <w:p>
      <w:pPr>
        <w:spacing w:after="0" w:line="10" w:lineRule="exact"/>
        <w:rPr>
          <w:rFonts w:ascii="Arial" w:cs="Arial" w:eastAsia="Arial" w:hAnsi="Arial"/>
          <w:sz w:val="13"/>
          <w:szCs w:val="13"/>
          <w:color w:val="auto"/>
        </w:rPr>
      </w:pPr>
    </w:p>
    <w:p>
      <w:pPr>
        <w:ind w:left="1000" w:hanging="348"/>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89,839 shares of common stock held by Ms. Álvarez.</w:t>
      </w:r>
    </w:p>
    <w:p>
      <w:pPr>
        <w:spacing w:after="0" w:line="26" w:lineRule="exact"/>
        <w:rPr>
          <w:rFonts w:ascii="Arial" w:cs="Arial" w:eastAsia="Arial" w:hAnsi="Arial"/>
          <w:sz w:val="13"/>
          <w:szCs w:val="13"/>
          <w:color w:val="auto"/>
        </w:rPr>
      </w:pPr>
    </w:p>
    <w:p>
      <w:pPr>
        <w:jc w:val="both"/>
        <w:ind w:left="1000" w:right="640" w:hanging="348"/>
        <w:spacing w:after="0" w:line="222"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(i) 1,395,011 shares of common stock held by Mr. Bergman, (ii) 376,460 shares of common stock issuable upon the exercise of stock options granted to Mr. Bergman that are exercisable within 60 days of March 15, 2026, (iii) 1,604,901 shares of common stock held by The Per Artur Bergman Revocable Trust, of which the reporting person is settlor, sole trustee, and sole beneficiary, (iv) 840,005 shares of common stock held by The Artur Bergman Remainder Trust One DTD as of May 2, 2019, of which the reporting person is the investment advisor, (v) 109,686 shares of common stock held by The Artur Bergman Remainder Trust Three DTD as of May 2, 2019, of which the reporting person is the investment advisor, (vi) 156,521 shares of common stock held by The PAB 2021 Remainder Trust, of which the reporting person is the investment advisor, (vii) 588,671 shares of common stock held by The Per Artur Bergman Grantor Retained Annuity Trust No. 4, of which the reporting person is trustee, and (viii) 254,808 shares of common stock held by The Per Artur Bergman Grantor Retained Annuity Trust No. 5, of which the reporting person is trustee.</w:t>
      </w:r>
    </w:p>
    <w:p>
      <w:pPr>
        <w:spacing w:after="0" w:line="1" w:lineRule="exact"/>
        <w:rPr>
          <w:rFonts w:ascii="Arial" w:cs="Arial" w:eastAsia="Arial" w:hAnsi="Arial"/>
          <w:sz w:val="13"/>
          <w:szCs w:val="13"/>
          <w:color w:val="auto"/>
        </w:rPr>
      </w:pPr>
    </w:p>
    <w:p>
      <w:pPr>
        <w:ind w:left="1000" w:right="640" w:hanging="348"/>
        <w:spacing w:after="0" w:line="238"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157,165 shares of common stock held by Mr. Compton and 22,294 shares of common stock issuable upon the vesting of RSUs issued to Mr. Compton within 60 days of March 15, 2026.</w:t>
      </w:r>
    </w:p>
    <w:p>
      <w:pPr>
        <w:spacing w:after="0" w:line="10" w:lineRule="exact"/>
        <w:rPr>
          <w:rFonts w:ascii="Arial" w:cs="Arial" w:eastAsia="Arial" w:hAnsi="Arial"/>
          <w:sz w:val="13"/>
          <w:szCs w:val="13"/>
          <w:color w:val="auto"/>
        </w:rPr>
      </w:pPr>
    </w:p>
    <w:p>
      <w:pPr>
        <w:ind w:left="1000" w:hanging="348"/>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46,449 shares of common stock held by Mr. Daniels.</w:t>
      </w:r>
    </w:p>
    <w:p>
      <w:pPr>
        <w:spacing w:after="0" w:line="26" w:lineRule="exact"/>
        <w:rPr>
          <w:rFonts w:ascii="Arial" w:cs="Arial" w:eastAsia="Arial" w:hAnsi="Arial"/>
          <w:sz w:val="13"/>
          <w:szCs w:val="13"/>
          <w:color w:val="auto"/>
        </w:rPr>
      </w:pPr>
    </w:p>
    <w:p>
      <w:pPr>
        <w:ind w:left="1000" w:hanging="348"/>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253,603 shares of common stock held by Mr. Hornik.</w:t>
      </w:r>
    </w:p>
    <w:p>
      <w:pPr>
        <w:spacing w:after="0" w:line="16" w:lineRule="exact"/>
        <w:rPr>
          <w:rFonts w:ascii="Arial" w:cs="Arial" w:eastAsia="Arial" w:hAnsi="Arial"/>
          <w:sz w:val="13"/>
          <w:szCs w:val="13"/>
          <w:color w:val="auto"/>
        </w:rPr>
      </w:pPr>
    </w:p>
    <w:p>
      <w:pPr>
        <w:ind w:left="1000" w:hanging="348"/>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78,348 shares of common stock held by Mr. Kisling.</w:t>
      </w:r>
    </w:p>
    <w:p>
      <w:pPr>
        <w:spacing w:after="0" w:line="22" w:lineRule="exact"/>
        <w:rPr>
          <w:rFonts w:ascii="Arial" w:cs="Arial" w:eastAsia="Arial" w:hAnsi="Arial"/>
          <w:sz w:val="13"/>
          <w:szCs w:val="13"/>
          <w:color w:val="auto"/>
        </w:rPr>
      </w:pPr>
    </w:p>
    <w:p>
      <w:pPr>
        <w:ind w:left="1000" w:hanging="348"/>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81,947 shares of common stock held by Ms. Loop.</w:t>
      </w:r>
    </w:p>
    <w:p>
      <w:pPr>
        <w:spacing w:after="0" w:line="26" w:lineRule="exact"/>
        <w:rPr>
          <w:rFonts w:ascii="Arial" w:cs="Arial" w:eastAsia="Arial" w:hAnsi="Arial"/>
          <w:sz w:val="13"/>
          <w:szCs w:val="13"/>
          <w:color w:val="auto"/>
        </w:rPr>
      </w:pPr>
    </w:p>
    <w:p>
      <w:pPr>
        <w:ind w:left="1000" w:hanging="348"/>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132,462 shares of common stock held by Mr. Lovett.</w:t>
      </w:r>
    </w:p>
    <w:p>
      <w:pPr>
        <w:spacing w:after="0" w:line="16" w:lineRule="exact"/>
        <w:rPr>
          <w:rFonts w:ascii="Arial" w:cs="Arial" w:eastAsia="Arial" w:hAnsi="Arial"/>
          <w:sz w:val="13"/>
          <w:szCs w:val="13"/>
          <w:color w:val="auto"/>
        </w:rPr>
      </w:pPr>
    </w:p>
    <w:p>
      <w:pPr>
        <w:ind w:left="1000" w:hanging="348"/>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81,947 shares of common stock held by Mr. Meyers.</w:t>
      </w:r>
    </w:p>
    <w:p>
      <w:pPr>
        <w:spacing w:after="0" w:line="22" w:lineRule="exact"/>
        <w:rPr>
          <w:rFonts w:ascii="Arial" w:cs="Arial" w:eastAsia="Arial" w:hAnsi="Arial"/>
          <w:sz w:val="13"/>
          <w:szCs w:val="13"/>
          <w:color w:val="auto"/>
        </w:rPr>
      </w:pPr>
    </w:p>
    <w:p>
      <w:pPr>
        <w:ind w:left="1000" w:hanging="348"/>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824,044 shares of common stock held by Mr. Nightingale.</w:t>
      </w:r>
    </w:p>
    <w:p>
      <w:pPr>
        <w:spacing w:after="0" w:line="26" w:lineRule="exact"/>
        <w:rPr>
          <w:rFonts w:ascii="Arial" w:cs="Arial" w:eastAsia="Arial" w:hAnsi="Arial"/>
          <w:sz w:val="13"/>
          <w:szCs w:val="13"/>
          <w:color w:val="auto"/>
        </w:rPr>
      </w:pPr>
    </w:p>
    <w:p>
      <w:pPr>
        <w:ind w:left="1000" w:right="640" w:hanging="348"/>
        <w:spacing w:after="0" w:line="241" w:lineRule="auto"/>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284,485 shares of common stock held by Mr. Paisley, 265,806 of which are held by the Christopher Paisley TTEE Paisley Living Trust DTD 12/28/94.</w:t>
      </w:r>
    </w:p>
    <w:p>
      <w:pPr>
        <w:ind w:left="1000" w:hanging="348"/>
        <w:spacing w:after="0"/>
        <w:tabs>
          <w:tab w:leader="none" w:pos="10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82,439 shares of common stock held by Ms. Smith.</w:t>
      </w:r>
    </w:p>
    <w:p>
      <w:pPr>
        <w:spacing w:after="0" w:line="22" w:lineRule="exact"/>
        <w:rPr>
          <w:rFonts w:ascii="Arial" w:cs="Arial" w:eastAsia="Arial" w:hAnsi="Arial"/>
          <w:sz w:val="13"/>
          <w:szCs w:val="13"/>
          <w:color w:val="auto"/>
        </w:rPr>
      </w:pPr>
    </w:p>
    <w:p>
      <w:pPr>
        <w:jc w:val="both"/>
        <w:ind w:left="1000" w:right="640" w:hanging="348"/>
        <w:spacing w:after="0" w:line="259" w:lineRule="auto"/>
        <w:tabs>
          <w:tab w:leader="none" w:pos="1000"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Consists of (i) 6,159,939 shares of common stock held by all current executive officers and directors as a group, (ii) 376,460 shares of common stock that all current executive officers and directors as a group have the right to acquire from us within 60 days of March 15, 2026 pursuant to the exercise of options, and (iii) 22,294 shares of common stock issuable upon the vesting of RSUs within 60 days of March 15, 2026.</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43"/>
          <w:szCs w:val="43"/>
          <w:b w:val="1"/>
          <w:bCs w:val="1"/>
          <w:color w:val="auto"/>
        </w:rPr>
        <w:t>EXECUTIVE OFFICERS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certain information with respect to our executive officers as of March 15, 2026.</w:t>
      </w:r>
    </w:p>
    <w:p>
      <w:pPr>
        <w:spacing w:after="0" w:line="167"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2320" w:type="dxa"/>
            <w:vAlign w:val="bottom"/>
            <w:tcBorders>
              <w:bottom w:val="single" w:sz="8" w:color="808080"/>
            </w:tcBorders>
          </w:tcPr>
          <w:p>
            <w:pPr>
              <w:ind w:left="80"/>
              <w:spacing w:after="0"/>
              <w:rPr>
                <w:sz w:val="20"/>
                <w:szCs w:val="20"/>
                <w:color w:val="auto"/>
              </w:rPr>
            </w:pPr>
            <w:r>
              <w:rPr>
                <w:rFonts w:ascii="Arial" w:cs="Arial" w:eastAsia="Arial" w:hAnsi="Arial"/>
                <w:sz w:val="16"/>
                <w:szCs w:val="16"/>
                <w:b w:val="1"/>
                <w:bCs w:val="1"/>
                <w:color w:val="auto"/>
              </w:rPr>
              <w:t>Name</w:t>
            </w:r>
          </w:p>
        </w:tc>
        <w:tc>
          <w:tcPr>
            <w:tcW w:w="780" w:type="dxa"/>
            <w:vAlign w:val="bottom"/>
            <w:tcBorders>
              <w:bottom w:val="single" w:sz="8" w:color="808080"/>
            </w:tcBorders>
          </w:tcPr>
          <w:p>
            <w:pPr>
              <w:jc w:val="center"/>
              <w:spacing w:after="0"/>
              <w:rPr>
                <w:sz w:val="20"/>
                <w:szCs w:val="20"/>
                <w:color w:val="auto"/>
              </w:rPr>
            </w:pPr>
            <w:r>
              <w:rPr>
                <w:rFonts w:ascii="Arial" w:cs="Arial" w:eastAsia="Arial" w:hAnsi="Arial"/>
                <w:sz w:val="16"/>
                <w:szCs w:val="16"/>
                <w:b w:val="1"/>
                <w:bCs w:val="1"/>
                <w:color w:val="auto"/>
                <w:w w:val="99"/>
              </w:rPr>
              <w:t>Age</w:t>
            </w:r>
          </w:p>
        </w:tc>
        <w:tc>
          <w:tcPr>
            <w:tcW w:w="5320" w:type="dxa"/>
            <w:vAlign w:val="bottom"/>
            <w:tcBorders>
              <w:bottom w:val="single" w:sz="8" w:color="808080"/>
            </w:tcBorders>
          </w:tcPr>
          <w:p>
            <w:pPr>
              <w:ind w:left="180"/>
              <w:spacing w:after="0"/>
              <w:rPr>
                <w:sz w:val="20"/>
                <w:szCs w:val="20"/>
                <w:color w:val="auto"/>
              </w:rPr>
            </w:pPr>
            <w:r>
              <w:rPr>
                <w:rFonts w:ascii="Arial" w:cs="Arial" w:eastAsia="Arial" w:hAnsi="Arial"/>
                <w:sz w:val="16"/>
                <w:szCs w:val="16"/>
                <w:b w:val="1"/>
                <w:bCs w:val="1"/>
                <w:color w:val="auto"/>
              </w:rPr>
              <w:t>Position</w:t>
            </w:r>
          </w:p>
        </w:tc>
      </w:tr>
      <w:tr>
        <w:trPr>
          <w:trHeight w:val="196"/>
        </w:trPr>
        <w:tc>
          <w:tcPr>
            <w:tcW w:w="2320" w:type="dxa"/>
            <w:vAlign w:val="bottom"/>
            <w:shd w:val="clear" w:color="auto" w:fill="F1F3F7"/>
          </w:tcPr>
          <w:p>
            <w:pPr>
              <w:ind w:left="80"/>
              <w:spacing w:after="0"/>
              <w:rPr>
                <w:sz w:val="20"/>
                <w:szCs w:val="20"/>
                <w:color w:val="auto"/>
              </w:rPr>
            </w:pPr>
            <w:r>
              <w:rPr>
                <w:rFonts w:ascii="Arial" w:cs="Arial" w:eastAsia="Arial" w:hAnsi="Arial"/>
                <w:sz w:val="16"/>
                <w:szCs w:val="16"/>
                <w:color w:val="auto"/>
              </w:rPr>
              <w:t>Artur Bergman</w:t>
            </w:r>
          </w:p>
        </w:tc>
        <w:tc>
          <w:tcPr>
            <w:tcW w:w="780" w:type="dxa"/>
            <w:vAlign w:val="bottom"/>
          </w:tcPr>
          <w:p>
            <w:pPr>
              <w:jc w:val="center"/>
              <w:spacing w:after="0"/>
              <w:rPr>
                <w:sz w:val="20"/>
                <w:szCs w:val="20"/>
                <w:color w:val="auto"/>
              </w:rPr>
            </w:pPr>
            <w:r>
              <w:rPr>
                <w:rFonts w:ascii="Arial" w:cs="Arial" w:eastAsia="Arial" w:hAnsi="Arial"/>
                <w:sz w:val="16"/>
                <w:szCs w:val="16"/>
                <w:color w:val="auto"/>
              </w:rPr>
              <w:t>46</w:t>
            </w:r>
          </w:p>
        </w:tc>
        <w:tc>
          <w:tcPr>
            <w:tcW w:w="5320" w:type="dxa"/>
            <w:vAlign w:val="bottom"/>
          </w:tcPr>
          <w:p>
            <w:pPr>
              <w:ind w:left="180"/>
              <w:spacing w:after="0"/>
              <w:rPr>
                <w:sz w:val="20"/>
                <w:szCs w:val="20"/>
                <w:color w:val="auto"/>
              </w:rPr>
            </w:pPr>
            <w:r>
              <w:rPr>
                <w:rFonts w:ascii="Arial" w:cs="Arial" w:eastAsia="Arial" w:hAnsi="Arial"/>
                <w:sz w:val="16"/>
                <w:szCs w:val="16"/>
                <w:color w:val="auto"/>
              </w:rPr>
              <w:t>Chief Technology Officer and Director</w:t>
            </w:r>
          </w:p>
        </w:tc>
      </w:tr>
      <w:tr>
        <w:trPr>
          <w:trHeight w:val="203"/>
        </w:trPr>
        <w:tc>
          <w:tcPr>
            <w:tcW w:w="2320" w:type="dxa"/>
            <w:vAlign w:val="bottom"/>
            <w:shd w:val="clear" w:color="auto" w:fill="F1F3F7"/>
          </w:tcPr>
          <w:p>
            <w:pPr>
              <w:ind w:left="80"/>
              <w:spacing w:after="0"/>
              <w:rPr>
                <w:sz w:val="20"/>
                <w:szCs w:val="20"/>
                <w:color w:val="auto"/>
              </w:rPr>
            </w:pPr>
            <w:r>
              <w:rPr>
                <w:rFonts w:ascii="Arial" w:cs="Arial" w:eastAsia="Arial" w:hAnsi="Arial"/>
                <w:sz w:val="16"/>
                <w:szCs w:val="16"/>
                <w:color w:val="auto"/>
              </w:rPr>
              <w:t>Charles Compton</w:t>
            </w:r>
          </w:p>
        </w:tc>
        <w:tc>
          <w:tcPr>
            <w:tcW w:w="780" w:type="dxa"/>
            <w:vAlign w:val="bottom"/>
          </w:tcPr>
          <w:p>
            <w:pPr>
              <w:jc w:val="center"/>
              <w:spacing w:after="0"/>
              <w:rPr>
                <w:sz w:val="20"/>
                <w:szCs w:val="20"/>
                <w:color w:val="auto"/>
              </w:rPr>
            </w:pPr>
            <w:r>
              <w:rPr>
                <w:rFonts w:ascii="Arial" w:cs="Arial" w:eastAsia="Arial" w:hAnsi="Arial"/>
                <w:sz w:val="16"/>
                <w:szCs w:val="16"/>
                <w:color w:val="auto"/>
              </w:rPr>
              <w:t>51</w:t>
            </w:r>
          </w:p>
        </w:tc>
        <w:tc>
          <w:tcPr>
            <w:tcW w:w="5320" w:type="dxa"/>
            <w:vAlign w:val="bottom"/>
          </w:tcPr>
          <w:p>
            <w:pPr>
              <w:ind w:left="180"/>
              <w:spacing w:after="0"/>
              <w:rPr>
                <w:sz w:val="20"/>
                <w:szCs w:val="20"/>
                <w:color w:val="auto"/>
              </w:rPr>
            </w:pPr>
            <w:r>
              <w:rPr>
                <w:rFonts w:ascii="Arial" w:cs="Arial" w:eastAsia="Arial" w:hAnsi="Arial"/>
                <w:sz w:val="16"/>
                <w:szCs w:val="16"/>
                <w:color w:val="auto"/>
              </w:rPr>
              <w:t>Chief Executive Officer and Director</w:t>
            </w:r>
          </w:p>
        </w:tc>
      </w:tr>
      <w:tr>
        <w:trPr>
          <w:trHeight w:val="188"/>
        </w:trPr>
        <w:tc>
          <w:tcPr>
            <w:tcW w:w="2320" w:type="dxa"/>
            <w:vAlign w:val="bottom"/>
            <w:shd w:val="clear" w:color="auto" w:fill="F1F3F7"/>
          </w:tcPr>
          <w:p>
            <w:pPr>
              <w:ind w:left="80"/>
              <w:spacing w:after="0"/>
              <w:rPr>
                <w:sz w:val="20"/>
                <w:szCs w:val="20"/>
                <w:color w:val="auto"/>
              </w:rPr>
            </w:pPr>
            <w:r>
              <w:rPr>
                <w:rFonts w:ascii="Arial" w:cs="Arial" w:eastAsia="Arial" w:hAnsi="Arial"/>
                <w:sz w:val="16"/>
                <w:szCs w:val="16"/>
                <w:color w:val="auto"/>
              </w:rPr>
              <w:t>Scott Lovett</w:t>
            </w:r>
          </w:p>
        </w:tc>
        <w:tc>
          <w:tcPr>
            <w:tcW w:w="780" w:type="dxa"/>
            <w:vAlign w:val="bottom"/>
          </w:tcPr>
          <w:p>
            <w:pPr>
              <w:jc w:val="center"/>
              <w:spacing w:after="0"/>
              <w:rPr>
                <w:sz w:val="20"/>
                <w:szCs w:val="20"/>
                <w:color w:val="auto"/>
              </w:rPr>
            </w:pPr>
            <w:r>
              <w:rPr>
                <w:rFonts w:ascii="Arial" w:cs="Arial" w:eastAsia="Arial" w:hAnsi="Arial"/>
                <w:sz w:val="16"/>
                <w:szCs w:val="16"/>
                <w:color w:val="auto"/>
              </w:rPr>
              <w:t>60</w:t>
            </w:r>
          </w:p>
        </w:tc>
        <w:tc>
          <w:tcPr>
            <w:tcW w:w="5320" w:type="dxa"/>
            <w:vAlign w:val="bottom"/>
          </w:tcPr>
          <w:p>
            <w:pPr>
              <w:ind w:left="180"/>
              <w:spacing w:after="0"/>
              <w:rPr>
                <w:sz w:val="20"/>
                <w:szCs w:val="20"/>
                <w:color w:val="auto"/>
              </w:rPr>
            </w:pPr>
            <w:r>
              <w:rPr>
                <w:rFonts w:ascii="Arial" w:cs="Arial" w:eastAsia="Arial" w:hAnsi="Arial"/>
                <w:sz w:val="16"/>
                <w:szCs w:val="16"/>
                <w:color w:val="auto"/>
              </w:rPr>
              <w:t>President, Go to Market</w:t>
            </w:r>
          </w:p>
        </w:tc>
      </w:tr>
      <w:tr>
        <w:trPr>
          <w:trHeight w:val="215"/>
        </w:trPr>
        <w:tc>
          <w:tcPr>
            <w:tcW w:w="2320" w:type="dxa"/>
            <w:vAlign w:val="bottom"/>
            <w:shd w:val="clear" w:color="auto" w:fill="F1F3F7"/>
          </w:tcPr>
          <w:p>
            <w:pPr>
              <w:ind w:left="80"/>
              <w:spacing w:after="0"/>
              <w:rPr>
                <w:sz w:val="20"/>
                <w:szCs w:val="20"/>
                <w:color w:val="auto"/>
              </w:rPr>
            </w:pPr>
            <w:r>
              <w:rPr>
                <w:rFonts w:ascii="Arial" w:cs="Arial" w:eastAsia="Arial" w:hAnsi="Arial"/>
                <w:sz w:val="16"/>
                <w:szCs w:val="16"/>
                <w:color w:val="auto"/>
              </w:rPr>
              <w:t>Richard Wong</w:t>
            </w:r>
          </w:p>
        </w:tc>
        <w:tc>
          <w:tcPr>
            <w:tcW w:w="780" w:type="dxa"/>
            <w:vAlign w:val="bottom"/>
          </w:tcPr>
          <w:p>
            <w:pPr>
              <w:jc w:val="center"/>
              <w:spacing w:after="0"/>
              <w:rPr>
                <w:sz w:val="20"/>
                <w:szCs w:val="20"/>
                <w:color w:val="auto"/>
              </w:rPr>
            </w:pPr>
            <w:r>
              <w:rPr>
                <w:rFonts w:ascii="Arial" w:cs="Arial" w:eastAsia="Arial" w:hAnsi="Arial"/>
                <w:sz w:val="16"/>
                <w:szCs w:val="16"/>
                <w:color w:val="auto"/>
              </w:rPr>
              <w:t>51</w:t>
            </w:r>
          </w:p>
        </w:tc>
        <w:tc>
          <w:tcPr>
            <w:tcW w:w="5320" w:type="dxa"/>
            <w:vAlign w:val="bottom"/>
          </w:tcPr>
          <w:p>
            <w:pPr>
              <w:ind w:left="180"/>
              <w:spacing w:after="0"/>
              <w:rPr>
                <w:sz w:val="20"/>
                <w:szCs w:val="20"/>
                <w:color w:val="auto"/>
              </w:rPr>
            </w:pPr>
            <w:r>
              <w:rPr>
                <w:rFonts w:ascii="Arial" w:cs="Arial" w:eastAsia="Arial" w:hAnsi="Arial"/>
                <w:sz w:val="16"/>
                <w:szCs w:val="16"/>
                <w:color w:val="auto"/>
              </w:rPr>
              <w:t>Chief Financial Officer</w:t>
            </w:r>
          </w:p>
        </w:tc>
      </w:tr>
      <w:tr>
        <w:trPr>
          <w:trHeight w:val="43"/>
        </w:trPr>
        <w:tc>
          <w:tcPr>
            <w:tcW w:w="2320" w:type="dxa"/>
            <w:vAlign w:val="bottom"/>
            <w:shd w:val="clear" w:color="auto" w:fill="F1F3F7"/>
          </w:tcPr>
          <w:p>
            <w:pPr>
              <w:spacing w:after="0"/>
              <w:rPr>
                <w:sz w:val="3"/>
                <w:szCs w:val="3"/>
                <w:color w:val="auto"/>
              </w:rPr>
            </w:pPr>
          </w:p>
        </w:tc>
        <w:tc>
          <w:tcPr>
            <w:tcW w:w="780" w:type="dxa"/>
            <w:vAlign w:val="bottom"/>
          </w:tcPr>
          <w:p>
            <w:pPr>
              <w:spacing w:after="0"/>
              <w:rPr>
                <w:sz w:val="3"/>
                <w:szCs w:val="3"/>
                <w:color w:val="auto"/>
              </w:rPr>
            </w:pPr>
          </w:p>
        </w:tc>
        <w:tc>
          <w:tcPr>
            <w:tcW w:w="5320" w:type="dxa"/>
            <w:vAlign w:val="bottom"/>
          </w:tcPr>
          <w:p>
            <w:pPr>
              <w:spacing w:after="0"/>
              <w:rPr>
                <w:sz w:val="3"/>
                <w:szCs w:val="3"/>
                <w:color w:val="auto"/>
              </w:rPr>
            </w:pPr>
          </w:p>
        </w:tc>
      </w:tr>
    </w:tbl>
    <w:p>
      <w:pPr>
        <w:spacing w:after="0" w:line="134"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Below are the biographies of our current executive officers, other than Mr. Bergman and Mr. Compton, whose biographies appear above under “Proposal 1 - Election of Directors.”</w:t>
      </w:r>
    </w:p>
    <w:p>
      <w:pPr>
        <w:sectPr>
          <w:pgSz w:w="11900" w:h="16838" w:orient="portrait"/>
          <w:cols w:equalWidth="0" w:num="1">
            <w:col w:w="9379"/>
          </w:cols>
          <w:pgMar w:left="108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-1367155</wp:posOffset>
            </wp:positionV>
            <wp:extent cx="1259840" cy="12598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59840" cy="1259840"/>
                    </a:xfrm>
                    <a:prstGeom prst="rect">
                      <a:avLst/>
                    </a:prstGeom>
                    <a:noFill/>
                  </pic:spPr>
                </pic:pic>
              </a:graphicData>
            </a:graphic>
          </wp:anchor>
        </w:drawing>
        <w:drawing>
          <wp:anchor simplePos="0" relativeHeight="251657728" behindDoc="1" locked="0" layoutInCell="0" allowOverlap="1">
            <wp:simplePos x="0" y="0"/>
            <wp:positionH relativeFrom="column">
              <wp:posOffset>414020</wp:posOffset>
            </wp:positionH>
            <wp:positionV relativeFrom="paragraph">
              <wp:posOffset>166370</wp:posOffset>
            </wp:positionV>
            <wp:extent cx="1259840" cy="1259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59840"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EE3434"/>
        </w:rPr>
        <w:t>Scott Lovett</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 60</w:t>
      </w:r>
    </w:p>
    <w:p>
      <w:pPr>
        <w:spacing w:after="0" w:line="225" w:lineRule="auto"/>
        <w:rPr>
          <w:sz w:val="20"/>
          <w:szCs w:val="20"/>
          <w:color w:val="auto"/>
        </w:rPr>
      </w:pPr>
      <w:r>
        <w:rPr>
          <w:rFonts w:ascii="Arial" w:cs="Arial" w:eastAsia="Arial" w:hAnsi="Arial"/>
          <w:sz w:val="15"/>
          <w:szCs w:val="15"/>
          <w:color w:val="auto"/>
        </w:rPr>
        <w:t> </w:t>
      </w:r>
    </w:p>
    <w:p>
      <w:pPr>
        <w:ind w:right="299"/>
        <w:spacing w:after="0"/>
        <w:rPr>
          <w:sz w:val="20"/>
          <w:szCs w:val="20"/>
          <w:color w:val="auto"/>
        </w:rPr>
      </w:pPr>
      <w:r>
        <w:rPr>
          <w:rFonts w:ascii="Arial" w:cs="Arial" w:eastAsia="Arial" w:hAnsi="Arial"/>
          <w:sz w:val="15"/>
          <w:szCs w:val="15"/>
          <w:color w:val="auto"/>
        </w:rPr>
        <w:t>has served as our President, Go To Market since August 2025. Mr. Lovett previously served as Fastly’s Chief Revenue Officer from August 2024 to August 2025. From August 2021 to May 2024, Mr. Lovett served as Chief Revenue Officer at Imperva, Inc., a cybersecurity software and services provider. From April 2018 to April 2021, Mr. Lovett served as Senior Vice President of Global Web &amp; Security Sales at Akamai Technologies, Inc., a cybersecurity and cloud computing company. Mr. Lovett holds a Bachelor of Arts in Communications from Eastern Illinois University.  </w:t>
      </w:r>
    </w:p>
    <w:p>
      <w:pPr>
        <w:spacing w:after="0" w:line="89" w:lineRule="exact"/>
        <w:rPr>
          <w:sz w:val="20"/>
          <w:szCs w:val="20"/>
          <w:color w:val="auto"/>
        </w:rPr>
      </w:pPr>
    </w:p>
    <w:p>
      <w:pPr>
        <w:spacing w:after="0"/>
        <w:rPr>
          <w:sz w:val="20"/>
          <w:szCs w:val="20"/>
          <w:color w:val="auto"/>
        </w:rPr>
      </w:pPr>
      <w:r>
        <w:rPr>
          <w:rFonts w:ascii="Arial" w:cs="Arial" w:eastAsia="Arial" w:hAnsi="Arial"/>
          <w:sz w:val="15"/>
          <w:szCs w:val="15"/>
          <w:color w:val="auto"/>
        </w:rPr>
        <w:t> </w:t>
      </w:r>
    </w:p>
    <w:p>
      <w:pPr>
        <w:spacing w:after="0" w:line="356" w:lineRule="exact"/>
        <w:rPr>
          <w:sz w:val="20"/>
          <w:szCs w:val="20"/>
          <w:color w:val="auto"/>
        </w:rPr>
      </w:pPr>
    </w:p>
    <w:p>
      <w:pPr>
        <w:spacing w:after="0"/>
        <w:rPr>
          <w:sz w:val="20"/>
          <w:szCs w:val="20"/>
          <w:color w:val="auto"/>
        </w:rPr>
      </w:pPr>
      <w:r>
        <w:rPr>
          <w:rFonts w:ascii="Arial" w:cs="Arial" w:eastAsia="Arial" w:hAnsi="Arial"/>
          <w:sz w:val="22"/>
          <w:szCs w:val="22"/>
          <w:b w:val="1"/>
          <w:bCs w:val="1"/>
          <w:color w:val="EE3434"/>
        </w:rPr>
        <w:t>Richard Wong</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 51</w:t>
      </w:r>
    </w:p>
    <w:p>
      <w:pPr>
        <w:spacing w:after="0" w:line="225" w:lineRule="auto"/>
        <w:rPr>
          <w:sz w:val="20"/>
          <w:szCs w:val="20"/>
          <w:color w:val="auto"/>
        </w:rPr>
      </w:pPr>
      <w:r>
        <w:rPr>
          <w:rFonts w:ascii="Arial" w:cs="Arial" w:eastAsia="Arial" w:hAnsi="Arial"/>
          <w:sz w:val="15"/>
          <w:szCs w:val="15"/>
          <w:color w:val="auto"/>
        </w:rPr>
        <w:t> </w:t>
      </w:r>
    </w:p>
    <w:p>
      <w:pPr>
        <w:jc w:val="both"/>
        <w:ind w:right="299"/>
        <w:spacing w:after="0" w:line="229" w:lineRule="auto"/>
        <w:rPr>
          <w:sz w:val="20"/>
          <w:szCs w:val="20"/>
          <w:color w:val="auto"/>
        </w:rPr>
      </w:pPr>
      <w:r>
        <w:rPr>
          <w:rFonts w:ascii="Arial" w:cs="Arial" w:eastAsia="Arial" w:hAnsi="Arial"/>
          <w:sz w:val="15"/>
          <w:szCs w:val="15"/>
          <w:color w:val="auto"/>
        </w:rPr>
        <w:t>has served as our Chief Financial Officer since August 2025. Previously, Mr. Wong served as Chief Financial Officer of Benchling, a cloud-based platform for biotechnology research and development, from November 2020 to May 2024. From May 2018 to November 2020, he served as Chief Financial Officer of Houzz Inc. Prior to that, he held senior finance roles at LinkedIn and Yahoo!, and started his career as an investment banker at JPMorgan and Banc of America Securities. He holds an MBA from Northwestern University’s Kellogg School of Management and a Bachelor of Science degree in Business Administration from the University of California, Berkeley.</w:t>
      </w:r>
    </w:p>
    <w:p>
      <w:pPr>
        <w:spacing w:after="0" w:line="474" w:lineRule="exact"/>
        <w:rPr>
          <w:sz w:val="20"/>
          <w:szCs w:val="20"/>
          <w:color w:val="auto"/>
        </w:rPr>
      </w:pPr>
    </w:p>
    <w:p>
      <w:pPr>
        <w:sectPr>
          <w:pgSz w:w="11900" w:h="16838" w:orient="portrait"/>
          <w:cols w:equalWidth="0" w:num="2">
            <w:col w:w="2120" w:space="720"/>
            <w:col w:w="6539"/>
          </w:cols>
          <w:pgMar w:left="1080" w:top="114" w:right="1440" w:bottom="1440" w:gutter="0" w:footer="0" w:header="0"/>
          <w:type w:val="continuous"/>
        </w:sectPr>
      </w:pP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26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120650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42"/>
          <w:szCs w:val="42"/>
          <w:b w:val="1"/>
          <w:bCs w:val="1"/>
          <w:color w:val="auto"/>
        </w:rPr>
        <w:t>EXECUTIVE COMPENSATION</w:t>
      </w:r>
    </w:p>
    <w:p>
      <w:pPr>
        <w:sectPr>
          <w:pgSz w:w="11900" w:h="16838" w:orient="portrait"/>
          <w:cols w:equalWidth="0" w:num="1">
            <w:col w:w="9720"/>
          </w:cols>
          <w:pgMar w:left="1080" w:top="114" w:right="1099" w:bottom="1440" w:gutter="0" w:footer="0" w:header="0"/>
        </w:sectPr>
      </w:pPr>
    </w:p>
    <w:p>
      <w:pPr>
        <w:spacing w:after="0" w:line="167"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EE3434"/>
        </w:rPr>
        <w:t>Compensation Discussion and Analysis</w:t>
      </w:r>
    </w:p>
    <w:p>
      <w:pPr>
        <w:spacing w:after="0" w:line="124" w:lineRule="exact"/>
        <w:rPr>
          <w:sz w:val="20"/>
          <w:szCs w:val="20"/>
          <w:color w:val="auto"/>
        </w:rPr>
      </w:pPr>
    </w:p>
    <w:p>
      <w:pPr>
        <w:jc w:val="both"/>
        <w:ind w:left="660" w:right="100"/>
        <w:spacing w:after="0" w:line="251" w:lineRule="auto"/>
        <w:rPr>
          <w:sz w:val="20"/>
          <w:szCs w:val="20"/>
          <w:color w:val="auto"/>
        </w:rPr>
      </w:pPr>
      <w:r>
        <w:rPr>
          <w:rFonts w:ascii="Arial" w:cs="Arial" w:eastAsia="Arial" w:hAnsi="Arial"/>
          <w:sz w:val="16"/>
          <w:szCs w:val="16"/>
          <w:color w:val="auto"/>
        </w:rPr>
        <w:t>This Compensation Discussion and Analysis provides an overview of the material components of our executive compensation program during 2025, including our executive compensation policies and practices, how and why the Compensation Committee arrived at the compensation decisions for our Named Executive Officers and the key factors the Compensation Committee considered in making those decisions.</w:t>
      </w:r>
    </w:p>
    <w:p>
      <w:pPr>
        <w:spacing w:after="0" w:line="297" w:lineRule="exact"/>
        <w:rPr>
          <w:sz w:val="20"/>
          <w:szCs w:val="20"/>
          <w:color w:val="auto"/>
        </w:rPr>
      </w:pPr>
    </w:p>
    <w:p>
      <w:pPr>
        <w:jc w:val="both"/>
        <w:ind w:left="660" w:right="100"/>
        <w:spacing w:after="0" w:line="254" w:lineRule="auto"/>
        <w:rPr>
          <w:sz w:val="20"/>
          <w:szCs w:val="20"/>
          <w:color w:val="auto"/>
        </w:rPr>
      </w:pPr>
      <w:r>
        <w:rPr>
          <w:rFonts w:ascii="Arial" w:cs="Arial" w:eastAsia="Arial" w:hAnsi="Arial"/>
          <w:sz w:val="16"/>
          <w:szCs w:val="16"/>
          <w:color w:val="auto"/>
        </w:rPr>
        <w:t>Our Named Executive Officers for 2025, which consist of our principal executive officer, principal financial officer, and our other two most highly compensated executive officers, in addition to our former Chief Executive Officer and our former Chief Financial Officer,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2" w:lineRule="exact"/>
        <w:rPr>
          <w:sz w:val="20"/>
          <w:szCs w:val="20"/>
          <w:color w:val="auto"/>
        </w:rPr>
      </w:pPr>
    </w:p>
    <w:p>
      <w:pPr>
        <w:ind w:left="278" w:right="640" w:hanging="278"/>
        <w:spacing w:after="0" w:line="286" w:lineRule="auto"/>
        <w:tabs>
          <w:tab w:leader="none" w:pos="278"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Charles “Kip” Compton, our Chief Executive Officer (our “CEO”);</w:t>
      </w:r>
    </w:p>
    <w:p>
      <w:pPr>
        <w:spacing w:after="0" w:line="47" w:lineRule="exact"/>
        <w:rPr>
          <w:rFonts w:ascii="Arial" w:cs="Arial" w:eastAsia="Arial" w:hAnsi="Arial"/>
          <w:sz w:val="16"/>
          <w:szCs w:val="16"/>
          <w:color w:val="auto"/>
        </w:rPr>
      </w:pPr>
    </w:p>
    <w:p>
      <w:pPr>
        <w:ind w:left="278" w:hanging="278"/>
        <w:spacing w:after="0"/>
        <w:tabs>
          <w:tab w:leader="none" w:pos="278" w:val="left"/>
        </w:tabs>
        <w:numPr>
          <w:ilvl w:val="0"/>
          <w:numId w:val="22"/>
        </w:numPr>
        <w:rPr>
          <w:rFonts w:ascii="Arial" w:cs="Arial" w:eastAsia="Arial" w:hAnsi="Arial"/>
          <w:sz w:val="16"/>
          <w:szCs w:val="16"/>
          <w:color w:val="auto"/>
        </w:rPr>
      </w:pPr>
      <w:r>
        <w:rPr>
          <w:rFonts w:ascii="Arial" w:cs="Arial" w:eastAsia="Arial" w:hAnsi="Arial"/>
          <w:sz w:val="16"/>
          <w:szCs w:val="16"/>
          <w:color w:val="auto"/>
        </w:rPr>
        <w:t>Artur Bergman, our Chief Technology Officer;</w:t>
      </w:r>
    </w:p>
    <w:p>
      <w:pPr>
        <w:spacing w:after="0" w:line="113" w:lineRule="exact"/>
        <w:rPr>
          <w:rFonts w:ascii="Arial" w:cs="Arial" w:eastAsia="Arial" w:hAnsi="Arial"/>
          <w:sz w:val="16"/>
          <w:szCs w:val="16"/>
          <w:color w:val="auto"/>
        </w:rPr>
      </w:pPr>
    </w:p>
    <w:p>
      <w:pPr>
        <w:ind w:left="278" w:hanging="278"/>
        <w:spacing w:after="0"/>
        <w:tabs>
          <w:tab w:leader="none" w:pos="278" w:val="left"/>
        </w:tabs>
        <w:numPr>
          <w:ilvl w:val="0"/>
          <w:numId w:val="22"/>
        </w:numPr>
        <w:rPr>
          <w:rFonts w:ascii="Arial" w:cs="Arial" w:eastAsia="Arial" w:hAnsi="Arial"/>
          <w:sz w:val="16"/>
          <w:szCs w:val="16"/>
          <w:color w:val="auto"/>
        </w:rPr>
      </w:pPr>
      <w:r>
        <w:rPr>
          <w:rFonts w:ascii="Arial" w:cs="Arial" w:eastAsia="Arial" w:hAnsi="Arial"/>
          <w:sz w:val="16"/>
          <w:szCs w:val="16"/>
          <w:color w:val="auto"/>
        </w:rPr>
        <w:t>Richard Wong, our Chief Financial Officer;</w:t>
      </w:r>
    </w:p>
    <w:p>
      <w:pPr>
        <w:spacing w:after="0" w:line="113" w:lineRule="exact"/>
        <w:rPr>
          <w:rFonts w:ascii="Arial" w:cs="Arial" w:eastAsia="Arial" w:hAnsi="Arial"/>
          <w:sz w:val="16"/>
          <w:szCs w:val="16"/>
          <w:color w:val="auto"/>
        </w:rPr>
      </w:pPr>
    </w:p>
    <w:p>
      <w:pPr>
        <w:ind w:left="278" w:hanging="278"/>
        <w:spacing w:after="0"/>
        <w:tabs>
          <w:tab w:leader="none" w:pos="278" w:val="left"/>
        </w:tabs>
        <w:numPr>
          <w:ilvl w:val="0"/>
          <w:numId w:val="22"/>
        </w:numPr>
        <w:rPr>
          <w:rFonts w:ascii="Arial" w:cs="Arial" w:eastAsia="Arial" w:hAnsi="Arial"/>
          <w:sz w:val="16"/>
          <w:szCs w:val="16"/>
          <w:color w:val="auto"/>
        </w:rPr>
      </w:pPr>
      <w:r>
        <w:rPr>
          <w:rFonts w:ascii="Arial" w:cs="Arial" w:eastAsia="Arial" w:hAnsi="Arial"/>
          <w:sz w:val="16"/>
          <w:szCs w:val="16"/>
          <w:color w:val="auto"/>
        </w:rPr>
        <w:t>Scott Lovett, our President, Go to Market;</w:t>
      </w:r>
    </w:p>
    <w:p>
      <w:pPr>
        <w:spacing w:after="0" w:line="113" w:lineRule="exact"/>
        <w:rPr>
          <w:rFonts w:ascii="Arial" w:cs="Arial" w:eastAsia="Arial" w:hAnsi="Arial"/>
          <w:sz w:val="16"/>
          <w:szCs w:val="16"/>
          <w:color w:val="auto"/>
        </w:rPr>
      </w:pPr>
    </w:p>
    <w:p>
      <w:pPr>
        <w:ind w:left="278" w:right="660" w:hanging="278"/>
        <w:spacing w:after="0" w:line="286" w:lineRule="auto"/>
        <w:tabs>
          <w:tab w:leader="none" w:pos="278"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Todd Nightingale, our former Chief Executive Officer; and</w:t>
      </w:r>
    </w:p>
    <w:p>
      <w:pPr>
        <w:spacing w:after="0" w:line="47" w:lineRule="exact"/>
        <w:rPr>
          <w:rFonts w:ascii="Arial" w:cs="Arial" w:eastAsia="Arial" w:hAnsi="Arial"/>
          <w:sz w:val="16"/>
          <w:szCs w:val="16"/>
          <w:color w:val="auto"/>
        </w:rPr>
      </w:pPr>
    </w:p>
    <w:p>
      <w:pPr>
        <w:ind w:left="278" w:hanging="278"/>
        <w:spacing w:after="0"/>
        <w:tabs>
          <w:tab w:leader="none" w:pos="278" w:val="left"/>
        </w:tabs>
        <w:numPr>
          <w:ilvl w:val="0"/>
          <w:numId w:val="22"/>
        </w:numPr>
        <w:rPr>
          <w:rFonts w:ascii="Arial" w:cs="Arial" w:eastAsia="Arial" w:hAnsi="Arial"/>
          <w:sz w:val="16"/>
          <w:szCs w:val="16"/>
          <w:color w:val="auto"/>
        </w:rPr>
      </w:pPr>
      <w:r>
        <w:rPr>
          <w:rFonts w:ascii="Arial" w:cs="Arial" w:eastAsia="Arial" w:hAnsi="Arial"/>
          <w:sz w:val="16"/>
          <w:szCs w:val="16"/>
          <w:color w:val="auto"/>
        </w:rPr>
        <w:t>Ronald Kisling, our former Chief Financial Officer.</w:t>
      </w:r>
    </w:p>
    <w:p>
      <w:pPr>
        <w:spacing w:after="0" w:line="1157" w:lineRule="exact"/>
        <w:rPr>
          <w:sz w:val="20"/>
          <w:szCs w:val="20"/>
          <w:color w:val="auto"/>
        </w:rPr>
      </w:pPr>
    </w:p>
    <w:p>
      <w:pPr>
        <w:sectPr>
          <w:pgSz w:w="11900" w:h="16838" w:orient="portrait"/>
          <w:cols w:equalWidth="0" w:num="2">
            <w:col w:w="4760" w:space="482"/>
            <w:col w:w="4478"/>
          </w:cols>
          <w:pgMar w:left="1080" w:top="114" w:right="1099" w:bottom="1440" w:gutter="0" w:footer="0" w:header="0"/>
          <w:type w:val="continuous"/>
        </w:sectPr>
      </w:pPr>
    </w:p>
    <w:p>
      <w:pPr>
        <w:spacing w:after="0" w:line="11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Executive Summary</w:t>
      </w:r>
    </w:p>
    <w:p>
      <w:pPr>
        <w:spacing w:after="0" w:line="30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EE3434"/>
        </w:rPr>
        <w:t>2025 Chief Executive Officer and Leadership Transitions</w:t>
      </w:r>
    </w:p>
    <w:p>
      <w:pPr>
        <w:sectPr>
          <w:pgSz w:w="11900" w:h="16838" w:orient="portrait"/>
          <w:cols w:equalWidth="0" w:num="1">
            <w:col w:w="9720"/>
          </w:cols>
          <w:pgMar w:left="1080" w:top="114" w:right="1099" w:bottom="1440" w:gutter="0" w:footer="0" w:header="0"/>
          <w:type w:val="continuous"/>
        </w:sectPr>
      </w:pPr>
    </w:p>
    <w:p>
      <w:pPr>
        <w:spacing w:after="0" w:line="124" w:lineRule="exact"/>
        <w:rPr>
          <w:sz w:val="20"/>
          <w:szCs w:val="20"/>
          <w:color w:val="auto"/>
        </w:rPr>
      </w:pPr>
    </w:p>
    <w:p>
      <w:pPr>
        <w:jc w:val="both"/>
        <w:ind w:left="660"/>
        <w:spacing w:after="0" w:line="252" w:lineRule="auto"/>
        <w:rPr>
          <w:sz w:val="20"/>
          <w:szCs w:val="20"/>
          <w:color w:val="auto"/>
        </w:rPr>
      </w:pPr>
      <w:r>
        <w:rPr>
          <w:rFonts w:ascii="Arial" w:cs="Arial" w:eastAsia="Arial" w:hAnsi="Arial"/>
          <w:sz w:val="16"/>
          <w:szCs w:val="16"/>
          <w:color w:val="auto"/>
        </w:rPr>
        <w:t>In mid-2025, we experienced several transitions among our Named Executive Officers. Todd Nightingale, our former Chief Executive Officer, resigned in June 2025. Mr. Nightingale’s Voluntary Resignation (as defined in the Nightingale Employment Agreement, as discussed in “Employment Arrangements–Todd Nightingale”, below) resulted in forfeiture of all unvested equity awards at the time of his departure.</w:t>
      </w:r>
    </w:p>
    <w:p>
      <w:pPr>
        <w:spacing w:after="0" w:line="102" w:lineRule="exact"/>
        <w:rPr>
          <w:sz w:val="20"/>
          <w:szCs w:val="20"/>
          <w:color w:val="auto"/>
        </w:rPr>
      </w:pPr>
    </w:p>
    <w:p>
      <w:pPr>
        <w:jc w:val="both"/>
        <w:ind w:left="660"/>
        <w:spacing w:after="0" w:line="252" w:lineRule="auto"/>
        <w:rPr>
          <w:sz w:val="20"/>
          <w:szCs w:val="20"/>
          <w:color w:val="auto"/>
        </w:rPr>
      </w:pPr>
      <w:r>
        <w:rPr>
          <w:rFonts w:ascii="Arial" w:cs="Arial" w:eastAsia="Arial" w:hAnsi="Arial"/>
          <w:sz w:val="16"/>
          <w:szCs w:val="16"/>
          <w:color w:val="auto"/>
        </w:rPr>
        <w:t>The Board of Directors promoted Mr. Compton, who was then serving as our Chief Product Officer, to serve as Chief Executive Officer. The Compensation Committee took several actions to set a new, competitive pay package for Mr. Compton upon his promotion to CEO including a review of competitive market data in consultation with the Compensation Committee’s independent compensation consultant.</w:t>
      </w:r>
    </w:p>
    <w:p>
      <w:pPr>
        <w:spacing w:after="0" w:line="115" w:lineRule="exact"/>
        <w:rPr>
          <w:sz w:val="20"/>
          <w:szCs w:val="20"/>
          <w:color w:val="auto"/>
        </w:rPr>
      </w:pPr>
    </w:p>
    <w:p>
      <w:pPr>
        <w:jc w:val="both"/>
        <w:ind w:left="660"/>
        <w:spacing w:after="0" w:line="254" w:lineRule="auto"/>
        <w:rPr>
          <w:sz w:val="20"/>
          <w:szCs w:val="20"/>
          <w:color w:val="auto"/>
        </w:rPr>
      </w:pPr>
      <w:r>
        <w:rPr>
          <w:rFonts w:ascii="Arial" w:cs="Arial" w:eastAsia="Arial" w:hAnsi="Arial"/>
          <w:sz w:val="16"/>
          <w:szCs w:val="16"/>
          <w:color w:val="auto"/>
        </w:rPr>
        <w:t>In February, prior to being promoted to CEO, Mr. Compton did not have any adjustments to his cash compensation as Chief Product Officer and received a $2.0 million annual equity grant split between time-based restricted stock units (“RSUs”) and performance-based restricted stock units</w:t>
      </w:r>
    </w:p>
    <w:p>
      <w:pPr>
        <w:spacing w:after="0" w:line="31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2025 Business Highlights</w:t>
      </w:r>
    </w:p>
    <w:p>
      <w:pPr>
        <w:spacing w:after="0" w:line="112"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In 2025, we experienced benefits of our improved go-to-market motion, expanded security offerings, and continued focus on fiscal discipline. As a result, we grew our revenue 15% in 2025 compared to 7% in 2024. This growth was highlighted by our security product revenue, which grew 21% in 2025, compared to 11% in 2024. This resulted in $94 million in cash</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both"/>
        <w:ind w:right="640"/>
        <w:spacing w:after="0" w:line="249" w:lineRule="auto"/>
        <w:rPr>
          <w:sz w:val="20"/>
          <w:szCs w:val="20"/>
          <w:color w:val="auto"/>
        </w:rPr>
      </w:pPr>
      <w:r>
        <w:rPr>
          <w:rFonts w:ascii="Arial" w:cs="Arial" w:eastAsia="Arial" w:hAnsi="Arial"/>
          <w:sz w:val="16"/>
          <w:szCs w:val="16"/>
          <w:color w:val="auto"/>
        </w:rPr>
        <w:t>(“PSUs”) in a mix consistent with that of our other officers who were not considered Named Executive Officers in 2025. In connection with Mr. Compton’s promotion, the Compensation Committee adjusted his compensation, including a salary increase to $500,000, a target bonus opportunity increase to $500,000, and a $5.0 million promotional equity grant delivered in a combination of RSUs and PSUs consistent with our annual refresh long-term incentive mix for the CEO. The values of Mr. Compton’s annual and promotional equity awards described above do not represent grant date fair value and instead were converted to shares using a $9.31 and $9.00 conversion price, respectively.</w:t>
      </w:r>
    </w:p>
    <w:p>
      <w:pPr>
        <w:spacing w:after="0" w:line="110" w:lineRule="exact"/>
        <w:rPr>
          <w:sz w:val="20"/>
          <w:szCs w:val="20"/>
          <w:color w:val="auto"/>
        </w:rPr>
      </w:pPr>
    </w:p>
    <w:p>
      <w:pPr>
        <w:jc w:val="both"/>
        <w:ind w:right="640"/>
        <w:spacing w:after="0" w:line="252" w:lineRule="auto"/>
        <w:rPr>
          <w:sz w:val="20"/>
          <w:szCs w:val="20"/>
          <w:color w:val="auto"/>
        </w:rPr>
      </w:pPr>
      <w:r>
        <w:rPr>
          <w:rFonts w:ascii="Arial" w:cs="Arial" w:eastAsia="Arial" w:hAnsi="Arial"/>
          <w:sz w:val="16"/>
          <w:szCs w:val="16"/>
          <w:color w:val="auto"/>
        </w:rPr>
        <w:t>The Compensation Committee approved conversion of equity grants to a number of shares in 2025 based on the greater of (i) the average share price of our common stock for the 30 calendar days prior to the grant date or (ii) $9.00. The Compensation Committee approved this $9.00 per share floor to manage our “burn rate” or share usage during a period of stock price volatility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right="640"/>
        <w:spacing w:after="0" w:line="253" w:lineRule="auto"/>
        <w:rPr>
          <w:sz w:val="20"/>
          <w:szCs w:val="20"/>
          <w:color w:val="auto"/>
        </w:rPr>
      </w:pPr>
      <w:r>
        <w:rPr>
          <w:rFonts w:ascii="Arial" w:cs="Arial" w:eastAsia="Arial" w:hAnsi="Arial"/>
          <w:sz w:val="16"/>
          <w:szCs w:val="16"/>
          <w:color w:val="auto"/>
        </w:rPr>
        <w:t>from operations in 2025 compared to $16 million in 2024. As organizations increasingly differentiate in their markets by delivering resilient, highly performant, always-on software, Fastly is the essential foundation to translate software delivery investments into continuous competitive advantage. Our platform is designed to be programmable and support agile</w:t>
      </w:r>
    </w:p>
    <w:p>
      <w:pPr>
        <w:spacing w:after="0" w:line="177" w:lineRule="exact"/>
        <w:rPr>
          <w:sz w:val="20"/>
          <w:szCs w:val="20"/>
          <w:color w:val="auto"/>
        </w:rPr>
      </w:pPr>
    </w:p>
    <w:p>
      <w:pPr>
        <w:sectPr>
          <w:pgSz w:w="11900" w:h="16838" w:orient="portrait"/>
          <w:cols w:equalWidth="0" w:num="2">
            <w:col w:w="4660" w:space="400"/>
            <w:col w:w="4660"/>
          </w:cols>
          <w:pgMar w:left="1080" w:top="114" w:right="1099" w:bottom="1440" w:gutter="0" w:footer="0" w:header="0"/>
          <w:type w:val="continuous"/>
        </w:sectPr>
      </w:pPr>
    </w:p>
    <w:p>
      <w:pPr>
        <w:ind w:left="7920"/>
        <w:spacing w:after="0"/>
        <w:rPr>
          <w:sz w:val="20"/>
          <w:szCs w:val="20"/>
          <w:color w:val="auto"/>
        </w:rPr>
      </w:pPr>
      <w:r>
        <w:rPr>
          <w:rFonts w:ascii="Arial" w:cs="Arial" w:eastAsia="Arial" w:hAnsi="Arial"/>
          <w:sz w:val="12"/>
          <w:szCs w:val="12"/>
          <w:color w:val="auto"/>
        </w:rPr>
        <w:t>2026 PROXY STATEMENT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120650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color w:val="auto"/>
        </w:rPr>
        <w:t>software development, which allows our customers to expedite innovation and invent new app paradigms that transform their business.</w:t>
      </w:r>
    </w:p>
    <w:p>
      <w:pPr>
        <w:spacing w:after="0" w:line="90"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As AI-driven traffic increases demands on infrastructure, we continue to drive delivery performance and reinforce our competitive advantage through expanded features and new product introductions. Demonstrating an accelerated development cycle, Fastly launched three new security products in 2025, surpassing the two introduced in 2024. The expanded security suite includes API Security, which automates the discovery and monitoring of an organization’s full API footprint to block unauthorized access, and Client-Side Protection, which secures the browser experience by managing third-party scripts to prevent data skimming. Additionally, Fastly introduced AI Bot Management to provide granular control over automated traffic by specifically identifying and managing the behavior of AI crawlers and fetchers.</w:t>
      </w:r>
    </w:p>
    <w:p>
      <w:pPr>
        <w:spacing w:after="0" w:line="307"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Financially, we finished 2025 on a strong note, delivering fourth quarter revenue of $172.6 million, representing 23% year-over-year growth. This growth was primarily driven by continued demand for our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ind w:right="299"/>
        <w:spacing w:after="0" w:line="266" w:lineRule="auto"/>
        <w:rPr>
          <w:sz w:val="20"/>
          <w:szCs w:val="20"/>
          <w:color w:val="auto"/>
        </w:rPr>
      </w:pPr>
      <w:r>
        <w:rPr>
          <w:rFonts w:ascii="Arial" w:cs="Arial" w:eastAsia="Arial" w:hAnsi="Arial"/>
          <w:sz w:val="16"/>
          <w:szCs w:val="16"/>
          <w:color w:val="auto"/>
        </w:rPr>
        <w:t>edge platform by existing customers resulting from our go-to-market focus on upsell and cross-sell. Additional highlights of our performance in 2025 include:</w:t>
      </w:r>
    </w:p>
    <w:p>
      <w:pPr>
        <w:spacing w:after="0" w:line="63" w:lineRule="exact"/>
        <w:rPr>
          <w:sz w:val="20"/>
          <w:szCs w:val="20"/>
          <w:color w:val="auto"/>
        </w:rPr>
      </w:pPr>
    </w:p>
    <w:p>
      <w:pPr>
        <w:ind w:left="460" w:right="319" w:hanging="278"/>
        <w:spacing w:after="0" w:line="286"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Total revenue of $624.0 million, representing 15% growth year-over-year</w:t>
      </w:r>
    </w:p>
    <w:p>
      <w:pPr>
        <w:spacing w:after="0" w:line="47" w:lineRule="exact"/>
        <w:rPr>
          <w:rFonts w:ascii="Arial" w:cs="Arial" w:eastAsia="Arial" w:hAnsi="Arial"/>
          <w:sz w:val="16"/>
          <w:szCs w:val="16"/>
          <w:color w:val="auto"/>
        </w:rPr>
      </w:pPr>
    </w:p>
    <w:p>
      <w:pPr>
        <w:jc w:val="both"/>
        <w:ind w:left="460" w:right="299" w:hanging="278"/>
        <w:spacing w:after="0" w:line="259"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U.S. GAAP gross margin of 57.1%, compared to 54.4% in fiscal year 2024; non-GAAP gross margin of 60.9%, compared to 58.8% in fiscal year 2024</w:t>
      </w:r>
    </w:p>
    <w:p>
      <w:pPr>
        <w:spacing w:after="0" w:line="69" w:lineRule="exact"/>
        <w:rPr>
          <w:rFonts w:ascii="Arial" w:cs="Arial" w:eastAsia="Arial" w:hAnsi="Arial"/>
          <w:sz w:val="16"/>
          <w:szCs w:val="16"/>
          <w:color w:val="auto"/>
        </w:rPr>
      </w:pPr>
    </w:p>
    <w:p>
      <w:pPr>
        <w:jc w:val="both"/>
        <w:ind w:left="460" w:right="319" w:hanging="278"/>
        <w:spacing w:after="0" w:line="259"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U.S. GAAP net loss of $121.7 million, compared to $158.1 million in fiscal year 2024; non-GAAP net income of $19.7 million, compared to non-GAAP net loss of $12.1 million in fiscal year 2024</w:t>
      </w:r>
    </w:p>
    <w:p>
      <w:pPr>
        <w:spacing w:after="0" w:line="69" w:lineRule="exact"/>
        <w:rPr>
          <w:rFonts w:ascii="Arial" w:cs="Arial" w:eastAsia="Arial" w:hAnsi="Arial"/>
          <w:sz w:val="16"/>
          <w:szCs w:val="16"/>
          <w:color w:val="auto"/>
        </w:rPr>
      </w:pPr>
    </w:p>
    <w:p>
      <w:pPr>
        <w:jc w:val="both"/>
        <w:ind w:left="460" w:right="319" w:hanging="278"/>
        <w:spacing w:after="0" w:line="256"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U.S. GAAP net loss per basic and diluted shares of $0.83 compared to $1.14 in fiscal year 2024; non-GAAP net income per basic and diluted shares of $0.13, compared to non-GAAP net loss of $0.09 in fiscal year 2024</w:t>
      </w:r>
    </w:p>
    <w:p>
      <w:pPr>
        <w:spacing w:after="0" w:line="99" w:lineRule="exact"/>
        <w:rPr>
          <w:sz w:val="20"/>
          <w:szCs w:val="20"/>
          <w:color w:val="auto"/>
        </w:rPr>
      </w:pPr>
    </w:p>
    <w:p>
      <w:pPr>
        <w:jc w:val="both"/>
        <w:ind w:right="319"/>
        <w:spacing w:after="0" w:line="266" w:lineRule="auto"/>
        <w:rPr>
          <w:sz w:val="20"/>
          <w:szCs w:val="20"/>
          <w:color w:val="auto"/>
        </w:rPr>
      </w:pPr>
      <w:r>
        <w:rPr>
          <w:rFonts w:ascii="Arial" w:cs="Arial" w:eastAsia="Arial" w:hAnsi="Arial"/>
          <w:sz w:val="16"/>
          <w:szCs w:val="16"/>
          <w:color w:val="auto"/>
        </w:rPr>
        <w:t>Please refer to Appendix A of this Proxy Statement for a reconciliation of non-GAAP financial measures to their corresponding U.S. GAAP measures.</w:t>
      </w:r>
    </w:p>
    <w:p>
      <w:pPr>
        <w:spacing w:after="0" w:line="476" w:lineRule="exact"/>
        <w:rPr>
          <w:sz w:val="20"/>
          <w:szCs w:val="20"/>
          <w:color w:val="auto"/>
        </w:rPr>
      </w:pPr>
    </w:p>
    <w:p>
      <w:pPr>
        <w:sectPr>
          <w:pgSz w:w="11900" w:h="16838" w:orient="portrait"/>
          <w:cols w:equalWidth="0" w:num="2">
            <w:col w:w="4660" w:space="400"/>
            <w:col w:w="4319"/>
          </w:cols>
          <w:pgMar w:left="1080" w:top="114" w:right="1440" w:bottom="1440" w:gutter="0" w:footer="0" w:header="0"/>
        </w:sectPr>
      </w:pPr>
    </w:p>
    <w:p>
      <w:pPr>
        <w:spacing w:after="0" w:line="112" w:lineRule="exact"/>
        <w:rPr>
          <w:sz w:val="20"/>
          <w:szCs w:val="20"/>
          <w:color w:val="auto"/>
        </w:rPr>
      </w:pPr>
    </w:p>
    <w:p>
      <w:pPr>
        <w:ind w:left="660" w:right="819"/>
        <w:spacing w:after="0" w:line="272" w:lineRule="auto"/>
        <w:rPr>
          <w:sz w:val="20"/>
          <w:szCs w:val="20"/>
          <w:color w:val="auto"/>
        </w:rPr>
      </w:pPr>
      <w:r>
        <w:rPr>
          <w:rFonts w:ascii="Arial" w:cs="Arial" w:eastAsia="Arial" w:hAnsi="Arial"/>
          <w:sz w:val="22"/>
          <w:szCs w:val="22"/>
          <w:b w:val="1"/>
          <w:bCs w:val="1"/>
          <w:color w:val="EE3434"/>
        </w:rPr>
        <w:t>2025 “Say-on-Pay” Advisory Stockholder Vote on Executive Compensation &amp; Stockholder Engagement</w:t>
      </w:r>
    </w:p>
    <w:p>
      <w:pPr>
        <w:spacing w:after="0" w:line="62" w:lineRule="exact"/>
        <w:rPr>
          <w:sz w:val="20"/>
          <w:szCs w:val="20"/>
          <w:color w:val="auto"/>
        </w:rPr>
      </w:pPr>
    </w:p>
    <w:p>
      <w:pPr>
        <w:jc w:val="both"/>
        <w:ind w:left="660" w:right="299"/>
        <w:spacing w:after="0" w:line="252" w:lineRule="auto"/>
        <w:rPr>
          <w:sz w:val="20"/>
          <w:szCs w:val="20"/>
          <w:color w:val="auto"/>
        </w:rPr>
      </w:pPr>
      <w:r>
        <w:rPr>
          <w:rFonts w:ascii="Arial" w:cs="Arial" w:eastAsia="Arial" w:hAnsi="Arial"/>
          <w:sz w:val="16"/>
          <w:szCs w:val="16"/>
          <w:color w:val="auto"/>
        </w:rPr>
        <w:t>In calendar year 2025, stockholders were provided with the opportunity to cast a non-binding advisory vote (a “say-on-pay” proposal) on the compensation of our Named Executive Officers for fiscal year 2024. Our stockholders approved this say-on-pay proposal with 59.6% of votes in favor of our executive compensation program (excluding broker non-votes). This was the second consecutive year of improvement in our say-on-pay vote following the 47.1% support in 2023 covering compensation actions for our Named Executive Officers for fiscal 2022. The Compensation Committee and our full Board of Directors take say-on-pay vote outcomes seriously, value the feedback from stockholders, and continue to make changes to our compensation programs that respond to that feedback and support our business strategy.</w:t>
      </w:r>
    </w:p>
    <w:p>
      <w:pPr>
        <w:spacing w:after="0" w:line="115" w:lineRule="exact"/>
        <w:rPr>
          <w:sz w:val="20"/>
          <w:szCs w:val="20"/>
          <w:color w:val="auto"/>
        </w:rPr>
      </w:pPr>
    </w:p>
    <w:p>
      <w:pPr>
        <w:jc w:val="both"/>
        <w:ind w:left="660" w:right="299"/>
        <w:spacing w:after="0" w:line="256" w:lineRule="auto"/>
        <w:rPr>
          <w:sz w:val="20"/>
          <w:szCs w:val="20"/>
          <w:color w:val="auto"/>
        </w:rPr>
      </w:pPr>
      <w:r>
        <w:rPr>
          <w:rFonts w:ascii="Arial" w:cs="Arial" w:eastAsia="Arial" w:hAnsi="Arial"/>
          <w:sz w:val="16"/>
          <w:szCs w:val="16"/>
          <w:color w:val="auto"/>
        </w:rPr>
        <w:t>Similar to the process used in late 2023 and 2024, to better understand this vote result and stockholder concerns, the Compensation Committee continued stockholder outreach in late 2025 and throughout the year. This outreach was done to solicit feedback and ensure that we received insight into the issues that were most important to our stockholders. These engagement sessions were instructive, and we expect to continue to engage with our stockholders as we evolve our compensation and governance.</w:t>
      </w:r>
    </w:p>
    <w:p>
      <w:pPr>
        <w:spacing w:after="0" w:line="112" w:lineRule="exact"/>
        <w:rPr>
          <w:sz w:val="20"/>
          <w:szCs w:val="20"/>
          <w:color w:val="auto"/>
        </w:rPr>
      </w:pPr>
    </w:p>
    <w:p>
      <w:pPr>
        <w:jc w:val="both"/>
        <w:ind w:left="660" w:right="299"/>
        <w:spacing w:after="0" w:line="251" w:lineRule="auto"/>
        <w:rPr>
          <w:sz w:val="20"/>
          <w:szCs w:val="20"/>
          <w:color w:val="auto"/>
        </w:rPr>
      </w:pPr>
      <w:r>
        <w:rPr>
          <w:rFonts w:ascii="Arial" w:cs="Arial" w:eastAsia="Arial" w:hAnsi="Arial"/>
          <w:sz w:val="16"/>
          <w:szCs w:val="16"/>
          <w:color w:val="auto"/>
        </w:rPr>
        <w:t>In late 2025, we contacted 20 of our institutional stockholders representing an aggregate of approximately 51% of our outstanding common stock and met with institutional stockholders representing an aggregate of approximately 17% of our outstanding common stock. The discussions were led by the chair of our Board of Directors, David Hornik, and the chair of our Compensation Committee, Charles Meyers, both independent directors of the Company, with members of management available to support the discussions. The team met with governance professionals from passive funds as well as investment professionals from active funds. Over the course of these meetings with our institutional stockholders, we received valuable feedback on our executive compensation and governance programs, policies, and practices. The feedback during 2025 was consistent with the themes heard in prior years described in the table below.</w:t>
      </w:r>
    </w:p>
    <w:p>
      <w:pPr>
        <w:spacing w:after="0" w:line="297"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6"/>
          <w:szCs w:val="16"/>
          <w:color w:val="auto"/>
        </w:rPr>
        <w:t>In multiple meetings of the Compensation Committee beginning in 2023 through early 2026, the Compensation Committee worked with their independent compensation consultant to review this feedback and consider how to incorporate it into our compensation programs. The Compensation Committee and management annually review the mix of PSUs in our annual long-term incentive (“LTI”) equity program and identify new metrics that</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28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left="660" w:right="640"/>
        <w:spacing w:after="0" w:line="259" w:lineRule="auto"/>
        <w:rPr>
          <w:sz w:val="20"/>
          <w:szCs w:val="20"/>
          <w:color w:val="auto"/>
        </w:rPr>
      </w:pPr>
      <w:r>
        <w:rPr>
          <w:rFonts w:ascii="Arial" w:cs="Arial" w:eastAsia="Arial" w:hAnsi="Arial"/>
          <w:sz w:val="16"/>
          <w:szCs w:val="16"/>
          <w:color w:val="auto"/>
        </w:rPr>
        <w:t>support the Company’s strategy for incorporation into our performance-based annual equity grants. This process is responsive to our stockholders’ feedback while balancing the need for leadership continuity and stability during periods of volatility, and maintaining focus on the revenue and profitability goals that remain important to our growth and success.</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189"/>
        </w:trPr>
        <w:tc>
          <w:tcPr>
            <w:tcW w:w="2080" w:type="dxa"/>
            <w:vAlign w:val="bottom"/>
          </w:tcPr>
          <w:p>
            <w:pPr>
              <w:ind w:left="80"/>
              <w:spacing w:after="0"/>
              <w:rPr>
                <w:sz w:val="20"/>
                <w:szCs w:val="20"/>
                <w:color w:val="auto"/>
              </w:rPr>
            </w:pPr>
            <w:r>
              <w:rPr>
                <w:rFonts w:ascii="Arial" w:cs="Arial" w:eastAsia="Arial" w:hAnsi="Arial"/>
                <w:sz w:val="16"/>
                <w:szCs w:val="16"/>
                <w:b w:val="1"/>
                <w:bCs w:val="1"/>
                <w:color w:val="auto"/>
              </w:rPr>
              <w:t>What We Heard from</w:t>
            </w:r>
          </w:p>
        </w:tc>
        <w:tc>
          <w:tcPr>
            <w:tcW w:w="3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23"/>
        </w:trPr>
        <w:tc>
          <w:tcPr>
            <w:tcW w:w="2080" w:type="dxa"/>
            <w:vAlign w:val="bottom"/>
          </w:tcPr>
          <w:p>
            <w:pPr>
              <w:ind w:left="80"/>
              <w:spacing w:after="0"/>
              <w:rPr>
                <w:sz w:val="20"/>
                <w:szCs w:val="20"/>
                <w:color w:val="auto"/>
              </w:rPr>
            </w:pPr>
            <w:r>
              <w:rPr>
                <w:rFonts w:ascii="Arial" w:cs="Arial" w:eastAsia="Arial" w:hAnsi="Arial"/>
                <w:sz w:val="16"/>
                <w:szCs w:val="16"/>
                <w:b w:val="1"/>
                <w:bCs w:val="1"/>
                <w:color w:val="auto"/>
              </w:rPr>
              <w:t>Stockholders</w:t>
            </w:r>
          </w:p>
        </w:tc>
        <w:tc>
          <w:tcPr>
            <w:tcW w:w="3200" w:type="dxa"/>
            <w:vAlign w:val="bottom"/>
          </w:tcPr>
          <w:p>
            <w:pPr>
              <w:jc w:val="right"/>
              <w:ind w:right="1019"/>
              <w:spacing w:after="0"/>
              <w:rPr>
                <w:sz w:val="20"/>
                <w:szCs w:val="20"/>
                <w:color w:val="auto"/>
              </w:rPr>
            </w:pPr>
            <w:r>
              <w:rPr>
                <w:rFonts w:ascii="Arial" w:cs="Arial" w:eastAsia="Arial" w:hAnsi="Arial"/>
                <w:sz w:val="16"/>
                <w:szCs w:val="16"/>
                <w:b w:val="1"/>
                <w:bCs w:val="1"/>
                <w:color w:val="auto"/>
              </w:rPr>
              <w:t>What We Did</w:t>
            </w:r>
          </w:p>
        </w:tc>
        <w:tc>
          <w:tcPr>
            <w:tcW w:w="460" w:type="dxa"/>
            <w:vAlign w:val="bottom"/>
          </w:tcPr>
          <w:p>
            <w:pPr>
              <w:spacing w:after="0"/>
              <w:rPr>
                <w:sz w:val="19"/>
                <w:szCs w:val="19"/>
                <w:color w:val="auto"/>
              </w:rPr>
            </w:pPr>
          </w:p>
        </w:tc>
        <w:tc>
          <w:tcPr>
            <w:tcW w:w="2280" w:type="dxa"/>
            <w:vAlign w:val="bottom"/>
            <w:gridSpan w:val="2"/>
          </w:tcPr>
          <w:p>
            <w:pPr>
              <w:ind w:left="40"/>
              <w:spacing w:after="0"/>
              <w:rPr>
                <w:sz w:val="20"/>
                <w:szCs w:val="20"/>
                <w:color w:val="auto"/>
              </w:rPr>
            </w:pPr>
            <w:r>
              <w:rPr>
                <w:rFonts w:ascii="Arial" w:cs="Arial" w:eastAsia="Arial" w:hAnsi="Arial"/>
                <w:sz w:val="16"/>
                <w:szCs w:val="16"/>
                <w:b w:val="1"/>
                <w:bCs w:val="1"/>
                <w:color w:val="auto"/>
              </w:rPr>
              <w:t>Rationale and Other Context</w:t>
            </w:r>
          </w:p>
        </w:tc>
        <w:tc>
          <w:tcPr>
            <w:tcW w:w="400" w:type="dxa"/>
            <w:vAlign w:val="bottom"/>
          </w:tcPr>
          <w:p>
            <w:pPr>
              <w:spacing w:after="0"/>
              <w:rPr>
                <w:sz w:val="19"/>
                <w:szCs w:val="19"/>
                <w:color w:val="auto"/>
              </w:rPr>
            </w:pPr>
          </w:p>
        </w:tc>
      </w:tr>
      <w:tr>
        <w:trPr>
          <w:trHeight w:val="35"/>
        </w:trPr>
        <w:tc>
          <w:tcPr>
            <w:tcW w:w="2080" w:type="dxa"/>
            <w:vAlign w:val="bottom"/>
            <w:tcBorders>
              <w:bottom w:val="single" w:sz="8" w:color="808080"/>
            </w:tcBorders>
          </w:tcPr>
          <w:p>
            <w:pPr>
              <w:spacing w:after="0"/>
              <w:rPr>
                <w:sz w:val="3"/>
                <w:szCs w:val="3"/>
                <w:color w:val="auto"/>
              </w:rPr>
            </w:pPr>
          </w:p>
        </w:tc>
        <w:tc>
          <w:tcPr>
            <w:tcW w:w="3200" w:type="dxa"/>
            <w:vAlign w:val="bottom"/>
            <w:tcBorders>
              <w:bottom w:val="single" w:sz="8" w:color="808080"/>
            </w:tcBorders>
          </w:tcPr>
          <w:p>
            <w:pPr>
              <w:spacing w:after="0"/>
              <w:rPr>
                <w:sz w:val="3"/>
                <w:szCs w:val="3"/>
                <w:color w:val="auto"/>
              </w:rPr>
            </w:pPr>
          </w:p>
        </w:tc>
        <w:tc>
          <w:tcPr>
            <w:tcW w:w="3140" w:type="dxa"/>
            <w:vAlign w:val="bottom"/>
            <w:tcBorders>
              <w:bottom w:val="single" w:sz="8" w:color="808080"/>
            </w:tcBorders>
            <w:gridSpan w:val="4"/>
          </w:tcPr>
          <w:p>
            <w:pPr>
              <w:spacing w:after="0"/>
              <w:rPr>
                <w:sz w:val="3"/>
                <w:szCs w:val="3"/>
                <w:color w:val="auto"/>
              </w:rPr>
            </w:pPr>
          </w:p>
        </w:tc>
      </w:tr>
      <w:tr>
        <w:trPr>
          <w:trHeight w:val="209"/>
        </w:trPr>
        <w:tc>
          <w:tcPr>
            <w:tcW w:w="2080" w:type="dxa"/>
            <w:vAlign w:val="bottom"/>
          </w:tcPr>
          <w:p>
            <w:pPr>
              <w:ind w:left="80"/>
              <w:spacing w:after="0"/>
              <w:rPr>
                <w:sz w:val="20"/>
                <w:szCs w:val="20"/>
                <w:color w:val="auto"/>
              </w:rPr>
            </w:pPr>
            <w:r>
              <w:rPr>
                <w:rFonts w:ascii="Arial" w:cs="Arial" w:eastAsia="Arial" w:hAnsi="Arial"/>
                <w:sz w:val="16"/>
                <w:szCs w:val="16"/>
                <w:b w:val="1"/>
                <w:bCs w:val="1"/>
                <w:color w:val="auto"/>
              </w:rPr>
              <w:t>Design of PSUs</w:t>
            </w:r>
          </w:p>
        </w:tc>
        <w:tc>
          <w:tcPr>
            <w:tcW w:w="3200" w:type="dxa"/>
            <w:vAlign w:val="bottom"/>
          </w:tcPr>
          <w:p>
            <w:pPr>
              <w:jc w:val="right"/>
              <w:ind w:right="919"/>
              <w:spacing w:after="0"/>
              <w:rPr>
                <w:sz w:val="20"/>
                <w:szCs w:val="20"/>
                <w:color w:val="auto"/>
              </w:rPr>
            </w:pPr>
            <w:r>
              <w:rPr>
                <w:rFonts w:ascii="Arial" w:cs="Arial" w:eastAsia="Arial" w:hAnsi="Arial"/>
                <w:sz w:val="16"/>
                <w:szCs w:val="16"/>
                <w:color w:val="auto"/>
              </w:rPr>
              <w:t>•   Added rTSR PSUs (2025)</w:t>
            </w:r>
          </w:p>
        </w:tc>
        <w:tc>
          <w:tcPr>
            <w:tcW w:w="3140" w:type="dxa"/>
            <w:vAlign w:val="bottom"/>
            <w:gridSpan w:val="4"/>
          </w:tcPr>
          <w:p>
            <w:pPr>
              <w:ind w:left="120"/>
              <w:spacing w:after="0"/>
              <w:rPr>
                <w:sz w:val="20"/>
                <w:szCs w:val="20"/>
                <w:color w:val="auto"/>
              </w:rPr>
            </w:pPr>
            <w:r>
              <w:rPr>
                <w:rFonts w:ascii="Arial" w:cs="Arial" w:eastAsia="Arial" w:hAnsi="Arial"/>
                <w:sz w:val="16"/>
                <w:szCs w:val="16"/>
                <w:color w:val="auto"/>
              </w:rPr>
              <w:t>These  changes  are  responsive  to</w:t>
            </w:r>
          </w:p>
        </w:tc>
      </w:tr>
      <w:tr>
        <w:trPr>
          <w:trHeight w:val="189"/>
        </w:trPr>
        <w:tc>
          <w:tcPr>
            <w:tcW w:w="2080" w:type="dxa"/>
            <w:vAlign w:val="bottom"/>
          </w:tcPr>
          <w:p>
            <w:pPr>
              <w:ind w:left="80"/>
              <w:spacing w:after="0"/>
              <w:rPr>
                <w:sz w:val="20"/>
                <w:szCs w:val="20"/>
                <w:color w:val="auto"/>
              </w:rPr>
            </w:pPr>
            <w:r>
              <w:rPr>
                <w:rFonts w:ascii="Arial" w:cs="Arial" w:eastAsia="Arial" w:hAnsi="Arial"/>
                <w:sz w:val="16"/>
                <w:szCs w:val="16"/>
                <w:i w:val="1"/>
                <w:iCs w:val="1"/>
                <w:color w:val="auto"/>
              </w:rPr>
              <w:t>Stockholders expressed a</w:t>
            </w:r>
          </w:p>
        </w:tc>
        <w:tc>
          <w:tcPr>
            <w:tcW w:w="3200" w:type="dxa"/>
            <w:vAlign w:val="bottom"/>
          </w:tcPr>
          <w:p>
            <w:pPr>
              <w:jc w:val="right"/>
              <w:ind w:right="19"/>
              <w:spacing w:after="0"/>
              <w:rPr>
                <w:sz w:val="20"/>
                <w:szCs w:val="20"/>
                <w:color w:val="auto"/>
              </w:rPr>
            </w:pPr>
            <w:r>
              <w:rPr>
                <w:rFonts w:ascii="Arial" w:cs="Arial" w:eastAsia="Arial" w:hAnsi="Arial"/>
                <w:sz w:val="16"/>
                <w:szCs w:val="16"/>
                <w:color w:val="auto"/>
              </w:rPr>
              <w:t>•   Adjusted  Financial  PSU  metrics  to</w:t>
            </w:r>
          </w:p>
        </w:tc>
        <w:tc>
          <w:tcPr>
            <w:tcW w:w="3140" w:type="dxa"/>
            <w:vAlign w:val="bottom"/>
            <w:gridSpan w:val="4"/>
          </w:tcPr>
          <w:p>
            <w:pPr>
              <w:ind w:left="120"/>
              <w:spacing w:after="0"/>
              <w:rPr>
                <w:sz w:val="20"/>
                <w:szCs w:val="20"/>
                <w:color w:val="auto"/>
              </w:rPr>
            </w:pPr>
            <w:r>
              <w:rPr>
                <w:rFonts w:ascii="Arial" w:cs="Arial" w:eastAsia="Arial" w:hAnsi="Arial"/>
                <w:sz w:val="16"/>
                <w:szCs w:val="16"/>
                <w:color w:val="auto"/>
              </w:rPr>
              <w:t>stockholder feedback by (i) introducing a</w:t>
            </w:r>
          </w:p>
        </w:tc>
      </w:tr>
      <w:tr>
        <w:trPr>
          <w:trHeight w:val="189"/>
        </w:trPr>
        <w:tc>
          <w:tcPr>
            <w:tcW w:w="2080" w:type="dxa"/>
            <w:vAlign w:val="bottom"/>
          </w:tcPr>
          <w:p>
            <w:pPr>
              <w:ind w:left="80"/>
              <w:spacing w:after="0"/>
              <w:rPr>
                <w:sz w:val="20"/>
                <w:szCs w:val="20"/>
                <w:color w:val="auto"/>
              </w:rPr>
            </w:pPr>
            <w:r>
              <w:rPr>
                <w:rFonts w:ascii="Arial" w:cs="Arial" w:eastAsia="Arial" w:hAnsi="Arial"/>
                <w:sz w:val="16"/>
                <w:szCs w:val="16"/>
                <w:i w:val="1"/>
                <w:iCs w:val="1"/>
                <w:color w:val="auto"/>
              </w:rPr>
              <w:t>preference for diversified</w:t>
            </w:r>
          </w:p>
        </w:tc>
        <w:tc>
          <w:tcPr>
            <w:tcW w:w="3200" w:type="dxa"/>
            <w:vAlign w:val="bottom"/>
          </w:tcPr>
          <w:p>
            <w:pPr>
              <w:jc w:val="right"/>
              <w:ind w:right="19"/>
              <w:spacing w:after="0"/>
              <w:rPr>
                <w:sz w:val="20"/>
                <w:szCs w:val="20"/>
                <w:color w:val="auto"/>
              </w:rPr>
            </w:pPr>
            <w:r>
              <w:rPr>
                <w:rFonts w:ascii="Arial" w:cs="Arial" w:eastAsia="Arial" w:hAnsi="Arial"/>
                <w:sz w:val="16"/>
                <w:szCs w:val="16"/>
                <w:color w:val="auto"/>
              </w:rPr>
              <w:t>capture additional measures aligned</w:t>
            </w:r>
          </w:p>
        </w:tc>
        <w:tc>
          <w:tcPr>
            <w:tcW w:w="3140" w:type="dxa"/>
            <w:vAlign w:val="bottom"/>
            <w:gridSpan w:val="4"/>
          </w:tcPr>
          <w:p>
            <w:pPr>
              <w:ind w:left="120"/>
              <w:spacing w:after="0"/>
              <w:rPr>
                <w:sz w:val="20"/>
                <w:szCs w:val="20"/>
                <w:color w:val="auto"/>
              </w:rPr>
            </w:pPr>
            <w:r>
              <w:rPr>
                <w:rFonts w:ascii="Arial" w:cs="Arial" w:eastAsia="Arial" w:hAnsi="Arial"/>
                <w:sz w:val="16"/>
                <w:szCs w:val="16"/>
                <w:color w:val="auto"/>
              </w:rPr>
              <w:t>three-year performance period to align</w:t>
            </w:r>
          </w:p>
        </w:tc>
      </w:tr>
      <w:tr>
        <w:trPr>
          <w:trHeight w:val="189"/>
        </w:trPr>
        <w:tc>
          <w:tcPr>
            <w:tcW w:w="2080" w:type="dxa"/>
            <w:vAlign w:val="bottom"/>
          </w:tcPr>
          <w:p>
            <w:pPr>
              <w:ind w:left="80"/>
              <w:spacing w:after="0"/>
              <w:rPr>
                <w:sz w:val="20"/>
                <w:szCs w:val="20"/>
                <w:color w:val="auto"/>
              </w:rPr>
            </w:pPr>
            <w:r>
              <w:rPr>
                <w:rFonts w:ascii="Arial" w:cs="Arial" w:eastAsia="Arial" w:hAnsi="Arial"/>
                <w:sz w:val="16"/>
                <w:szCs w:val="16"/>
                <w:i w:val="1"/>
                <w:iCs w:val="1"/>
                <w:color w:val="auto"/>
              </w:rPr>
              <w:t>metrics and multi-year</w:t>
            </w:r>
          </w:p>
        </w:tc>
        <w:tc>
          <w:tcPr>
            <w:tcW w:w="3200" w:type="dxa"/>
            <w:vAlign w:val="bottom"/>
          </w:tcPr>
          <w:p>
            <w:pPr>
              <w:jc w:val="right"/>
              <w:ind w:right="19"/>
              <w:spacing w:after="0"/>
              <w:rPr>
                <w:sz w:val="20"/>
                <w:szCs w:val="20"/>
                <w:color w:val="auto"/>
              </w:rPr>
            </w:pPr>
            <w:r>
              <w:rPr>
                <w:rFonts w:ascii="Arial" w:cs="Arial" w:eastAsia="Arial" w:hAnsi="Arial"/>
                <w:sz w:val="16"/>
                <w:szCs w:val="16"/>
                <w:color w:val="auto"/>
              </w:rPr>
              <w:t>with  value  creation  and  business</w:t>
            </w:r>
          </w:p>
        </w:tc>
        <w:tc>
          <w:tcPr>
            <w:tcW w:w="460" w:type="dxa"/>
            <w:vAlign w:val="bottom"/>
          </w:tcPr>
          <w:p>
            <w:pPr>
              <w:ind w:left="120"/>
              <w:spacing w:after="0"/>
              <w:rPr>
                <w:sz w:val="20"/>
                <w:szCs w:val="20"/>
                <w:color w:val="auto"/>
              </w:rPr>
            </w:pPr>
            <w:r>
              <w:rPr>
                <w:rFonts w:ascii="Arial" w:cs="Arial" w:eastAsia="Arial" w:hAnsi="Arial"/>
                <w:sz w:val="16"/>
                <w:szCs w:val="16"/>
                <w:color w:val="auto"/>
              </w:rPr>
              <w:t>with</w:t>
            </w:r>
          </w:p>
        </w:tc>
        <w:tc>
          <w:tcPr>
            <w:tcW w:w="1240" w:type="dxa"/>
            <w:vAlign w:val="bottom"/>
          </w:tcPr>
          <w:p>
            <w:pPr>
              <w:ind w:left="260"/>
              <w:spacing w:after="0"/>
              <w:rPr>
                <w:sz w:val="20"/>
                <w:szCs w:val="20"/>
                <w:color w:val="auto"/>
              </w:rPr>
            </w:pPr>
            <w:r>
              <w:rPr>
                <w:rFonts w:ascii="Arial" w:cs="Arial" w:eastAsia="Arial" w:hAnsi="Arial"/>
                <w:sz w:val="16"/>
                <w:szCs w:val="16"/>
                <w:color w:val="auto"/>
              </w:rPr>
              <w:t>stockholder</w:t>
            </w:r>
          </w:p>
        </w:tc>
        <w:tc>
          <w:tcPr>
            <w:tcW w:w="1040" w:type="dxa"/>
            <w:vAlign w:val="bottom"/>
          </w:tcPr>
          <w:p>
            <w:pPr>
              <w:ind w:left="160"/>
              <w:spacing w:after="0"/>
              <w:rPr>
                <w:sz w:val="20"/>
                <w:szCs w:val="20"/>
                <w:color w:val="auto"/>
              </w:rPr>
            </w:pPr>
            <w:r>
              <w:rPr>
                <w:rFonts w:ascii="Arial" w:cs="Arial" w:eastAsia="Arial" w:hAnsi="Arial"/>
                <w:sz w:val="16"/>
                <w:szCs w:val="16"/>
                <w:color w:val="auto"/>
              </w:rPr>
              <w:t>interests</w:t>
            </w:r>
          </w:p>
        </w:tc>
        <w:tc>
          <w:tcPr>
            <w:tcW w:w="400" w:type="dxa"/>
            <w:vAlign w:val="bottom"/>
          </w:tcPr>
          <w:p>
            <w:pPr>
              <w:ind w:left="60"/>
              <w:spacing w:after="0"/>
              <w:rPr>
                <w:sz w:val="20"/>
                <w:szCs w:val="20"/>
                <w:color w:val="auto"/>
              </w:rPr>
            </w:pPr>
            <w:r>
              <w:rPr>
                <w:rFonts w:ascii="Arial" w:cs="Arial" w:eastAsia="Arial" w:hAnsi="Arial"/>
                <w:sz w:val="16"/>
                <w:szCs w:val="16"/>
                <w:color w:val="auto"/>
              </w:rPr>
              <w:t>and</w:t>
            </w:r>
          </w:p>
        </w:tc>
      </w:tr>
      <w:tr>
        <w:trPr>
          <w:trHeight w:val="189"/>
        </w:trPr>
        <w:tc>
          <w:tcPr>
            <w:tcW w:w="2080" w:type="dxa"/>
            <w:vAlign w:val="bottom"/>
          </w:tcPr>
          <w:p>
            <w:pPr>
              <w:ind w:left="80"/>
              <w:spacing w:after="0"/>
              <w:rPr>
                <w:sz w:val="20"/>
                <w:szCs w:val="20"/>
                <w:color w:val="auto"/>
              </w:rPr>
            </w:pPr>
            <w:r>
              <w:rPr>
                <w:rFonts w:ascii="Arial" w:cs="Arial" w:eastAsia="Arial" w:hAnsi="Arial"/>
                <w:sz w:val="16"/>
                <w:szCs w:val="16"/>
                <w:i w:val="1"/>
                <w:iCs w:val="1"/>
                <w:color w:val="auto"/>
              </w:rPr>
              <w:t>performance</w:t>
            </w:r>
          </w:p>
        </w:tc>
        <w:tc>
          <w:tcPr>
            <w:tcW w:w="3200" w:type="dxa"/>
            <w:vAlign w:val="bottom"/>
          </w:tcPr>
          <w:p>
            <w:pPr>
              <w:jc w:val="right"/>
              <w:ind w:right="19"/>
              <w:spacing w:after="0"/>
              <w:rPr>
                <w:sz w:val="20"/>
                <w:szCs w:val="20"/>
                <w:color w:val="auto"/>
              </w:rPr>
            </w:pPr>
            <w:r>
              <w:rPr>
                <w:rFonts w:ascii="Arial" w:cs="Arial" w:eastAsia="Arial" w:hAnsi="Arial"/>
                <w:sz w:val="16"/>
                <w:szCs w:val="16"/>
                <w:color w:val="auto"/>
              </w:rPr>
              <w:t>strategy: committed monthly recurring</w:t>
            </w:r>
          </w:p>
        </w:tc>
        <w:tc>
          <w:tcPr>
            <w:tcW w:w="3140" w:type="dxa"/>
            <w:vAlign w:val="bottom"/>
            <w:gridSpan w:val="4"/>
          </w:tcPr>
          <w:p>
            <w:pPr>
              <w:ind w:left="120"/>
              <w:spacing w:after="0"/>
              <w:rPr>
                <w:sz w:val="20"/>
                <w:szCs w:val="20"/>
                <w:color w:val="auto"/>
              </w:rPr>
            </w:pPr>
            <w:r>
              <w:rPr>
                <w:rFonts w:ascii="Arial" w:cs="Arial" w:eastAsia="Arial" w:hAnsi="Arial"/>
                <w:sz w:val="16"/>
                <w:szCs w:val="16"/>
                <w:color w:val="auto"/>
              </w:rPr>
              <w:t>experiences over a longer time horizon</w:t>
            </w:r>
          </w:p>
        </w:tc>
      </w:tr>
      <w:tr>
        <w:trPr>
          <w:trHeight w:val="189"/>
        </w:trPr>
        <w:tc>
          <w:tcPr>
            <w:tcW w:w="2080" w:type="dxa"/>
            <w:vAlign w:val="bottom"/>
          </w:tcPr>
          <w:p>
            <w:pPr>
              <w:ind w:left="80"/>
              <w:spacing w:after="0"/>
              <w:rPr>
                <w:sz w:val="20"/>
                <w:szCs w:val="20"/>
                <w:color w:val="auto"/>
              </w:rPr>
            </w:pPr>
            <w:r>
              <w:rPr>
                <w:rFonts w:ascii="Arial" w:cs="Arial" w:eastAsia="Arial" w:hAnsi="Arial"/>
                <w:sz w:val="16"/>
                <w:szCs w:val="16"/>
                <w:i w:val="1"/>
                <w:iCs w:val="1"/>
                <w:color w:val="auto"/>
              </w:rPr>
              <w:t>measurement periods</w:t>
            </w:r>
          </w:p>
        </w:tc>
        <w:tc>
          <w:tcPr>
            <w:tcW w:w="3200" w:type="dxa"/>
            <w:vAlign w:val="bottom"/>
          </w:tcPr>
          <w:p>
            <w:pPr>
              <w:jc w:val="right"/>
              <w:ind w:right="19"/>
              <w:spacing w:after="0"/>
              <w:rPr>
                <w:sz w:val="20"/>
                <w:szCs w:val="20"/>
                <w:color w:val="auto"/>
              </w:rPr>
            </w:pPr>
            <w:r>
              <w:rPr>
                <w:rFonts w:ascii="Arial" w:cs="Arial" w:eastAsia="Arial" w:hAnsi="Arial"/>
                <w:sz w:val="16"/>
                <w:szCs w:val="16"/>
                <w:color w:val="auto"/>
              </w:rPr>
              <w:t>revenue (“CMRR”) and free cash flow</w:t>
            </w:r>
          </w:p>
        </w:tc>
        <w:tc>
          <w:tcPr>
            <w:tcW w:w="3140" w:type="dxa"/>
            <w:vAlign w:val="bottom"/>
            <w:gridSpan w:val="4"/>
          </w:tcPr>
          <w:p>
            <w:pPr>
              <w:ind w:left="120"/>
              <w:spacing w:after="0"/>
              <w:rPr>
                <w:sz w:val="20"/>
                <w:szCs w:val="20"/>
                <w:color w:val="auto"/>
              </w:rPr>
            </w:pPr>
            <w:r>
              <w:rPr>
                <w:rFonts w:ascii="Arial" w:cs="Arial" w:eastAsia="Arial" w:hAnsi="Arial"/>
                <w:sz w:val="16"/>
                <w:szCs w:val="16"/>
                <w:color w:val="auto"/>
              </w:rPr>
              <w:t>and (ii) meaningfully reducing the overlap</w:t>
            </w:r>
          </w:p>
        </w:tc>
      </w:tr>
      <w:tr>
        <w:trPr>
          <w:trHeight w:val="189"/>
        </w:trPr>
        <w:tc>
          <w:tcPr>
            <w:tcW w:w="2080" w:type="dxa"/>
            <w:vAlign w:val="bottom"/>
          </w:tcPr>
          <w:p>
            <w:pPr>
              <w:ind w:left="80"/>
              <w:spacing w:after="0"/>
              <w:rPr>
                <w:sz w:val="20"/>
                <w:szCs w:val="20"/>
                <w:color w:val="auto"/>
              </w:rPr>
            </w:pPr>
            <w:r>
              <w:rPr>
                <w:rFonts w:ascii="Arial" w:cs="Arial" w:eastAsia="Arial" w:hAnsi="Arial"/>
                <w:sz w:val="16"/>
                <w:szCs w:val="16"/>
                <w:i w:val="1"/>
                <w:iCs w:val="1"/>
                <w:color w:val="auto"/>
              </w:rPr>
              <w:t>creating differentiation</w:t>
            </w:r>
          </w:p>
        </w:tc>
        <w:tc>
          <w:tcPr>
            <w:tcW w:w="3200" w:type="dxa"/>
            <w:vAlign w:val="bottom"/>
          </w:tcPr>
          <w:p>
            <w:pPr>
              <w:jc w:val="right"/>
              <w:ind w:right="19"/>
              <w:spacing w:after="0"/>
              <w:rPr>
                <w:sz w:val="20"/>
                <w:szCs w:val="20"/>
                <w:color w:val="auto"/>
              </w:rPr>
            </w:pPr>
            <w:r>
              <w:rPr>
                <w:rFonts w:ascii="Arial" w:cs="Arial" w:eastAsia="Arial" w:hAnsi="Arial"/>
                <w:sz w:val="16"/>
                <w:szCs w:val="16"/>
                <w:color w:val="auto"/>
              </w:rPr>
              <w:t>(“FCF”), which will make up a majority</w:t>
            </w:r>
          </w:p>
        </w:tc>
        <w:tc>
          <w:tcPr>
            <w:tcW w:w="3140" w:type="dxa"/>
            <w:vAlign w:val="bottom"/>
            <w:gridSpan w:val="4"/>
          </w:tcPr>
          <w:p>
            <w:pPr>
              <w:ind w:left="120"/>
              <w:spacing w:after="0"/>
              <w:rPr>
                <w:sz w:val="20"/>
                <w:szCs w:val="20"/>
                <w:color w:val="auto"/>
              </w:rPr>
            </w:pPr>
            <w:r>
              <w:rPr>
                <w:rFonts w:ascii="Arial" w:cs="Arial" w:eastAsia="Arial" w:hAnsi="Arial"/>
                <w:sz w:val="16"/>
                <w:szCs w:val="16"/>
                <w:color w:val="auto"/>
              </w:rPr>
              <w:t>between  the  short-term  incentive  and</w:t>
            </w:r>
          </w:p>
        </w:tc>
      </w:tr>
      <w:tr>
        <w:trPr>
          <w:trHeight w:val="189"/>
        </w:trPr>
        <w:tc>
          <w:tcPr>
            <w:tcW w:w="2080" w:type="dxa"/>
            <w:vAlign w:val="bottom"/>
          </w:tcPr>
          <w:p>
            <w:pPr>
              <w:ind w:left="80"/>
              <w:spacing w:after="0"/>
              <w:rPr>
                <w:sz w:val="20"/>
                <w:szCs w:val="20"/>
                <w:color w:val="auto"/>
              </w:rPr>
            </w:pPr>
            <w:r>
              <w:rPr>
                <w:rFonts w:ascii="Arial" w:cs="Arial" w:eastAsia="Arial" w:hAnsi="Arial"/>
                <w:sz w:val="16"/>
                <w:szCs w:val="16"/>
                <w:i w:val="1"/>
                <w:iCs w:val="1"/>
                <w:color w:val="auto"/>
              </w:rPr>
              <w:t>with annual incentive</w:t>
            </w:r>
          </w:p>
        </w:tc>
        <w:tc>
          <w:tcPr>
            <w:tcW w:w="3200" w:type="dxa"/>
            <w:vAlign w:val="bottom"/>
          </w:tcPr>
          <w:p>
            <w:pPr>
              <w:jc w:val="right"/>
              <w:ind w:right="19"/>
              <w:spacing w:after="0"/>
              <w:rPr>
                <w:sz w:val="20"/>
                <w:szCs w:val="20"/>
                <w:color w:val="auto"/>
              </w:rPr>
            </w:pPr>
            <w:r>
              <w:rPr>
                <w:rFonts w:ascii="Arial" w:cs="Arial" w:eastAsia="Arial" w:hAnsi="Arial"/>
                <w:sz w:val="16"/>
                <w:szCs w:val="16"/>
                <w:color w:val="auto"/>
              </w:rPr>
              <w:t>of the Financial PSUs’ performance</w:t>
            </w:r>
          </w:p>
        </w:tc>
        <w:tc>
          <w:tcPr>
            <w:tcW w:w="2740" w:type="dxa"/>
            <w:vAlign w:val="bottom"/>
            <w:gridSpan w:val="3"/>
          </w:tcPr>
          <w:p>
            <w:pPr>
              <w:ind w:left="120"/>
              <w:spacing w:after="0"/>
              <w:rPr>
                <w:sz w:val="20"/>
                <w:szCs w:val="20"/>
                <w:color w:val="auto"/>
              </w:rPr>
            </w:pPr>
            <w:r>
              <w:rPr>
                <w:rFonts w:ascii="Arial" w:cs="Arial" w:eastAsia="Arial" w:hAnsi="Arial"/>
                <w:sz w:val="16"/>
                <w:szCs w:val="16"/>
                <w:color w:val="auto"/>
              </w:rPr>
              <w:t>long-term incentive equity grants.</w:t>
            </w:r>
          </w:p>
        </w:tc>
        <w:tc>
          <w:tcPr>
            <w:tcW w:w="400" w:type="dxa"/>
            <w:vAlign w:val="bottom"/>
          </w:tcPr>
          <w:p>
            <w:pPr>
              <w:spacing w:after="0"/>
              <w:rPr>
                <w:sz w:val="16"/>
                <w:szCs w:val="16"/>
                <w:color w:val="auto"/>
              </w:rPr>
            </w:pPr>
          </w:p>
        </w:tc>
      </w:tr>
      <w:tr>
        <w:trPr>
          <w:trHeight w:val="151"/>
        </w:trPr>
        <w:tc>
          <w:tcPr>
            <w:tcW w:w="2080" w:type="dxa"/>
            <w:vAlign w:val="bottom"/>
          </w:tcPr>
          <w:p>
            <w:pPr>
              <w:ind w:left="80"/>
              <w:spacing w:after="0" w:line="151" w:lineRule="exact"/>
              <w:rPr>
                <w:sz w:val="20"/>
                <w:szCs w:val="20"/>
                <w:color w:val="auto"/>
              </w:rPr>
            </w:pPr>
            <w:r>
              <w:rPr>
                <w:rFonts w:ascii="Arial" w:cs="Arial" w:eastAsia="Arial" w:hAnsi="Arial"/>
                <w:sz w:val="16"/>
                <w:szCs w:val="16"/>
                <w:i w:val="1"/>
                <w:iCs w:val="1"/>
                <w:color w:val="auto"/>
              </w:rPr>
              <w:t>programs</w:t>
            </w:r>
          </w:p>
        </w:tc>
        <w:tc>
          <w:tcPr>
            <w:tcW w:w="3200" w:type="dxa"/>
            <w:vAlign w:val="bottom"/>
          </w:tcPr>
          <w:p>
            <w:pPr>
              <w:jc w:val="right"/>
              <w:ind w:right="1279"/>
              <w:spacing w:after="0" w:line="151" w:lineRule="exact"/>
              <w:rPr>
                <w:sz w:val="20"/>
                <w:szCs w:val="20"/>
                <w:color w:val="auto"/>
              </w:rPr>
            </w:pPr>
            <w:r>
              <w:rPr>
                <w:rFonts w:ascii="Arial" w:cs="Arial" w:eastAsia="Arial" w:hAnsi="Arial"/>
                <w:sz w:val="16"/>
                <w:szCs w:val="16"/>
                <w:color w:val="auto"/>
              </w:rPr>
              <w:t>measurement (2026)</w:t>
            </w:r>
          </w:p>
        </w:tc>
        <w:tc>
          <w:tcPr>
            <w:tcW w:w="4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r>
    </w:tbl>
    <w:p>
      <w:pPr>
        <w:ind w:left="6060"/>
        <w:spacing w:after="0"/>
        <w:rPr>
          <w:sz w:val="20"/>
          <w:szCs w:val="20"/>
          <w:color w:val="auto"/>
        </w:rPr>
      </w:pPr>
      <w:r>
        <w:rPr>
          <w:rFonts w:ascii="Arial" w:cs="Arial" w:eastAsia="Arial" w:hAnsi="Arial"/>
          <w:sz w:val="16"/>
          <w:szCs w:val="16"/>
          <w:color w:val="auto"/>
        </w:rPr>
        <w:t>The Financial PSUs, following the design</w:t>
      </w:r>
    </w:p>
    <w:p>
      <w:pPr>
        <w:spacing w:after="0" w:line="5" w:lineRule="exact"/>
        <w:rPr>
          <w:sz w:val="20"/>
          <w:szCs w:val="20"/>
          <w:color w:val="auto"/>
        </w:rPr>
      </w:pPr>
    </w:p>
    <w:p>
      <w:pPr>
        <w:ind w:left="6060"/>
        <w:spacing w:after="0"/>
        <w:tabs>
          <w:tab w:leader="none" w:pos="6780" w:val="left"/>
          <w:tab w:leader="none" w:pos="7320" w:val="left"/>
          <w:tab w:leader="none" w:pos="7580" w:val="left"/>
          <w:tab w:leader="none" w:pos="8120" w:val="left"/>
          <w:tab w:leader="none" w:pos="8860" w:val="left"/>
        </w:tabs>
        <w:rPr>
          <w:sz w:val="20"/>
          <w:szCs w:val="20"/>
          <w:color w:val="auto"/>
        </w:rPr>
      </w:pPr>
      <w:r>
        <w:rPr>
          <w:rFonts w:ascii="Arial" w:cs="Arial" w:eastAsia="Arial" w:hAnsi="Arial"/>
          <w:sz w:val="16"/>
          <w:szCs w:val="16"/>
          <w:color w:val="auto"/>
        </w:rPr>
        <w:t>changes</w:t>
        <w:tab/>
        <w:t>made</w:t>
        <w:tab/>
        <w:t>in</w:t>
        <w:tab/>
        <w:t>2026,</w:t>
        <w:tab/>
        <w:t>continue</w:t>
        <w:tab/>
        <w:t>to</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measure and focus on revenue growth</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goals, a critical business metric. These</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Financial PSUs now also include other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operational  metrics  (CMRR  and  FCF)</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that are important drivers of stockholder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value creation.</w:t>
      </w:r>
    </w:p>
    <w:p>
      <w:pPr>
        <w:spacing w:after="0" w:line="111" w:lineRule="exact"/>
        <w:rPr>
          <w:sz w:val="20"/>
          <w:szCs w:val="20"/>
          <w:color w:val="auto"/>
        </w:rPr>
      </w:pPr>
    </w:p>
    <w:p>
      <w:pPr>
        <w:ind w:left="6060"/>
        <w:spacing w:after="0"/>
        <w:tabs>
          <w:tab w:leader="none" w:pos="6460" w:val="left"/>
          <w:tab w:leader="none" w:pos="7260" w:val="left"/>
          <w:tab w:leader="none" w:pos="8100" w:val="left"/>
          <w:tab w:leader="none" w:pos="8360" w:val="left"/>
        </w:tabs>
        <w:rPr>
          <w:sz w:val="20"/>
          <w:szCs w:val="20"/>
          <w:color w:val="auto"/>
        </w:rPr>
      </w:pPr>
      <w:r>
        <w:rPr>
          <w:rFonts w:ascii="Arial" w:cs="Arial" w:eastAsia="Arial" w:hAnsi="Arial"/>
          <w:sz w:val="16"/>
          <w:szCs w:val="16"/>
          <w:color w:val="auto"/>
        </w:rPr>
        <w:t>The</w:t>
        <w:tab/>
        <w:t>company</w:t>
        <w:tab/>
        <w:t>continues</w:t>
        <w:tab/>
        <w:t>to</w:t>
        <w:tab/>
        <w:t>measure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financial goals over a one-year period</w:t>
      </w:r>
    </w:p>
    <w:p>
      <w:pPr>
        <w:spacing w:after="0" w:line="5" w:lineRule="exact"/>
        <w:rPr>
          <w:sz w:val="20"/>
          <w:szCs w:val="20"/>
          <w:color w:val="auto"/>
        </w:rPr>
      </w:pPr>
    </w:p>
    <w:p>
      <w:pPr>
        <w:ind w:left="6060"/>
        <w:spacing w:after="0"/>
        <w:tabs>
          <w:tab w:leader="none" w:pos="6460" w:val="left"/>
          <w:tab w:leader="none" w:pos="6760" w:val="left"/>
          <w:tab w:leader="none" w:pos="7140" w:val="left"/>
          <w:tab w:leader="none" w:pos="7840" w:val="left"/>
        </w:tabs>
        <w:rPr>
          <w:sz w:val="20"/>
          <w:szCs w:val="20"/>
          <w:color w:val="auto"/>
        </w:rPr>
      </w:pPr>
      <w:r>
        <w:rPr>
          <w:rFonts w:ascii="Arial" w:cs="Arial" w:eastAsia="Arial" w:hAnsi="Arial"/>
          <w:sz w:val="16"/>
          <w:szCs w:val="16"/>
          <w:color w:val="auto"/>
        </w:rPr>
        <w:t>due</w:t>
        <w:tab/>
        <w:t>to</w:t>
        <w:tab/>
        <w:t>the</w:t>
        <w:tab/>
        <w:t>broader</w:t>
        <w:tab/>
        <w:t>macroeconomic</w:t>
      </w:r>
    </w:p>
    <w:p>
      <w:pPr>
        <w:spacing w:after="0" w:line="5" w:lineRule="exact"/>
        <w:rPr>
          <w:sz w:val="20"/>
          <w:szCs w:val="20"/>
          <w:color w:val="auto"/>
        </w:rPr>
      </w:pPr>
    </w:p>
    <w:p>
      <w:pPr>
        <w:ind w:left="6060"/>
        <w:spacing w:after="0"/>
        <w:tabs>
          <w:tab w:leader="none" w:pos="7000" w:val="left"/>
          <w:tab w:leader="none" w:pos="7320" w:val="left"/>
          <w:tab w:leader="none" w:pos="8300" w:val="left"/>
        </w:tabs>
        <w:rPr>
          <w:sz w:val="20"/>
          <w:szCs w:val="20"/>
          <w:color w:val="auto"/>
        </w:rPr>
      </w:pPr>
      <w:r>
        <w:rPr>
          <w:rFonts w:ascii="Arial" w:cs="Arial" w:eastAsia="Arial" w:hAnsi="Arial"/>
          <w:sz w:val="16"/>
          <w:szCs w:val="16"/>
          <w:color w:val="auto"/>
        </w:rPr>
        <w:t>challenges</w:t>
        <w:tab/>
        <w:t>in</w:t>
        <w:tab/>
        <w:t>forecasting</w:t>
        <w:tab/>
        <w:t>long-term</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goals. The Compensation Committee will</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continue to evaluate the design of the</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PSUs with respect to the metrics and</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weightings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27940</wp:posOffset>
            </wp:positionV>
            <wp:extent cx="534924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2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60" w:type="dxa"/>
            <w:vAlign w:val="bottom"/>
          </w:tcPr>
          <w:p>
            <w:pPr>
              <w:spacing w:after="0"/>
              <w:rPr>
                <w:sz w:val="24"/>
                <w:szCs w:val="24"/>
                <w:color w:val="auto"/>
              </w:rPr>
            </w:pPr>
          </w:p>
        </w:tc>
        <w:tc>
          <w:tcPr>
            <w:tcW w:w="2080" w:type="dxa"/>
            <w:vAlign w:val="bottom"/>
            <w:gridSpan w:val="2"/>
          </w:tcPr>
          <w:p>
            <w:pPr>
              <w:ind w:left="80"/>
              <w:spacing w:after="0"/>
              <w:rPr>
                <w:sz w:val="20"/>
                <w:szCs w:val="20"/>
                <w:color w:val="auto"/>
              </w:rPr>
            </w:pPr>
            <w:r>
              <w:rPr>
                <w:rFonts w:ascii="Arial" w:cs="Arial" w:eastAsia="Arial" w:hAnsi="Arial"/>
                <w:sz w:val="16"/>
                <w:szCs w:val="16"/>
                <w:b w:val="1"/>
                <w:bCs w:val="1"/>
                <w:color w:val="auto"/>
              </w:rPr>
              <w:t>What We Heard from</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080" w:type="dxa"/>
            <w:vAlign w:val="bottom"/>
            <w:gridSpan w:val="2"/>
          </w:tcPr>
          <w:p>
            <w:pPr>
              <w:ind w:left="80"/>
              <w:spacing w:after="0"/>
              <w:rPr>
                <w:sz w:val="20"/>
                <w:szCs w:val="20"/>
                <w:color w:val="auto"/>
              </w:rPr>
            </w:pPr>
            <w:r>
              <w:rPr>
                <w:rFonts w:ascii="Arial" w:cs="Arial" w:eastAsia="Arial" w:hAnsi="Arial"/>
                <w:sz w:val="16"/>
                <w:szCs w:val="16"/>
                <w:b w:val="1"/>
                <w:bCs w:val="1"/>
                <w:color w:val="auto"/>
              </w:rPr>
              <w:t>Stockholders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ind w:left="680"/>
              <w:spacing w:after="0"/>
              <w:rPr>
                <w:sz w:val="20"/>
                <w:szCs w:val="20"/>
                <w:color w:val="auto"/>
              </w:rPr>
            </w:pPr>
            <w:r>
              <w:rPr>
                <w:rFonts w:ascii="Arial" w:cs="Arial" w:eastAsia="Arial" w:hAnsi="Arial"/>
                <w:sz w:val="16"/>
                <w:szCs w:val="16"/>
                <w:b w:val="1"/>
                <w:bCs w:val="1"/>
                <w:color w:val="auto"/>
              </w:rPr>
              <w:t>What We Did</w:t>
            </w:r>
          </w:p>
        </w:tc>
        <w:tc>
          <w:tcPr>
            <w:tcW w:w="400" w:type="dxa"/>
            <w:vAlign w:val="bottom"/>
          </w:tcPr>
          <w:p>
            <w:pPr>
              <w:spacing w:after="0"/>
              <w:rPr>
                <w:sz w:val="19"/>
                <w:szCs w:val="19"/>
                <w:color w:val="auto"/>
              </w:rPr>
            </w:pPr>
          </w:p>
        </w:tc>
        <w:tc>
          <w:tcPr>
            <w:tcW w:w="274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Rationale and Other Context</w:t>
            </w:r>
          </w:p>
        </w:tc>
        <w:tc>
          <w:tcPr>
            <w:tcW w:w="0" w:type="dxa"/>
            <w:vAlign w:val="bottom"/>
          </w:tcPr>
          <w:p>
            <w:pPr>
              <w:spacing w:after="0"/>
              <w:rPr>
                <w:sz w:val="1"/>
                <w:szCs w:val="1"/>
                <w:color w:val="auto"/>
              </w:rPr>
            </w:pPr>
          </w:p>
        </w:tc>
      </w:tr>
      <w:tr>
        <w:trPr>
          <w:trHeight w:val="35"/>
        </w:trPr>
        <w:tc>
          <w:tcPr>
            <w:tcW w:w="660" w:type="dxa"/>
            <w:vAlign w:val="bottom"/>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1200" w:type="dxa"/>
            <w:vAlign w:val="bottom"/>
            <w:tcBorders>
              <w:bottom w:val="single" w:sz="8" w:color="808080"/>
            </w:tcBorders>
          </w:tcPr>
          <w:p>
            <w:pPr>
              <w:spacing w:after="0"/>
              <w:rPr>
                <w:sz w:val="3"/>
                <w:szCs w:val="3"/>
                <w:color w:val="auto"/>
              </w:rPr>
            </w:pPr>
          </w:p>
        </w:tc>
        <w:tc>
          <w:tcPr>
            <w:tcW w:w="3200" w:type="dxa"/>
            <w:vAlign w:val="bottom"/>
            <w:tcBorders>
              <w:bottom w:val="single" w:sz="8" w:color="808080"/>
            </w:tcBorders>
            <w:gridSpan w:val="3"/>
          </w:tcPr>
          <w:p>
            <w:pPr>
              <w:spacing w:after="0"/>
              <w:rPr>
                <w:sz w:val="3"/>
                <w:szCs w:val="3"/>
                <w:color w:val="auto"/>
              </w:rPr>
            </w:pPr>
          </w:p>
        </w:tc>
        <w:tc>
          <w:tcPr>
            <w:tcW w:w="3140" w:type="dxa"/>
            <w:vAlign w:val="bottom"/>
            <w:tcBorders>
              <w:bottom w:val="single" w:sz="8" w:color="808080"/>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2080" w:type="dxa"/>
            <w:vAlign w:val="bottom"/>
            <w:gridSpan w:val="2"/>
          </w:tcPr>
          <w:p>
            <w:pPr>
              <w:ind w:left="80"/>
              <w:spacing w:after="0"/>
              <w:rPr>
                <w:sz w:val="20"/>
                <w:szCs w:val="20"/>
                <w:color w:val="auto"/>
              </w:rPr>
            </w:pPr>
            <w:r>
              <w:rPr>
                <w:rFonts w:ascii="Arial" w:cs="Arial" w:eastAsia="Arial" w:hAnsi="Arial"/>
                <w:sz w:val="16"/>
                <w:szCs w:val="16"/>
                <w:b w:val="1"/>
                <w:bCs w:val="1"/>
                <w:color w:val="auto"/>
              </w:rPr>
              <w:t>Mix of Performance-</w:t>
            </w:r>
          </w:p>
        </w:tc>
        <w:tc>
          <w:tcPr>
            <w:tcW w:w="3200" w:type="dxa"/>
            <w:vAlign w:val="bottom"/>
            <w:gridSpan w:val="3"/>
          </w:tcPr>
          <w:p>
            <w:pPr>
              <w:ind w:left="120"/>
              <w:spacing w:after="0"/>
              <w:rPr>
                <w:sz w:val="20"/>
                <w:szCs w:val="20"/>
                <w:color w:val="auto"/>
              </w:rPr>
            </w:pPr>
            <w:r>
              <w:rPr>
                <w:rFonts w:ascii="Arial" w:cs="Arial" w:eastAsia="Arial" w:hAnsi="Arial"/>
                <w:sz w:val="16"/>
                <w:szCs w:val="16"/>
                <w:b w:val="1"/>
                <w:bCs w:val="1"/>
                <w:color w:val="auto"/>
              </w:rPr>
              <w:t>CEO Annual PSU Mix:</w:t>
            </w:r>
          </w:p>
        </w:tc>
        <w:tc>
          <w:tcPr>
            <w:tcW w:w="3140" w:type="dxa"/>
            <w:vAlign w:val="bottom"/>
            <w:gridSpan w:val="5"/>
          </w:tcPr>
          <w:p>
            <w:pPr>
              <w:ind w:left="120"/>
              <w:spacing w:after="0"/>
              <w:rPr>
                <w:sz w:val="20"/>
                <w:szCs w:val="20"/>
                <w:color w:val="auto"/>
              </w:rPr>
            </w:pPr>
            <w:r>
              <w:rPr>
                <w:rFonts w:ascii="Arial" w:cs="Arial" w:eastAsia="Arial" w:hAnsi="Arial"/>
                <w:sz w:val="16"/>
                <w:szCs w:val="16"/>
                <w:color w:val="auto"/>
              </w:rPr>
              <w:t>The Compensation Committee annually</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gridSpan w:val="2"/>
          </w:tcPr>
          <w:p>
            <w:pPr>
              <w:ind w:left="80"/>
              <w:spacing w:after="0"/>
              <w:rPr>
                <w:sz w:val="20"/>
                <w:szCs w:val="20"/>
                <w:color w:val="auto"/>
              </w:rPr>
            </w:pPr>
            <w:r>
              <w:rPr>
                <w:rFonts w:ascii="Arial" w:cs="Arial" w:eastAsia="Arial" w:hAnsi="Arial"/>
                <w:sz w:val="16"/>
                <w:szCs w:val="16"/>
                <w:b w:val="1"/>
                <w:bCs w:val="1"/>
                <w:color w:val="auto"/>
              </w:rPr>
              <w:t>Based LTI</w:t>
            </w:r>
          </w:p>
        </w:tc>
        <w:tc>
          <w:tcPr>
            <w:tcW w:w="220" w:type="dxa"/>
            <w:vAlign w:val="bottom"/>
          </w:tcPr>
          <w:p>
            <w:pPr>
              <w:ind w:left="12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60"/>
              <w:spacing w:after="0"/>
              <w:rPr>
                <w:sz w:val="20"/>
                <w:szCs w:val="20"/>
                <w:color w:val="auto"/>
              </w:rPr>
            </w:pPr>
            <w:r>
              <w:rPr>
                <w:rFonts w:ascii="Arial" w:cs="Arial" w:eastAsia="Arial" w:hAnsi="Arial"/>
                <w:sz w:val="14"/>
                <w:szCs w:val="14"/>
                <w:color w:val="auto"/>
                <w:w w:val="73"/>
              </w:rPr>
              <w:t>• </w:t>
            </w:r>
          </w:p>
        </w:tc>
        <w:tc>
          <w:tcPr>
            <w:tcW w:w="2760" w:type="dxa"/>
            <w:vAlign w:val="bottom"/>
          </w:tcPr>
          <w:p>
            <w:pPr>
              <w:ind w:left="60"/>
              <w:spacing w:after="0"/>
              <w:rPr>
                <w:sz w:val="20"/>
                <w:szCs w:val="20"/>
                <w:color w:val="auto"/>
              </w:rPr>
            </w:pPr>
            <w:r>
              <w:rPr>
                <w:rFonts w:ascii="Arial" w:cs="Arial" w:eastAsia="Arial" w:hAnsi="Arial"/>
                <w:sz w:val="16"/>
                <w:szCs w:val="16"/>
                <w:color w:val="auto"/>
              </w:rPr>
              <w:t>Increased to 60% from 50% (2024)</w:t>
            </w:r>
          </w:p>
        </w:tc>
        <w:tc>
          <w:tcPr>
            <w:tcW w:w="3140" w:type="dxa"/>
            <w:vAlign w:val="bottom"/>
            <w:gridSpan w:val="5"/>
          </w:tcPr>
          <w:p>
            <w:pPr>
              <w:ind w:left="120"/>
              <w:spacing w:after="0"/>
              <w:rPr>
                <w:sz w:val="20"/>
                <w:szCs w:val="20"/>
                <w:color w:val="auto"/>
              </w:rPr>
            </w:pPr>
            <w:r>
              <w:rPr>
                <w:rFonts w:ascii="Arial" w:cs="Arial" w:eastAsia="Arial" w:hAnsi="Arial"/>
                <w:sz w:val="16"/>
                <w:szCs w:val="16"/>
                <w:color w:val="auto"/>
              </w:rPr>
              <w:t>assesses  the  mix  of  the  Named</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gridSpan w:val="2"/>
          </w:tcPr>
          <w:p>
            <w:pPr>
              <w:ind w:left="80"/>
              <w:spacing w:after="0"/>
              <w:rPr>
                <w:sz w:val="20"/>
                <w:szCs w:val="20"/>
                <w:color w:val="auto"/>
              </w:rPr>
            </w:pPr>
            <w:r>
              <w:rPr>
                <w:rFonts w:ascii="Arial" w:cs="Arial" w:eastAsia="Arial" w:hAnsi="Arial"/>
                <w:sz w:val="16"/>
                <w:szCs w:val="16"/>
                <w:i w:val="1"/>
                <w:iCs w:val="1"/>
                <w:color w:val="auto"/>
              </w:rPr>
              <w:t>Stockholders expressed a</w:t>
            </w:r>
          </w:p>
        </w:tc>
        <w:tc>
          <w:tcPr>
            <w:tcW w:w="220" w:type="dxa"/>
            <w:vAlign w:val="bottom"/>
          </w:tcPr>
          <w:p>
            <w:pPr>
              <w:ind w:left="12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60"/>
              <w:spacing w:after="0"/>
              <w:rPr>
                <w:sz w:val="20"/>
                <w:szCs w:val="20"/>
                <w:color w:val="auto"/>
              </w:rPr>
            </w:pPr>
            <w:r>
              <w:rPr>
                <w:rFonts w:ascii="Arial" w:cs="Arial" w:eastAsia="Arial" w:hAnsi="Arial"/>
                <w:sz w:val="14"/>
                <w:szCs w:val="14"/>
                <w:color w:val="auto"/>
                <w:w w:val="73"/>
              </w:rPr>
              <w:t>• </w:t>
            </w:r>
          </w:p>
        </w:tc>
        <w:tc>
          <w:tcPr>
            <w:tcW w:w="2760" w:type="dxa"/>
            <w:vAlign w:val="bottom"/>
          </w:tcPr>
          <w:p>
            <w:pPr>
              <w:ind w:left="60"/>
              <w:spacing w:after="0"/>
              <w:rPr>
                <w:sz w:val="20"/>
                <w:szCs w:val="20"/>
                <w:color w:val="auto"/>
              </w:rPr>
            </w:pPr>
            <w:r>
              <w:rPr>
                <w:rFonts w:ascii="Arial" w:cs="Arial" w:eastAsia="Arial" w:hAnsi="Arial"/>
                <w:sz w:val="16"/>
                <w:szCs w:val="16"/>
                <w:color w:val="auto"/>
              </w:rPr>
              <w:t>Decreased to 50% (2025)</w:t>
            </w:r>
          </w:p>
        </w:tc>
        <w:tc>
          <w:tcPr>
            <w:tcW w:w="3140" w:type="dxa"/>
            <w:vAlign w:val="bottom"/>
            <w:gridSpan w:val="5"/>
          </w:tcPr>
          <w:p>
            <w:pPr>
              <w:ind w:left="120"/>
              <w:spacing w:after="0"/>
              <w:rPr>
                <w:sz w:val="20"/>
                <w:szCs w:val="20"/>
                <w:color w:val="auto"/>
              </w:rPr>
            </w:pPr>
            <w:r>
              <w:rPr>
                <w:rFonts w:ascii="Arial" w:cs="Arial" w:eastAsia="Arial" w:hAnsi="Arial"/>
                <w:sz w:val="16"/>
                <w:szCs w:val="16"/>
                <w:color w:val="auto"/>
              </w:rPr>
              <w:t>Executive Officers’ LTI equity grants and</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gridSpan w:val="2"/>
          </w:tcPr>
          <w:p>
            <w:pPr>
              <w:ind w:left="80"/>
              <w:spacing w:after="0"/>
              <w:rPr>
                <w:sz w:val="20"/>
                <w:szCs w:val="20"/>
                <w:color w:val="auto"/>
              </w:rPr>
            </w:pPr>
            <w:r>
              <w:rPr>
                <w:rFonts w:ascii="Arial" w:cs="Arial" w:eastAsia="Arial" w:hAnsi="Arial"/>
                <w:sz w:val="16"/>
                <w:szCs w:val="16"/>
                <w:i w:val="1"/>
                <w:iCs w:val="1"/>
                <w:color w:val="auto"/>
              </w:rPr>
              <w:t>preference for 50%</w:t>
            </w:r>
          </w:p>
        </w:tc>
        <w:tc>
          <w:tcPr>
            <w:tcW w:w="220" w:type="dxa"/>
            <w:vAlign w:val="bottom"/>
          </w:tcPr>
          <w:p>
            <w:pPr>
              <w:ind w:left="120"/>
              <w:spacing w:after="0"/>
              <w:rPr>
                <w:sz w:val="20"/>
                <w:szCs w:val="20"/>
                <w:color w:val="auto"/>
              </w:rPr>
            </w:pPr>
            <w:r>
              <w:rPr>
                <w:rFonts w:ascii="Arial" w:cs="Arial" w:eastAsia="Arial" w:hAnsi="Arial"/>
                <w:sz w:val="11"/>
                <w:szCs w:val="11"/>
                <w:color w:val="auto"/>
                <w:w w:val="72"/>
              </w:rPr>
              <w:t> </w:t>
            </w:r>
          </w:p>
        </w:tc>
        <w:tc>
          <w:tcPr>
            <w:tcW w:w="220" w:type="dxa"/>
            <w:vAlign w:val="bottom"/>
          </w:tcPr>
          <w:p>
            <w:pPr>
              <w:ind w:left="60"/>
              <w:spacing w:after="0"/>
              <w:rPr>
                <w:sz w:val="20"/>
                <w:szCs w:val="20"/>
                <w:color w:val="auto"/>
              </w:rPr>
            </w:pPr>
            <w:r>
              <w:rPr>
                <w:rFonts w:ascii="Arial" w:cs="Arial" w:eastAsia="Arial" w:hAnsi="Arial"/>
                <w:sz w:val="14"/>
                <w:szCs w:val="14"/>
                <w:color w:val="auto"/>
                <w:w w:val="73"/>
              </w:rPr>
              <w:t>• </w:t>
            </w:r>
          </w:p>
        </w:tc>
        <w:tc>
          <w:tcPr>
            <w:tcW w:w="2760" w:type="dxa"/>
            <w:vAlign w:val="bottom"/>
          </w:tcPr>
          <w:p>
            <w:pPr>
              <w:ind w:left="60"/>
              <w:spacing w:after="0"/>
              <w:rPr>
                <w:sz w:val="20"/>
                <w:szCs w:val="20"/>
                <w:color w:val="auto"/>
              </w:rPr>
            </w:pPr>
            <w:r>
              <w:rPr>
                <w:rFonts w:ascii="Arial" w:cs="Arial" w:eastAsia="Arial" w:hAnsi="Arial"/>
                <w:sz w:val="16"/>
                <w:szCs w:val="16"/>
                <w:color w:val="auto"/>
              </w:rPr>
              <w:t>Maintained at 50% (2026)</w:t>
            </w:r>
          </w:p>
        </w:tc>
        <w:tc>
          <w:tcPr>
            <w:tcW w:w="3140" w:type="dxa"/>
            <w:vAlign w:val="bottom"/>
            <w:gridSpan w:val="5"/>
          </w:tcPr>
          <w:p>
            <w:pPr>
              <w:ind w:left="120"/>
              <w:spacing w:after="0"/>
              <w:rPr>
                <w:sz w:val="20"/>
                <w:szCs w:val="20"/>
                <w:color w:val="auto"/>
              </w:rPr>
            </w:pPr>
            <w:r>
              <w:rPr>
                <w:rFonts w:ascii="Arial" w:cs="Arial" w:eastAsia="Arial" w:hAnsi="Arial"/>
                <w:sz w:val="16"/>
                <w:szCs w:val="16"/>
                <w:color w:val="auto"/>
              </w:rPr>
              <w:t>percentage   that   is   connected   to</w:t>
            </w:r>
          </w:p>
        </w:tc>
        <w:tc>
          <w:tcPr>
            <w:tcW w:w="0" w:type="dxa"/>
            <w:vAlign w:val="bottom"/>
          </w:tcPr>
          <w:p>
            <w:pPr>
              <w:spacing w:after="0"/>
              <w:rPr>
                <w:sz w:val="1"/>
                <w:szCs w:val="1"/>
                <w:color w:val="auto"/>
              </w:rPr>
            </w:pPr>
          </w:p>
        </w:tc>
      </w:tr>
      <w:tr>
        <w:trPr>
          <w:trHeight w:val="189"/>
        </w:trPr>
        <w:tc>
          <w:tcPr>
            <w:tcW w:w="660" w:type="dxa"/>
            <w:vAlign w:val="bottom"/>
          </w:tcPr>
          <w:p>
            <w:pPr>
              <w:spacing w:after="0"/>
              <w:rPr>
                <w:sz w:val="16"/>
                <w:szCs w:val="16"/>
                <w:color w:val="auto"/>
              </w:rPr>
            </w:pPr>
          </w:p>
        </w:tc>
        <w:tc>
          <w:tcPr>
            <w:tcW w:w="2080" w:type="dxa"/>
            <w:vAlign w:val="bottom"/>
            <w:gridSpan w:val="2"/>
          </w:tcPr>
          <w:p>
            <w:pPr>
              <w:ind w:left="80"/>
              <w:spacing w:after="0"/>
              <w:rPr>
                <w:sz w:val="20"/>
                <w:szCs w:val="20"/>
                <w:color w:val="auto"/>
              </w:rPr>
            </w:pPr>
            <w:r>
              <w:rPr>
                <w:rFonts w:ascii="Arial" w:cs="Arial" w:eastAsia="Arial" w:hAnsi="Arial"/>
                <w:sz w:val="16"/>
                <w:szCs w:val="16"/>
                <w:i w:val="1"/>
                <w:iCs w:val="1"/>
                <w:color w:val="auto"/>
              </w:rPr>
              <w:t>performance-based LTI</w:t>
            </w:r>
          </w:p>
        </w:tc>
        <w:tc>
          <w:tcPr>
            <w:tcW w:w="320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Non-CEO Named Executive Officers’</w:t>
            </w:r>
          </w:p>
        </w:tc>
        <w:tc>
          <w:tcPr>
            <w:tcW w:w="1640" w:type="dxa"/>
            <w:vAlign w:val="bottom"/>
            <w:gridSpan w:val="3"/>
          </w:tcPr>
          <w:p>
            <w:pPr>
              <w:ind w:left="120"/>
              <w:spacing w:after="0"/>
              <w:rPr>
                <w:sz w:val="20"/>
                <w:szCs w:val="20"/>
                <w:color w:val="auto"/>
              </w:rPr>
            </w:pPr>
            <w:r>
              <w:rPr>
                <w:rFonts w:ascii="Arial" w:cs="Arial" w:eastAsia="Arial" w:hAnsi="Arial"/>
                <w:sz w:val="16"/>
                <w:szCs w:val="16"/>
                <w:color w:val="auto"/>
              </w:rPr>
              <w:t>performance-based</w:t>
            </w:r>
          </w:p>
        </w:tc>
        <w:tc>
          <w:tcPr>
            <w:tcW w:w="600" w:type="dxa"/>
            <w:vAlign w:val="bottom"/>
          </w:tcPr>
          <w:p>
            <w:pPr>
              <w:spacing w:after="0"/>
              <w:rPr>
                <w:sz w:val="20"/>
                <w:szCs w:val="20"/>
                <w:color w:val="auto"/>
              </w:rPr>
            </w:pPr>
            <w:r>
              <w:rPr>
                <w:rFonts w:ascii="Arial" w:cs="Arial" w:eastAsia="Arial" w:hAnsi="Arial"/>
                <w:sz w:val="16"/>
                <w:szCs w:val="16"/>
                <w:color w:val="auto"/>
              </w:rPr>
              <w:t>vesting</w:t>
            </w:r>
          </w:p>
        </w:tc>
        <w:tc>
          <w:tcPr>
            <w:tcW w:w="900" w:type="dxa"/>
            <w:vAlign w:val="bottom"/>
          </w:tcPr>
          <w:p>
            <w:pPr>
              <w:jc w:val="right"/>
              <w:spacing w:after="0"/>
              <w:rPr>
                <w:sz w:val="20"/>
                <w:szCs w:val="20"/>
                <w:color w:val="auto"/>
              </w:rPr>
            </w:pPr>
            <w:r>
              <w:rPr>
                <w:rFonts w:ascii="Arial" w:cs="Arial" w:eastAsia="Arial" w:hAnsi="Arial"/>
                <w:sz w:val="16"/>
                <w:szCs w:val="16"/>
                <w:color w:val="auto"/>
              </w:rPr>
              <w:t>conditions.</w:t>
            </w:r>
          </w:p>
        </w:tc>
        <w:tc>
          <w:tcPr>
            <w:tcW w:w="0" w:type="dxa"/>
            <w:vAlign w:val="bottom"/>
          </w:tcPr>
          <w:p>
            <w:pPr>
              <w:spacing w:after="0"/>
              <w:rPr>
                <w:sz w:val="1"/>
                <w:szCs w:val="1"/>
                <w:color w:val="auto"/>
              </w:rPr>
            </w:pPr>
          </w:p>
        </w:tc>
      </w:tr>
      <w:tr>
        <w:trPr>
          <w:trHeight w:val="121"/>
        </w:trPr>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0" w:type="dxa"/>
            <w:vAlign w:val="bottom"/>
            <w:gridSpan w:val="3"/>
            <w:vMerge w:val="continue"/>
          </w:tcPr>
          <w:p>
            <w:pPr>
              <w:spacing w:after="0"/>
              <w:rPr>
                <w:sz w:val="10"/>
                <w:szCs w:val="10"/>
                <w:color w:val="auto"/>
              </w:rPr>
            </w:pPr>
          </w:p>
        </w:tc>
        <w:tc>
          <w:tcPr>
            <w:tcW w:w="400" w:type="dxa"/>
            <w:vAlign w:val="bottom"/>
            <w:vMerge w:val="restart"/>
          </w:tcPr>
          <w:p>
            <w:pPr>
              <w:ind w:left="120"/>
              <w:spacing w:after="0"/>
              <w:rPr>
                <w:sz w:val="20"/>
                <w:szCs w:val="20"/>
                <w:color w:val="auto"/>
              </w:rPr>
            </w:pPr>
            <w:r>
              <w:rPr>
                <w:rFonts w:ascii="Arial" w:cs="Arial" w:eastAsia="Arial" w:hAnsi="Arial"/>
                <w:sz w:val="16"/>
                <w:szCs w:val="16"/>
                <w:color w:val="auto"/>
                <w:w w:val="94"/>
              </w:rPr>
              <w:t>The</w:t>
            </w:r>
          </w:p>
        </w:tc>
        <w:tc>
          <w:tcPr>
            <w:tcW w:w="1240" w:type="dxa"/>
            <w:vAlign w:val="bottom"/>
            <w:gridSpan w:val="2"/>
            <w:vMerge w:val="restart"/>
          </w:tcPr>
          <w:p>
            <w:pPr>
              <w:ind w:left="180"/>
              <w:spacing w:after="0"/>
              <w:rPr>
                <w:sz w:val="20"/>
                <w:szCs w:val="20"/>
                <w:color w:val="auto"/>
              </w:rPr>
            </w:pPr>
            <w:r>
              <w:rPr>
                <w:rFonts w:ascii="Arial" w:cs="Arial" w:eastAsia="Arial" w:hAnsi="Arial"/>
                <w:sz w:val="16"/>
                <w:szCs w:val="16"/>
                <w:color w:val="auto"/>
              </w:rPr>
              <w:t>Compensation</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color w:val="auto"/>
              </w:rPr>
              <w:t>Committee  has</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200" w:type="dxa"/>
            <w:vAlign w:val="bottom"/>
            <w:gridSpan w:val="3"/>
            <w:vMerge w:val="restart"/>
          </w:tcPr>
          <w:p>
            <w:pPr>
              <w:ind w:left="120"/>
              <w:spacing w:after="0"/>
              <w:rPr>
                <w:sz w:val="20"/>
                <w:szCs w:val="20"/>
                <w:color w:val="auto"/>
              </w:rPr>
            </w:pPr>
            <w:r>
              <w:rPr>
                <w:rFonts w:ascii="Arial" w:cs="Arial" w:eastAsia="Arial" w:hAnsi="Arial"/>
                <w:sz w:val="16"/>
                <w:szCs w:val="16"/>
                <w:b w:val="1"/>
                <w:bCs w:val="1"/>
                <w:color w:val="auto"/>
              </w:rPr>
              <w:t>Annual PSU Mix:</w:t>
            </w:r>
          </w:p>
        </w:tc>
        <w:tc>
          <w:tcPr>
            <w:tcW w:w="4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200" w:type="dxa"/>
            <w:vAlign w:val="bottom"/>
            <w:gridSpan w:val="3"/>
            <w:vMerge w:val="continue"/>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6"/>
                <w:szCs w:val="16"/>
                <w:color w:val="auto"/>
              </w:rPr>
              <w:t>gradually</w:t>
            </w:r>
          </w:p>
        </w:tc>
        <w:tc>
          <w:tcPr>
            <w:tcW w:w="840" w:type="dxa"/>
            <w:vAlign w:val="bottom"/>
            <w:vMerge w:val="restart"/>
          </w:tcPr>
          <w:p>
            <w:pPr>
              <w:ind w:left="80"/>
              <w:spacing w:after="0"/>
              <w:rPr>
                <w:sz w:val="20"/>
                <w:szCs w:val="20"/>
                <w:color w:val="auto"/>
              </w:rPr>
            </w:pPr>
            <w:r>
              <w:rPr>
                <w:rFonts w:ascii="Arial" w:cs="Arial" w:eastAsia="Arial" w:hAnsi="Arial"/>
                <w:sz w:val="16"/>
                <w:szCs w:val="16"/>
                <w:color w:val="auto"/>
              </w:rPr>
              <w:t>increased</w:t>
            </w:r>
          </w:p>
        </w:tc>
        <w:tc>
          <w:tcPr>
            <w:tcW w:w="1500" w:type="dxa"/>
            <w:vAlign w:val="bottom"/>
            <w:gridSpan w:val="2"/>
            <w:vMerge w:val="restart"/>
          </w:tcPr>
          <w:p>
            <w:pPr>
              <w:jc w:val="right"/>
              <w:spacing w:after="0"/>
              <w:rPr>
                <w:sz w:val="20"/>
                <w:szCs w:val="20"/>
                <w:color w:val="auto"/>
              </w:rPr>
            </w:pPr>
            <w:r>
              <w:rPr>
                <w:rFonts w:ascii="Arial" w:cs="Arial" w:eastAsia="Arial" w:hAnsi="Arial"/>
                <w:sz w:val="16"/>
                <w:szCs w:val="16"/>
                <w:color w:val="auto"/>
              </w:rPr>
              <w:t>the annual mix of</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vMerge w:val="restart"/>
          </w:tcPr>
          <w:p>
            <w:pPr>
              <w:ind w:left="120"/>
              <w:spacing w:after="0"/>
              <w:rPr>
                <w:sz w:val="20"/>
                <w:szCs w:val="20"/>
                <w:color w:val="auto"/>
              </w:rPr>
            </w:pPr>
            <w:r>
              <w:rPr>
                <w:rFonts w:ascii="Arial" w:cs="Arial" w:eastAsia="Arial" w:hAnsi="Arial"/>
                <w:sz w:val="11"/>
                <w:szCs w:val="11"/>
                <w:color w:val="auto"/>
                <w:w w:val="72"/>
              </w:rPr>
              <w:t> </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w w:val="73"/>
              </w:rPr>
              <w:t>• </w:t>
            </w:r>
          </w:p>
        </w:tc>
        <w:tc>
          <w:tcPr>
            <w:tcW w:w="2760" w:type="dxa"/>
            <w:vAlign w:val="bottom"/>
            <w:vMerge w:val="restart"/>
          </w:tcPr>
          <w:p>
            <w:pPr>
              <w:ind w:left="60"/>
              <w:spacing w:after="0"/>
              <w:rPr>
                <w:sz w:val="20"/>
                <w:szCs w:val="20"/>
                <w:color w:val="auto"/>
              </w:rPr>
            </w:pPr>
            <w:r>
              <w:rPr>
                <w:rFonts w:ascii="Arial" w:cs="Arial" w:eastAsia="Arial" w:hAnsi="Arial"/>
                <w:sz w:val="16"/>
                <w:szCs w:val="16"/>
                <w:color w:val="auto"/>
              </w:rPr>
              <w:t>Increased to 40% from 30% (2025)</w:t>
            </w:r>
          </w:p>
        </w:tc>
        <w:tc>
          <w:tcPr>
            <w:tcW w:w="80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2760" w:type="dxa"/>
            <w:vAlign w:val="bottom"/>
            <w:vMerge w:val="continue"/>
          </w:tcPr>
          <w:p>
            <w:pPr>
              <w:spacing w:after="0"/>
              <w:rPr>
                <w:sz w:val="10"/>
                <w:szCs w:val="10"/>
                <w:color w:val="auto"/>
              </w:rPr>
            </w:pPr>
          </w:p>
        </w:tc>
        <w:tc>
          <w:tcPr>
            <w:tcW w:w="3140" w:type="dxa"/>
            <w:vAlign w:val="bottom"/>
            <w:gridSpan w:val="5"/>
            <w:vMerge w:val="restart"/>
          </w:tcPr>
          <w:p>
            <w:pPr>
              <w:ind w:left="120"/>
              <w:spacing w:after="0"/>
              <w:rPr>
                <w:sz w:val="20"/>
                <w:szCs w:val="20"/>
                <w:color w:val="auto"/>
              </w:rPr>
            </w:pPr>
            <w:r>
              <w:rPr>
                <w:rFonts w:ascii="Arial" w:cs="Arial" w:eastAsia="Arial" w:hAnsi="Arial"/>
                <w:sz w:val="16"/>
                <w:szCs w:val="16"/>
                <w:color w:val="auto"/>
              </w:rPr>
              <w:t>PSUs awarded (based on target value)</w:t>
            </w:r>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vMerge w:val="restart"/>
          </w:tcPr>
          <w:p>
            <w:pPr>
              <w:ind w:left="120"/>
              <w:spacing w:after="0"/>
              <w:rPr>
                <w:sz w:val="20"/>
                <w:szCs w:val="20"/>
                <w:color w:val="auto"/>
              </w:rPr>
            </w:pPr>
            <w:r>
              <w:rPr>
                <w:rFonts w:ascii="Arial" w:cs="Arial" w:eastAsia="Arial" w:hAnsi="Arial"/>
                <w:sz w:val="11"/>
                <w:szCs w:val="11"/>
                <w:color w:val="auto"/>
                <w:w w:val="72"/>
              </w:rPr>
              <w:t> </w:t>
            </w:r>
          </w:p>
        </w:tc>
        <w:tc>
          <w:tcPr>
            <w:tcW w:w="220" w:type="dxa"/>
            <w:vAlign w:val="bottom"/>
            <w:vMerge w:val="restart"/>
          </w:tcPr>
          <w:p>
            <w:pPr>
              <w:ind w:left="60"/>
              <w:spacing w:after="0"/>
              <w:rPr>
                <w:sz w:val="20"/>
                <w:szCs w:val="20"/>
                <w:color w:val="auto"/>
              </w:rPr>
            </w:pPr>
            <w:r>
              <w:rPr>
                <w:rFonts w:ascii="Arial" w:cs="Arial" w:eastAsia="Arial" w:hAnsi="Arial"/>
                <w:sz w:val="14"/>
                <w:szCs w:val="14"/>
                <w:color w:val="auto"/>
                <w:w w:val="73"/>
              </w:rPr>
              <w:t>• </w:t>
            </w:r>
          </w:p>
        </w:tc>
        <w:tc>
          <w:tcPr>
            <w:tcW w:w="2760" w:type="dxa"/>
            <w:vAlign w:val="bottom"/>
            <w:vMerge w:val="restart"/>
          </w:tcPr>
          <w:p>
            <w:pPr>
              <w:ind w:left="60"/>
              <w:spacing w:after="0"/>
              <w:rPr>
                <w:sz w:val="20"/>
                <w:szCs w:val="20"/>
                <w:color w:val="auto"/>
              </w:rPr>
            </w:pPr>
            <w:r>
              <w:rPr>
                <w:rFonts w:ascii="Arial" w:cs="Arial" w:eastAsia="Arial" w:hAnsi="Arial"/>
                <w:sz w:val="16"/>
                <w:szCs w:val="16"/>
                <w:color w:val="auto"/>
              </w:rPr>
              <w:t>Increased to 50% (2026)</w:t>
            </w:r>
          </w:p>
        </w:tc>
        <w:tc>
          <w:tcPr>
            <w:tcW w:w="31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400" w:type="dxa"/>
            <w:vAlign w:val="bottom"/>
            <w:vMerge w:val="restart"/>
          </w:tcPr>
          <w:p>
            <w:pPr>
              <w:ind w:left="120"/>
              <w:spacing w:after="0"/>
              <w:rPr>
                <w:sz w:val="20"/>
                <w:szCs w:val="20"/>
                <w:color w:val="auto"/>
              </w:rPr>
            </w:pPr>
            <w:r>
              <w:rPr>
                <w:rFonts w:ascii="Arial" w:cs="Arial" w:eastAsia="Arial" w:hAnsi="Arial"/>
                <w:sz w:val="16"/>
                <w:szCs w:val="16"/>
                <w:color w:val="auto"/>
              </w:rPr>
              <w:t>to</w:t>
            </w:r>
          </w:p>
        </w:tc>
        <w:tc>
          <w:tcPr>
            <w:tcW w:w="400" w:type="dxa"/>
            <w:vAlign w:val="bottom"/>
            <w:vMerge w:val="restart"/>
          </w:tcPr>
          <w:p>
            <w:pPr>
              <w:ind w:left="20"/>
              <w:spacing w:after="0"/>
              <w:rPr>
                <w:sz w:val="20"/>
                <w:szCs w:val="20"/>
                <w:color w:val="auto"/>
              </w:rPr>
            </w:pPr>
            <w:r>
              <w:rPr>
                <w:rFonts w:ascii="Arial" w:cs="Arial" w:eastAsia="Arial" w:hAnsi="Arial"/>
                <w:sz w:val="16"/>
                <w:szCs w:val="16"/>
                <w:color w:val="auto"/>
              </w:rPr>
              <w:t>our</w:t>
            </w:r>
          </w:p>
        </w:tc>
        <w:tc>
          <w:tcPr>
            <w:tcW w:w="840" w:type="dxa"/>
            <w:vAlign w:val="bottom"/>
            <w:vMerge w:val="restart"/>
          </w:tcPr>
          <w:p>
            <w:pPr>
              <w:ind w:left="20"/>
              <w:spacing w:after="0"/>
              <w:rPr>
                <w:sz w:val="20"/>
                <w:szCs w:val="20"/>
                <w:color w:val="auto"/>
              </w:rPr>
            </w:pPr>
            <w:r>
              <w:rPr>
                <w:rFonts w:ascii="Arial" w:cs="Arial" w:eastAsia="Arial" w:hAnsi="Arial"/>
                <w:sz w:val="16"/>
                <w:szCs w:val="16"/>
                <w:color w:val="auto"/>
              </w:rPr>
              <w:t>non-CEO</w:t>
            </w:r>
          </w:p>
        </w:tc>
        <w:tc>
          <w:tcPr>
            <w:tcW w:w="600" w:type="dxa"/>
            <w:vAlign w:val="bottom"/>
            <w:vMerge w:val="restart"/>
          </w:tcPr>
          <w:p>
            <w:pPr>
              <w:ind w:left="40"/>
              <w:spacing w:after="0"/>
              <w:rPr>
                <w:sz w:val="20"/>
                <w:szCs w:val="20"/>
                <w:color w:val="auto"/>
              </w:rPr>
            </w:pPr>
            <w:r>
              <w:rPr>
                <w:rFonts w:ascii="Arial" w:cs="Arial" w:eastAsia="Arial" w:hAnsi="Arial"/>
                <w:sz w:val="16"/>
                <w:szCs w:val="16"/>
                <w:color w:val="auto"/>
              </w:rPr>
              <w:t>Named</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Executive</w:t>
            </w:r>
          </w:p>
        </w:tc>
        <w:tc>
          <w:tcPr>
            <w:tcW w:w="0" w:type="dxa"/>
            <w:vAlign w:val="bottom"/>
          </w:tcPr>
          <w:p>
            <w:pPr>
              <w:spacing w:after="0"/>
              <w:rPr>
                <w:sz w:val="1"/>
                <w:szCs w:val="1"/>
                <w:color w:val="auto"/>
              </w:rPr>
            </w:pPr>
          </w:p>
        </w:tc>
      </w:tr>
      <w:tr>
        <w:trPr>
          <w:trHeight w:val="58"/>
        </w:trPr>
        <w:tc>
          <w:tcPr>
            <w:tcW w:w="6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ind w:left="6060"/>
        <w:spacing w:after="0"/>
        <w:rPr>
          <w:sz w:val="20"/>
          <w:szCs w:val="20"/>
          <w:color w:val="auto"/>
        </w:rPr>
      </w:pPr>
      <w:r>
        <w:rPr>
          <w:rFonts w:ascii="Arial" w:cs="Arial" w:eastAsia="Arial" w:hAnsi="Arial"/>
          <w:sz w:val="16"/>
          <w:szCs w:val="16"/>
          <w:color w:val="auto"/>
        </w:rPr>
        <w:t>Officers in order to align with stockholder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feedback.</w:t>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Compensation  Committee  revisits</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CEO annual LTI equity grant mix</w:t>
      </w:r>
    </w:p>
    <w:p>
      <w:pPr>
        <w:spacing w:after="0" w:line="5" w:lineRule="exact"/>
        <w:rPr>
          <w:sz w:val="20"/>
          <w:szCs w:val="20"/>
          <w:color w:val="auto"/>
        </w:rPr>
      </w:pPr>
    </w:p>
    <w:p>
      <w:pPr>
        <w:ind w:left="6060"/>
        <w:spacing w:after="0"/>
        <w:tabs>
          <w:tab w:leader="none" w:pos="6700" w:val="left"/>
          <w:tab w:leader="none" w:pos="7360" w:val="left"/>
          <w:tab w:leader="none" w:pos="7940" w:val="left"/>
        </w:tabs>
        <w:rPr>
          <w:sz w:val="20"/>
          <w:szCs w:val="20"/>
          <w:color w:val="auto"/>
        </w:rPr>
      </w:pPr>
      <w:r>
        <w:rPr>
          <w:rFonts w:ascii="Arial" w:cs="Arial" w:eastAsia="Arial" w:hAnsi="Arial"/>
          <w:sz w:val="16"/>
          <w:szCs w:val="16"/>
          <w:color w:val="auto"/>
        </w:rPr>
        <w:t>each</w:t>
      </w:r>
      <w:r>
        <w:rPr>
          <w:sz w:val="20"/>
          <w:szCs w:val="20"/>
          <w:color w:val="auto"/>
        </w:rPr>
        <w:tab/>
      </w:r>
      <w:r>
        <w:rPr>
          <w:rFonts w:ascii="Arial" w:cs="Arial" w:eastAsia="Arial" w:hAnsi="Arial"/>
          <w:sz w:val="16"/>
          <w:szCs w:val="16"/>
          <w:color w:val="auto"/>
        </w:rPr>
        <w:t>year.</w:t>
      </w:r>
      <w:r>
        <w:rPr>
          <w:sz w:val="20"/>
          <w:szCs w:val="20"/>
          <w:color w:val="auto"/>
        </w:rPr>
        <w:tab/>
      </w:r>
      <w:r>
        <w:rPr>
          <w:rFonts w:ascii="Arial" w:cs="Arial" w:eastAsia="Arial" w:hAnsi="Arial"/>
          <w:sz w:val="16"/>
          <w:szCs w:val="16"/>
          <w:color w:val="auto"/>
        </w:rPr>
        <w:t>The</w:t>
      </w:r>
      <w:r>
        <w:rPr>
          <w:sz w:val="20"/>
          <w:szCs w:val="20"/>
          <w:color w:val="auto"/>
        </w:rPr>
        <w:tab/>
      </w:r>
      <w:r>
        <w:rPr>
          <w:rFonts w:ascii="Arial" w:cs="Arial" w:eastAsia="Arial" w:hAnsi="Arial"/>
          <w:sz w:val="16"/>
          <w:szCs w:val="16"/>
          <w:color w:val="auto"/>
        </w:rPr>
        <w:t>Compensation</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Committee initially elected to increase</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CEO’s annual mix of PSUs to 60% in</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2024 in direct response to stockholder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feedback  received  in  2023.  However,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with the introduction of the rTSR PSUs</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measured over a three-year period, the</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Compensation Committee adjusted the</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CEO’s mix of PSUs back to 50% in 2025.</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This was done to enhance the annual LTI</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program’s stability at a time of volatility</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for the Company, while considering the</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changes made to the design of PSUs.</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This also aligns the CEO’s LTI equity</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grant mix with the LTI equity grant mix</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adjustments made to non-CEO Named</w:t>
      </w:r>
    </w:p>
    <w:p>
      <w:pPr>
        <w:spacing w:after="0" w:line="5" w:lineRule="exact"/>
        <w:rPr>
          <w:sz w:val="20"/>
          <w:szCs w:val="20"/>
          <w:color w:val="auto"/>
        </w:rPr>
      </w:pPr>
    </w:p>
    <w:p>
      <w:pPr>
        <w:ind w:left="6060"/>
        <w:spacing w:after="0"/>
        <w:tabs>
          <w:tab w:leader="none" w:pos="6880" w:val="left"/>
          <w:tab w:leader="none" w:pos="7620" w:val="left"/>
          <w:tab w:leader="none" w:pos="8220" w:val="left"/>
          <w:tab w:leader="none" w:pos="8640" w:val="left"/>
        </w:tabs>
        <w:rPr>
          <w:sz w:val="20"/>
          <w:szCs w:val="20"/>
          <w:color w:val="auto"/>
        </w:rPr>
      </w:pPr>
      <w:r>
        <w:rPr>
          <w:rFonts w:ascii="Arial" w:cs="Arial" w:eastAsia="Arial" w:hAnsi="Arial"/>
          <w:sz w:val="16"/>
          <w:szCs w:val="16"/>
          <w:color w:val="auto"/>
        </w:rPr>
        <w:t>Executive</w:t>
        <w:tab/>
        <w:t>Officers’</w:t>
        <w:tab/>
        <w:t>grants</w:t>
        <w:tab/>
        <w:t>that</w:t>
        <w:tab/>
        <w:t>were</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implemented in 2026.</w:t>
      </w:r>
    </w:p>
    <w:p>
      <w:pPr>
        <w:spacing w:after="0" w:line="11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 2025 and 2026, the Compensation</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Committee increased the percentage of</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PSUs in the LTI equity grant mix for the</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non-CEO Named Executive Officers. In</w:t>
      </w:r>
    </w:p>
    <w:p>
      <w:pPr>
        <w:spacing w:after="0" w:line="5" w:lineRule="exact"/>
        <w:rPr>
          <w:sz w:val="20"/>
          <w:szCs w:val="20"/>
          <w:color w:val="auto"/>
        </w:rPr>
      </w:pPr>
    </w:p>
    <w:p>
      <w:pPr>
        <w:ind w:left="6060"/>
        <w:spacing w:after="0"/>
        <w:tabs>
          <w:tab w:leader="none" w:pos="6600" w:val="left"/>
          <w:tab w:leader="none" w:pos="7000" w:val="left"/>
          <w:tab w:leader="none" w:pos="8200" w:val="left"/>
        </w:tabs>
        <w:rPr>
          <w:sz w:val="20"/>
          <w:szCs w:val="20"/>
          <w:color w:val="auto"/>
        </w:rPr>
      </w:pPr>
      <w:r>
        <w:rPr>
          <w:rFonts w:ascii="Arial" w:cs="Arial" w:eastAsia="Arial" w:hAnsi="Arial"/>
          <w:sz w:val="16"/>
          <w:szCs w:val="16"/>
          <w:color w:val="auto"/>
        </w:rPr>
        <w:t>2026,</w:t>
        <w:tab/>
        <w:t>the</w:t>
        <w:tab/>
        <w:t>Compensation</w:t>
        <w:tab/>
        <w:t>Committee</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elected to grant all Named Executive</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Officers their annual LTI equity at a mix</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50% PSUs (based on target value).</w:t>
      </w:r>
    </w:p>
    <w:p>
      <w:pPr>
        <w:spacing w:after="0" w:line="5" w:lineRule="exact"/>
        <w:rPr>
          <w:sz w:val="20"/>
          <w:szCs w:val="20"/>
          <w:color w:val="auto"/>
        </w:rPr>
      </w:pPr>
    </w:p>
    <w:p>
      <w:pPr>
        <w:ind w:left="6060"/>
        <w:spacing w:after="0"/>
        <w:tabs>
          <w:tab w:leader="none" w:pos="6500" w:val="left"/>
          <w:tab w:leader="none" w:pos="7220" w:val="left"/>
          <w:tab w:leader="none" w:pos="7500" w:val="left"/>
          <w:tab w:leader="none" w:pos="7820" w:val="left"/>
          <w:tab w:leader="none" w:pos="8480" w:val="left"/>
        </w:tabs>
        <w:rPr>
          <w:sz w:val="20"/>
          <w:szCs w:val="20"/>
          <w:color w:val="auto"/>
        </w:rPr>
      </w:pPr>
      <w:r>
        <w:rPr>
          <w:rFonts w:ascii="Arial" w:cs="Arial" w:eastAsia="Arial" w:hAnsi="Arial"/>
          <w:sz w:val="16"/>
          <w:szCs w:val="16"/>
          <w:color w:val="auto"/>
        </w:rPr>
        <w:t>This</w:t>
        <w:tab/>
        <w:t>resulted</w:t>
        <w:tab/>
        <w:t>in</w:t>
        <w:tab/>
        <w:t>all</w:t>
        <w:tab/>
        <w:t>eligible</w:t>
        <w:tab/>
        <w:t>Named</w:t>
      </w:r>
    </w:p>
    <w:p>
      <w:pPr>
        <w:spacing w:after="0" w:line="5" w:lineRule="exact"/>
        <w:rPr>
          <w:sz w:val="20"/>
          <w:szCs w:val="20"/>
          <w:color w:val="auto"/>
        </w:rPr>
      </w:pPr>
    </w:p>
    <w:p>
      <w:pPr>
        <w:ind w:left="6060"/>
        <w:spacing w:after="0"/>
        <w:tabs>
          <w:tab w:leader="none" w:pos="6880" w:val="left"/>
          <w:tab w:leader="none" w:pos="7600" w:val="left"/>
          <w:tab w:leader="none" w:pos="8220" w:val="left"/>
          <w:tab w:leader="none" w:pos="8600" w:val="left"/>
        </w:tabs>
        <w:rPr>
          <w:sz w:val="20"/>
          <w:szCs w:val="20"/>
          <w:color w:val="auto"/>
        </w:rPr>
      </w:pPr>
      <w:r>
        <w:rPr>
          <w:rFonts w:ascii="Arial" w:cs="Arial" w:eastAsia="Arial" w:hAnsi="Arial"/>
          <w:sz w:val="16"/>
          <w:szCs w:val="16"/>
          <w:color w:val="auto"/>
        </w:rPr>
        <w:t>Executive</w:t>
        <w:tab/>
        <w:t>Officers</w:t>
        <w:tab/>
        <w:t>having</w:t>
        <w:tab/>
        <w:t>the</w:t>
        <w:tab/>
        <w:t>same</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annual  LTI  equity  grant  mix  in  2026</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(based on target value of PSUs): 50%</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time-based RSUs, 35% Financial PSUs,</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and 15% rTSR PSUs.</w:t>
      </w:r>
    </w:p>
    <w:p>
      <w:pPr>
        <w:spacing w:after="0" w:line="124" w:lineRule="exact"/>
        <w:rPr>
          <w:sz w:val="20"/>
          <w:szCs w:val="20"/>
          <w:color w:val="auto"/>
        </w:rPr>
      </w:pPr>
    </w:p>
    <w:p>
      <w:pPr>
        <w:ind w:left="6060"/>
        <w:spacing w:after="0"/>
        <w:tabs>
          <w:tab w:leader="none" w:pos="6800" w:val="left"/>
          <w:tab w:leader="none" w:pos="7740" w:val="left"/>
          <w:tab w:leader="none" w:pos="8760" w:val="left"/>
        </w:tabs>
        <w:rPr>
          <w:sz w:val="20"/>
          <w:szCs w:val="20"/>
          <w:color w:val="auto"/>
        </w:rPr>
      </w:pPr>
      <w:r>
        <w:rPr>
          <w:rFonts w:ascii="Arial" w:cs="Arial" w:eastAsia="Arial" w:hAnsi="Arial"/>
          <w:sz w:val="16"/>
          <w:szCs w:val="16"/>
          <w:color w:val="auto"/>
        </w:rPr>
        <w:t>These</w:t>
      </w:r>
      <w:r>
        <w:rPr>
          <w:sz w:val="20"/>
          <w:szCs w:val="20"/>
          <w:color w:val="auto"/>
        </w:rPr>
        <w:tab/>
      </w:r>
      <w:r>
        <w:rPr>
          <w:rFonts w:ascii="Arial" w:cs="Arial" w:eastAsia="Arial" w:hAnsi="Arial"/>
          <w:sz w:val="16"/>
          <w:szCs w:val="16"/>
          <w:color w:val="auto"/>
        </w:rPr>
        <w:t>changes</w:t>
      </w:r>
      <w:r>
        <w:rPr>
          <w:sz w:val="20"/>
          <w:szCs w:val="20"/>
          <w:color w:val="auto"/>
        </w:rPr>
        <w:tab/>
      </w:r>
      <w:r>
        <w:rPr>
          <w:rFonts w:ascii="Arial" w:cs="Arial" w:eastAsia="Arial" w:hAnsi="Arial"/>
          <w:sz w:val="16"/>
          <w:szCs w:val="16"/>
          <w:color w:val="auto"/>
        </w:rPr>
        <w:t>enhanced</w:t>
      </w:r>
      <w:r>
        <w:rPr>
          <w:sz w:val="20"/>
          <w:szCs w:val="20"/>
          <w:color w:val="auto"/>
        </w:rPr>
        <w:tab/>
      </w:r>
      <w:r>
        <w:rPr>
          <w:rFonts w:ascii="Arial" w:cs="Arial" w:eastAsia="Arial" w:hAnsi="Arial"/>
          <w:sz w:val="16"/>
          <w:szCs w:val="16"/>
          <w:color w:val="auto"/>
        </w:rPr>
        <w:t>the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performance orientation of our Named</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Executive  Officers’  compensation.  The</w:t>
      </w:r>
    </w:p>
    <w:p>
      <w:pPr>
        <w:spacing w:after="0" w:line="5" w:lineRule="exact"/>
        <w:rPr>
          <w:sz w:val="20"/>
          <w:szCs w:val="20"/>
          <w:color w:val="auto"/>
        </w:rPr>
      </w:pPr>
    </w:p>
    <w:p>
      <w:pPr>
        <w:ind w:left="6060"/>
        <w:spacing w:after="0"/>
        <w:tabs>
          <w:tab w:leader="none" w:pos="7240" w:val="left"/>
          <w:tab w:leader="none" w:pos="8200" w:val="left"/>
        </w:tabs>
        <w:rPr>
          <w:sz w:val="20"/>
          <w:szCs w:val="20"/>
          <w:color w:val="auto"/>
        </w:rPr>
      </w:pPr>
      <w:r>
        <w:rPr>
          <w:rFonts w:ascii="Arial" w:cs="Arial" w:eastAsia="Arial" w:hAnsi="Arial"/>
          <w:sz w:val="16"/>
          <w:szCs w:val="16"/>
          <w:color w:val="auto"/>
        </w:rPr>
        <w:t>Compensation</w:t>
        <w:tab/>
        <w:t>Committee</w:t>
        <w:tab/>
        <w:t>considered</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several  factors  when  arriving  at  this</w:t>
      </w:r>
    </w:p>
    <w:p>
      <w:pPr>
        <w:spacing w:after="0" w:line="5" w:lineRule="exact"/>
        <w:rPr>
          <w:sz w:val="20"/>
          <w:szCs w:val="20"/>
          <w:color w:val="auto"/>
        </w:rPr>
      </w:pPr>
    </w:p>
    <w:p>
      <w:pPr>
        <w:ind w:left="6060"/>
        <w:spacing w:after="0"/>
        <w:tabs>
          <w:tab w:leader="none" w:pos="7140" w:val="left"/>
          <w:tab w:leader="none" w:pos="8180" w:val="left"/>
        </w:tabs>
        <w:rPr>
          <w:sz w:val="20"/>
          <w:szCs w:val="20"/>
          <w:color w:val="auto"/>
        </w:rPr>
      </w:pPr>
      <w:r>
        <w:rPr>
          <w:rFonts w:ascii="Arial" w:cs="Arial" w:eastAsia="Arial" w:hAnsi="Arial"/>
          <w:sz w:val="16"/>
          <w:szCs w:val="16"/>
          <w:color w:val="auto"/>
        </w:rPr>
        <w:t>approach,</w:t>
      </w:r>
      <w:r>
        <w:rPr>
          <w:sz w:val="20"/>
          <w:szCs w:val="20"/>
          <w:color w:val="auto"/>
        </w:rPr>
        <w:tab/>
      </w:r>
      <w:r>
        <w:rPr>
          <w:rFonts w:ascii="Arial" w:cs="Arial" w:eastAsia="Arial" w:hAnsi="Arial"/>
          <w:sz w:val="16"/>
          <w:szCs w:val="16"/>
          <w:color w:val="auto"/>
        </w:rPr>
        <w:t>including</w:t>
      </w:r>
      <w:r>
        <w:rPr>
          <w:sz w:val="20"/>
          <w:szCs w:val="20"/>
          <w:color w:val="auto"/>
        </w:rPr>
        <w:tab/>
      </w:r>
      <w:r>
        <w:rPr>
          <w:rFonts w:ascii="Arial" w:cs="Arial" w:eastAsia="Arial" w:hAnsi="Arial"/>
          <w:sz w:val="16"/>
          <w:szCs w:val="16"/>
          <w:color w:val="auto"/>
        </w:rPr>
        <w:t>stockholder</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feedback  and  the  competitive  market</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context for similarly sized industry peers.</w:t>
      </w:r>
    </w:p>
    <w:p>
      <w:pPr>
        <w:spacing w:after="0" w:line="5" w:lineRule="exact"/>
        <w:rPr>
          <w:sz w:val="20"/>
          <w:szCs w:val="20"/>
          <w:color w:val="auto"/>
        </w:rPr>
      </w:pPr>
    </w:p>
    <w:p>
      <w:pPr>
        <w:ind w:left="6060"/>
        <w:spacing w:after="0"/>
        <w:tabs>
          <w:tab w:leader="none" w:pos="6520" w:val="left"/>
          <w:tab w:leader="none" w:pos="7780" w:val="left"/>
          <w:tab w:leader="none" w:pos="8780" w:val="left"/>
        </w:tabs>
        <w:rPr>
          <w:sz w:val="20"/>
          <w:szCs w:val="20"/>
          <w:color w:val="auto"/>
        </w:rPr>
      </w:pPr>
      <w:r>
        <w:rPr>
          <w:rFonts w:ascii="Arial" w:cs="Arial" w:eastAsia="Arial" w:hAnsi="Arial"/>
          <w:sz w:val="16"/>
          <w:szCs w:val="16"/>
          <w:color w:val="auto"/>
        </w:rPr>
        <w:t>The</w:t>
        <w:tab/>
        <w:t>Compensation</w:t>
        <w:tab/>
        <w:t>Committee</w:t>
      </w:r>
      <w:r>
        <w:rPr>
          <w:sz w:val="20"/>
          <w:szCs w:val="20"/>
          <w:color w:val="auto"/>
        </w:rPr>
        <w:tab/>
      </w:r>
      <w:r>
        <w:rPr>
          <w:rFonts w:ascii="Arial" w:cs="Arial" w:eastAsia="Arial" w:hAnsi="Arial"/>
          <w:sz w:val="15"/>
          <w:szCs w:val="15"/>
          <w:color w:val="auto"/>
        </w:rPr>
        <w:t>will</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continue to evaluate the mix of PSUs to</w:t>
      </w:r>
    </w:p>
    <w:p>
      <w:pPr>
        <w:spacing w:after="0" w:line="5" w:lineRule="exact"/>
        <w:rPr>
          <w:sz w:val="20"/>
          <w:szCs w:val="20"/>
          <w:color w:val="auto"/>
        </w:rPr>
      </w:pPr>
    </w:p>
    <w:p>
      <w:pPr>
        <w:ind w:left="6060"/>
        <w:spacing w:after="0"/>
        <w:tabs>
          <w:tab w:leader="none" w:pos="6680" w:val="left"/>
          <w:tab w:leader="none" w:pos="6920" w:val="left"/>
          <w:tab w:leader="none" w:pos="7520" w:val="left"/>
        </w:tabs>
        <w:rPr>
          <w:sz w:val="20"/>
          <w:szCs w:val="20"/>
          <w:color w:val="auto"/>
        </w:rPr>
      </w:pPr>
      <w:r>
        <w:rPr>
          <w:rFonts w:ascii="Arial" w:cs="Arial" w:eastAsia="Arial" w:hAnsi="Arial"/>
          <w:sz w:val="16"/>
          <w:szCs w:val="16"/>
          <w:color w:val="auto"/>
        </w:rPr>
        <w:t>ensure</w:t>
        <w:tab/>
        <w:t>a</w:t>
        <w:tab/>
        <w:t>strong</w:t>
        <w:tab/>
        <w:t>pay-for-performance</w:t>
      </w:r>
    </w:p>
    <w:p>
      <w:pPr>
        <w:spacing w:after="0" w:line="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27940</wp:posOffset>
            </wp:positionV>
            <wp:extent cx="53492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color w:val="auto"/>
        </w:rPr>
        <w:t>30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3"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left="660" w:right="640"/>
        <w:spacing w:after="0" w:line="253" w:lineRule="auto"/>
        <w:rPr>
          <w:sz w:val="20"/>
          <w:szCs w:val="20"/>
          <w:color w:val="auto"/>
        </w:rPr>
      </w:pPr>
      <w:r>
        <w:rPr>
          <w:rFonts w:ascii="Arial" w:cs="Arial" w:eastAsia="Arial" w:hAnsi="Arial"/>
          <w:sz w:val="16"/>
          <w:szCs w:val="16"/>
          <w:color w:val="auto"/>
        </w:rPr>
        <w:t>For the fiscal year ended December 31, 2025, taking into account the result of the advisory say-on-frequency vote held at the 2021 annual meeting of stockholders, we will again be conducting an annual advisory say-on-pay vote as described further in Proposal 3 of this Proxy Statement. Although this is a non-binding advisory vote, we value the opinions of our stockholders. Our Board of Directors and our Compensation Committee will consider the outcome of the say-on-pay advisory vote, in addition to other relevant stockholder feedback that may be received, when making compensation decisions for our Named Executive Officers. For more information on the say-on-pay vote, please review Proposal 3 set forth earlier in this Proxy Statement.</w:t>
      </w:r>
    </w:p>
    <w:p>
      <w:pPr>
        <w:sectPr>
          <w:pgSz w:w="11900" w:h="16838" w:orient="portrait"/>
          <w:cols w:equalWidth="0" w:num="1">
            <w:col w:w="9720"/>
          </w:cols>
          <w:pgMar w:left="1080" w:top="114" w:right="1099" w:bottom="1440" w:gutter="0" w:footer="0" w:header="0"/>
        </w:sectPr>
      </w:pPr>
    </w:p>
    <w:p>
      <w:pPr>
        <w:spacing w:after="0" w:line="24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2025 Compensation Highlights</w:t>
      </w:r>
    </w:p>
    <w:p>
      <w:pPr>
        <w:spacing w:after="0" w:line="112"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color w:val="auto"/>
        </w:rPr>
        <w:t>Our 2025 compensation plans and payouts for our Named Executive Officers reflect our overarching compensation philosophy of pay-for-performance. Highlights of our executive compensation program include:</w:t>
      </w:r>
    </w:p>
    <w:p>
      <w:pPr>
        <w:spacing w:after="0" w:line="72" w:lineRule="exact"/>
        <w:rPr>
          <w:sz w:val="20"/>
          <w:szCs w:val="20"/>
          <w:color w:val="auto"/>
        </w:rPr>
      </w:pPr>
    </w:p>
    <w:p>
      <w:pPr>
        <w:jc w:val="both"/>
        <w:ind w:left="1100" w:hanging="268"/>
        <w:spacing w:after="0" w:line="250" w:lineRule="auto"/>
        <w:tabs>
          <w:tab w:leader="none" w:pos="11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Did Not Make Changes to Cash and Annual Incentive (Bonus) Compensation for 2025 Outside of Leadership Transitions</w:t>
      </w:r>
      <w:r>
        <w:rPr>
          <w:rFonts w:ascii="Arial" w:cs="Arial" w:eastAsia="Arial" w:hAnsi="Arial"/>
          <w:sz w:val="16"/>
          <w:szCs w:val="16"/>
          <w:color w:val="auto"/>
        </w:rPr>
        <w: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Committee made no changes to cash and annual incentive (bonus) compensation for 2025 outside of the changes made in connection with the leadership transitions described in Executive Summary—2025 Chief Executive Officer and Leadership Transitions and Fiscal Year 2025 Annual Long-Term Incentive Equity—August 2025 CEO and President, Go to Market Promotional Equity Awards.</w:t>
      </w:r>
    </w:p>
    <w:p>
      <w:pPr>
        <w:spacing w:after="0" w:line="76" w:lineRule="exact"/>
        <w:rPr>
          <w:rFonts w:ascii="Arial" w:cs="Arial" w:eastAsia="Arial" w:hAnsi="Arial"/>
          <w:sz w:val="16"/>
          <w:szCs w:val="16"/>
          <w:color w:val="auto"/>
        </w:rPr>
      </w:pPr>
    </w:p>
    <w:p>
      <w:pPr>
        <w:jc w:val="both"/>
        <w:ind w:left="1100" w:hanging="268"/>
        <w:spacing w:after="0" w:line="251" w:lineRule="auto"/>
        <w:tabs>
          <w:tab w:leader="none" w:pos="11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Did Not Make Increases to Annual Equity Grant Values for 2025 Outside of Leadership Transitions</w:t>
      </w:r>
      <w:r>
        <w:rPr>
          <w:rFonts w:ascii="Arial" w:cs="Arial" w:eastAsia="Arial" w:hAnsi="Arial"/>
          <w:sz w:val="16"/>
          <w:szCs w:val="16"/>
          <w:color w:val="auto"/>
        </w:rPr>
        <w:t>: The Compensation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made no change to Mr. Bergman’s annual equity grant and decreased annual equity awards made in early 2025 to Messrs. Nightingale and Kisling. These decisions reflect a comprehensive evaluation of both Company performance milestones and individual executive performance.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jc w:val="both"/>
        <w:ind w:left="278" w:right="660" w:hanging="278"/>
        <w:spacing w:after="0" w:line="253" w:lineRule="auto"/>
        <w:tabs>
          <w:tab w:leader="none" w:pos="278"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Maintained At Least 50% of CEO’s Equity Tied to Performance-based Vesting Conditions</w:t>
      </w:r>
      <w:r>
        <w:rPr>
          <w:rFonts w:ascii="Arial" w:cs="Arial" w:eastAsia="Arial" w:hAnsi="Arial"/>
          <w:sz w:val="16"/>
          <w:szCs w:val="16"/>
          <w:color w:val="auto"/>
        </w:rPr>
        <w:t>: For</w:t>
      </w:r>
      <w:r>
        <w:rPr>
          <w:rFonts w:ascii="Arial" w:cs="Arial" w:eastAsia="Arial" w:hAnsi="Arial"/>
          <w:sz w:val="16"/>
          <w:szCs w:val="16"/>
          <w:b w:val="1"/>
          <w:bCs w:val="1"/>
          <w:color w:val="auto"/>
        </w:rPr>
        <w:t xml:space="preserve"> </w:t>
      </w:r>
      <w:r>
        <w:rPr>
          <w:rFonts w:ascii="Arial" w:cs="Arial" w:eastAsia="Arial" w:hAnsi="Arial"/>
          <w:sz w:val="16"/>
          <w:szCs w:val="16"/>
          <w:color w:val="auto"/>
        </w:rPr>
        <w:t>2025, the Compensation Committee granted 50% of our CEO’s promotional equity in the form of PSUs and intends to continue to grant at least 50% of the CEO’s annual refresh equity in the form of performance-based equity.</w:t>
      </w:r>
    </w:p>
    <w:p>
      <w:pPr>
        <w:spacing w:after="0" w:line="73" w:lineRule="exact"/>
        <w:rPr>
          <w:rFonts w:ascii="Arial" w:cs="Arial" w:eastAsia="Arial" w:hAnsi="Arial"/>
          <w:sz w:val="16"/>
          <w:szCs w:val="16"/>
          <w:color w:val="auto"/>
        </w:rPr>
      </w:pPr>
    </w:p>
    <w:p>
      <w:pPr>
        <w:jc w:val="both"/>
        <w:ind w:left="278" w:right="640" w:hanging="278"/>
        <w:spacing w:after="0" w:line="252" w:lineRule="auto"/>
        <w:tabs>
          <w:tab w:leader="none" w:pos="278"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Introduced New Metric to our PSUs</w:t>
      </w:r>
      <w:r>
        <w:rPr>
          <w:rFonts w:ascii="Arial" w:cs="Arial" w:eastAsia="Arial" w:hAnsi="Arial"/>
          <w:sz w:val="16"/>
          <w:szCs w:val="16"/>
          <w:color w:val="auto"/>
        </w:rPr>
        <w:t>: Relative</w:t>
      </w:r>
      <w:r>
        <w:rPr>
          <w:rFonts w:ascii="Arial" w:cs="Arial" w:eastAsia="Arial" w:hAnsi="Arial"/>
          <w:sz w:val="16"/>
          <w:szCs w:val="16"/>
          <w:b w:val="1"/>
          <w:bCs w:val="1"/>
          <w:color w:val="auto"/>
        </w:rPr>
        <w:t xml:space="preserve"> </w:t>
      </w:r>
      <w:r>
        <w:rPr>
          <w:rFonts w:ascii="Arial" w:cs="Arial" w:eastAsia="Arial" w:hAnsi="Arial"/>
          <w:sz w:val="16"/>
          <w:szCs w:val="16"/>
          <w:color w:val="auto"/>
        </w:rPr>
        <w:t>TSR (“rTSR”) measured against the Russell 2000 Index over three years was added to our PSUs (“rTSR PSUs”) granted in 2025. This metric diversified both types of measures used in our plans (to include market performance) and introduced a longer performance period for a portion of the annual performance-based equity.</w:t>
      </w:r>
    </w:p>
    <w:p>
      <w:pPr>
        <w:spacing w:after="0" w:line="74" w:lineRule="exact"/>
        <w:rPr>
          <w:rFonts w:ascii="Arial" w:cs="Arial" w:eastAsia="Arial" w:hAnsi="Arial"/>
          <w:sz w:val="16"/>
          <w:szCs w:val="16"/>
          <w:color w:val="auto"/>
        </w:rPr>
      </w:pPr>
    </w:p>
    <w:p>
      <w:pPr>
        <w:jc w:val="both"/>
        <w:ind w:left="278" w:right="640" w:hanging="278"/>
        <w:spacing w:after="0" w:line="251" w:lineRule="auto"/>
        <w:tabs>
          <w:tab w:leader="none" w:pos="278"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Earned Above Target Incentive Outcomes for 2025 Full Year Performance</w:t>
      </w:r>
      <w:r>
        <w:rPr>
          <w:rFonts w:ascii="Arial" w:cs="Arial" w:eastAsia="Arial" w:hAnsi="Arial"/>
          <w:sz w:val="16"/>
          <w:szCs w:val="16"/>
          <w:color w:val="auto"/>
        </w:rPr>
        <w:t>: At the end of</w:t>
      </w:r>
      <w:r>
        <w:rPr>
          <w:rFonts w:ascii="Arial" w:cs="Arial" w:eastAsia="Arial" w:hAnsi="Arial"/>
          <w:sz w:val="16"/>
          <w:szCs w:val="16"/>
          <w:b w:val="1"/>
          <w:bCs w:val="1"/>
          <w:color w:val="auto"/>
        </w:rPr>
        <w:t xml:space="preserve"> </w:t>
      </w:r>
      <w:r>
        <w:rPr>
          <w:rFonts w:ascii="Arial" w:cs="Arial" w:eastAsia="Arial" w:hAnsi="Arial"/>
          <w:sz w:val="16"/>
          <w:szCs w:val="16"/>
          <w:color w:val="auto"/>
        </w:rPr>
        <w:t>2025, the annual incentive (bonus) and PSUs based on revenue and profitability goals (“Financial PSUs”) were achieved at 135.4% of target based on the financial goals established at the beginning of 2025 and reflect the strong performance referenced in the Business Highlights section above.</w:t>
      </w:r>
    </w:p>
    <w:p>
      <w:pPr>
        <w:spacing w:after="0" w:line="577" w:lineRule="exact"/>
        <w:rPr>
          <w:sz w:val="20"/>
          <w:szCs w:val="20"/>
          <w:color w:val="auto"/>
        </w:rPr>
      </w:pPr>
    </w:p>
    <w:p>
      <w:pPr>
        <w:sectPr>
          <w:pgSz w:w="11900" w:h="16838" w:orient="portrait"/>
          <w:cols w:equalWidth="0" w:num="2">
            <w:col w:w="4660" w:space="582"/>
            <w:col w:w="4478"/>
          </w:cols>
          <w:pgMar w:left="1080" w:top="114" w:right="1099" w:bottom="1440" w:gutter="0" w:footer="0" w:header="0"/>
          <w:type w:val="continuous"/>
        </w:sectPr>
      </w:pP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Preview of Changes for Fiscal Year 2026</w:t>
      </w:r>
    </w:p>
    <w:p>
      <w:pPr>
        <w:spacing w:after="0" w:line="153" w:lineRule="exact"/>
        <w:rPr>
          <w:sz w:val="20"/>
          <w:szCs w:val="20"/>
          <w:color w:val="auto"/>
        </w:rPr>
      </w:pPr>
    </w:p>
    <w:p>
      <w:pPr>
        <w:jc w:val="both"/>
        <w:ind w:left="660" w:right="640"/>
        <w:spacing w:after="0" w:line="256" w:lineRule="auto"/>
        <w:rPr>
          <w:sz w:val="20"/>
          <w:szCs w:val="20"/>
          <w:color w:val="auto"/>
        </w:rPr>
      </w:pPr>
      <w:r>
        <w:rPr>
          <w:rFonts w:ascii="Arial" w:cs="Arial" w:eastAsia="Arial" w:hAnsi="Arial"/>
          <w:sz w:val="16"/>
          <w:szCs w:val="16"/>
          <w:color w:val="auto"/>
        </w:rPr>
        <w:t>During 2025 and in early 2026, with support from its independent compensation consultant, the Compensation Committee undertook a comprehensive review of our approach to executive compensation after engaging with stockholders as described directly above. In addition to stockholder feedback, this review incorporated market perspective from our peer group as well as consideration given to our compensation objectives and desired emphasis on variable compensation to support our pay-for-performance culture.</w:t>
      </w:r>
    </w:p>
    <w:p>
      <w:pPr>
        <w:spacing w:after="0" w:line="99" w:lineRule="exact"/>
        <w:rPr>
          <w:sz w:val="20"/>
          <w:szCs w:val="20"/>
          <w:color w:val="auto"/>
        </w:rPr>
      </w:pPr>
    </w:p>
    <w:p>
      <w:pPr>
        <w:jc w:val="both"/>
        <w:ind w:left="660" w:right="640"/>
        <w:spacing w:after="0" w:line="286" w:lineRule="auto"/>
        <w:rPr>
          <w:sz w:val="20"/>
          <w:szCs w:val="20"/>
          <w:color w:val="auto"/>
        </w:rPr>
      </w:pPr>
      <w:r>
        <w:rPr>
          <w:rFonts w:ascii="Arial" w:cs="Arial" w:eastAsia="Arial" w:hAnsi="Arial"/>
          <w:sz w:val="16"/>
          <w:szCs w:val="16"/>
          <w:color w:val="auto"/>
        </w:rPr>
        <w:t>Following this review, the Compensation Committee approved changes to the compensation program for our Named Executive Officers applicable in fiscal year 2026. Key changes were made to address stockholder feedback:</w:t>
      </w:r>
    </w:p>
    <w:p>
      <w:pPr>
        <w:spacing w:after="0" w:line="48" w:lineRule="exact"/>
        <w:rPr>
          <w:sz w:val="20"/>
          <w:szCs w:val="20"/>
          <w:color w:val="auto"/>
        </w:rPr>
      </w:pPr>
    </w:p>
    <w:p>
      <w:pPr>
        <w:jc w:val="both"/>
        <w:ind w:left="1100" w:right="660" w:hanging="268"/>
        <w:spacing w:after="0" w:line="266" w:lineRule="auto"/>
        <w:tabs>
          <w:tab w:leader="none" w:pos="11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Introducing two new Financial PSU metrics that measure both top- and bottom-line performance to meaningfully reduce overlap with the annual incentive measures: CMRR and FCF. These two metrics will make up a majority of the Financial PSUs’ performance measurement beginning in 2026:</w:t>
      </w:r>
    </w:p>
    <w:p>
      <w:pPr>
        <w:spacing w:after="0" w:line="149" w:lineRule="exact"/>
        <w:rPr>
          <w:sz w:val="20"/>
          <w:szCs w:val="20"/>
          <w:color w:val="auto"/>
        </w:rPr>
      </w:pPr>
    </w:p>
    <w:tbl>
      <w:tblPr>
        <w:tblLayout w:type="fixed"/>
        <w:tblInd w:w="1100" w:type="dxa"/>
        <w:tblCellMar>
          <w:top w:w="0" w:type="dxa"/>
          <w:left w:w="0" w:type="dxa"/>
          <w:bottom w:w="0" w:type="dxa"/>
          <w:right w:w="0" w:type="dxa"/>
        </w:tblCellMar>
      </w:tblPr>
      <w:tr>
        <w:trPr>
          <w:trHeight w:val="205"/>
        </w:trPr>
        <w:tc>
          <w:tcPr>
            <w:tcW w:w="2960" w:type="dxa"/>
            <w:vAlign w:val="bottom"/>
            <w:tcBorders>
              <w:bottom w:val="single" w:sz="8" w:color="404040"/>
            </w:tcBorders>
          </w:tcPr>
          <w:p>
            <w:pPr>
              <w:spacing w:after="0"/>
              <w:rPr>
                <w:sz w:val="17"/>
                <w:szCs w:val="17"/>
                <w:color w:val="auto"/>
              </w:rPr>
            </w:pPr>
          </w:p>
        </w:tc>
        <w:tc>
          <w:tcPr>
            <w:tcW w:w="2420" w:type="dxa"/>
            <w:vAlign w:val="bottom"/>
            <w:tcBorders>
              <w:bottom w:val="single" w:sz="8" w:color="404040"/>
            </w:tcBorders>
            <w:gridSpan w:val="2"/>
          </w:tcPr>
          <w:p>
            <w:pPr>
              <w:ind w:left="220"/>
              <w:spacing w:after="0"/>
              <w:rPr>
                <w:sz w:val="20"/>
                <w:szCs w:val="20"/>
                <w:color w:val="auto"/>
              </w:rPr>
            </w:pPr>
            <w:r>
              <w:rPr>
                <w:rFonts w:ascii="Arial" w:cs="Arial" w:eastAsia="Arial" w:hAnsi="Arial"/>
                <w:sz w:val="14"/>
                <w:szCs w:val="14"/>
                <w:b w:val="1"/>
                <w:bCs w:val="1"/>
                <w:color w:val="auto"/>
              </w:rPr>
              <w:t>2025</w:t>
            </w:r>
          </w:p>
        </w:tc>
        <w:tc>
          <w:tcPr>
            <w:tcW w:w="2500" w:type="dxa"/>
            <w:vAlign w:val="bottom"/>
            <w:tcBorders>
              <w:bottom w:val="single" w:sz="8" w:color="404040"/>
            </w:tcBorders>
            <w:gridSpan w:val="2"/>
          </w:tcPr>
          <w:p>
            <w:pPr>
              <w:ind w:left="160"/>
              <w:spacing w:after="0"/>
              <w:rPr>
                <w:sz w:val="20"/>
                <w:szCs w:val="20"/>
                <w:color w:val="auto"/>
              </w:rPr>
            </w:pPr>
            <w:r>
              <w:rPr>
                <w:rFonts w:ascii="Arial" w:cs="Arial" w:eastAsia="Arial" w:hAnsi="Arial"/>
                <w:sz w:val="14"/>
                <w:szCs w:val="14"/>
                <w:b w:val="1"/>
                <w:bCs w:val="1"/>
                <w:color w:val="auto"/>
              </w:rPr>
              <w:t>2026</w:t>
            </w:r>
          </w:p>
        </w:tc>
      </w:tr>
      <w:tr>
        <w:trPr>
          <w:trHeight w:val="180"/>
        </w:trPr>
        <w:tc>
          <w:tcPr>
            <w:tcW w:w="2960" w:type="dxa"/>
            <w:vAlign w:val="bottom"/>
          </w:tcPr>
          <w:p>
            <w:pPr>
              <w:ind w:left="80"/>
              <w:spacing w:after="0"/>
              <w:rPr>
                <w:sz w:val="20"/>
                <w:szCs w:val="20"/>
                <w:color w:val="auto"/>
              </w:rPr>
            </w:pPr>
            <w:r>
              <w:rPr>
                <w:rFonts w:ascii="Arial" w:cs="Arial" w:eastAsia="Arial" w:hAnsi="Arial"/>
                <w:sz w:val="14"/>
                <w:szCs w:val="14"/>
                <w:color w:val="auto"/>
              </w:rPr>
              <w:t>Performance Measure for Financial PSUs</w:t>
            </w:r>
          </w:p>
        </w:tc>
        <w:tc>
          <w:tcPr>
            <w:tcW w:w="380" w:type="dxa"/>
            <w:vAlign w:val="bottom"/>
          </w:tcPr>
          <w:p>
            <w:pPr>
              <w:ind w:left="220"/>
              <w:spacing w:after="0"/>
              <w:rPr>
                <w:sz w:val="20"/>
                <w:szCs w:val="20"/>
                <w:color w:val="auto"/>
              </w:rPr>
            </w:pPr>
            <w:r>
              <w:rPr>
                <w:rFonts w:ascii="Arial" w:cs="Arial" w:eastAsia="Arial" w:hAnsi="Arial"/>
                <w:sz w:val="14"/>
                <w:szCs w:val="14"/>
                <w:color w:val="auto"/>
                <w:w w:val="73"/>
              </w:rPr>
              <w:t>• </w:t>
            </w:r>
          </w:p>
        </w:tc>
        <w:tc>
          <w:tcPr>
            <w:tcW w:w="2040" w:type="dxa"/>
            <w:vAlign w:val="bottom"/>
          </w:tcPr>
          <w:p>
            <w:pPr>
              <w:ind w:left="40"/>
              <w:spacing w:after="0"/>
              <w:rPr>
                <w:sz w:val="20"/>
                <w:szCs w:val="20"/>
                <w:color w:val="auto"/>
              </w:rPr>
            </w:pPr>
            <w:r>
              <w:rPr>
                <w:rFonts w:ascii="Arial" w:cs="Arial" w:eastAsia="Arial" w:hAnsi="Arial"/>
                <w:sz w:val="14"/>
                <w:szCs w:val="14"/>
                <w:color w:val="auto"/>
              </w:rPr>
              <w:t>66.7% Revenue</w:t>
            </w:r>
          </w:p>
        </w:tc>
        <w:tc>
          <w:tcPr>
            <w:tcW w:w="300" w:type="dxa"/>
            <w:vAlign w:val="bottom"/>
          </w:tcPr>
          <w:p>
            <w:pPr>
              <w:ind w:left="160"/>
              <w:spacing w:after="0"/>
              <w:rPr>
                <w:sz w:val="20"/>
                <w:szCs w:val="20"/>
                <w:color w:val="auto"/>
              </w:rPr>
            </w:pPr>
            <w:r>
              <w:rPr>
                <w:rFonts w:ascii="Arial" w:cs="Arial" w:eastAsia="Arial" w:hAnsi="Arial"/>
                <w:sz w:val="12"/>
                <w:szCs w:val="12"/>
                <w:color w:val="auto"/>
                <w:w w:val="73"/>
              </w:rPr>
              <w:t>• </w:t>
            </w:r>
          </w:p>
        </w:tc>
        <w:tc>
          <w:tcPr>
            <w:tcW w:w="2200" w:type="dxa"/>
            <w:vAlign w:val="bottom"/>
          </w:tcPr>
          <w:p>
            <w:pPr>
              <w:ind w:left="60"/>
              <w:spacing w:after="0"/>
              <w:rPr>
                <w:sz w:val="20"/>
                <w:szCs w:val="20"/>
                <w:color w:val="auto"/>
              </w:rPr>
            </w:pPr>
            <w:r>
              <w:rPr>
                <w:rFonts w:ascii="Arial" w:cs="Arial" w:eastAsia="Arial" w:hAnsi="Arial"/>
                <w:sz w:val="14"/>
                <w:szCs w:val="14"/>
                <w:color w:val="auto"/>
              </w:rPr>
              <w:t>34% Revenue</w:t>
            </w:r>
          </w:p>
        </w:tc>
      </w:tr>
      <w:tr>
        <w:trPr>
          <w:trHeight w:val="162"/>
        </w:trPr>
        <w:tc>
          <w:tcPr>
            <w:tcW w:w="2960" w:type="dxa"/>
            <w:vAlign w:val="bottom"/>
          </w:tcPr>
          <w:p>
            <w:pPr>
              <w:spacing w:after="0"/>
              <w:rPr>
                <w:sz w:val="14"/>
                <w:szCs w:val="14"/>
                <w:color w:val="auto"/>
              </w:rPr>
            </w:pPr>
          </w:p>
        </w:tc>
        <w:tc>
          <w:tcPr>
            <w:tcW w:w="380" w:type="dxa"/>
            <w:vAlign w:val="bottom"/>
          </w:tcPr>
          <w:p>
            <w:pPr>
              <w:ind w:left="220"/>
              <w:spacing w:after="0"/>
              <w:rPr>
                <w:sz w:val="20"/>
                <w:szCs w:val="20"/>
                <w:color w:val="auto"/>
              </w:rPr>
            </w:pPr>
            <w:r>
              <w:rPr>
                <w:rFonts w:ascii="Arial" w:cs="Arial" w:eastAsia="Arial" w:hAnsi="Arial"/>
                <w:sz w:val="14"/>
                <w:szCs w:val="14"/>
                <w:color w:val="auto"/>
                <w:w w:val="73"/>
              </w:rPr>
              <w:t>• </w:t>
            </w:r>
          </w:p>
        </w:tc>
        <w:tc>
          <w:tcPr>
            <w:tcW w:w="2040" w:type="dxa"/>
            <w:vAlign w:val="bottom"/>
          </w:tcPr>
          <w:p>
            <w:pPr>
              <w:ind w:left="40"/>
              <w:spacing w:after="0"/>
              <w:rPr>
                <w:sz w:val="20"/>
                <w:szCs w:val="20"/>
                <w:color w:val="auto"/>
              </w:rPr>
            </w:pPr>
            <w:r>
              <w:rPr>
                <w:rFonts w:ascii="Arial" w:cs="Arial" w:eastAsia="Arial" w:hAnsi="Arial"/>
                <w:sz w:val="14"/>
                <w:szCs w:val="14"/>
                <w:color w:val="auto"/>
              </w:rPr>
              <w:t>33.3% Non-GAAP Operating</w:t>
            </w:r>
          </w:p>
        </w:tc>
        <w:tc>
          <w:tcPr>
            <w:tcW w:w="300" w:type="dxa"/>
            <w:vAlign w:val="bottom"/>
          </w:tcPr>
          <w:p>
            <w:pPr>
              <w:ind w:left="160"/>
              <w:spacing w:after="0"/>
              <w:rPr>
                <w:sz w:val="20"/>
                <w:szCs w:val="20"/>
                <w:color w:val="auto"/>
              </w:rPr>
            </w:pPr>
            <w:r>
              <w:rPr>
                <w:rFonts w:ascii="Arial" w:cs="Arial" w:eastAsia="Arial" w:hAnsi="Arial"/>
                <w:sz w:val="12"/>
                <w:szCs w:val="12"/>
                <w:color w:val="auto"/>
                <w:w w:val="73"/>
              </w:rPr>
              <w:t>• </w:t>
            </w:r>
          </w:p>
        </w:tc>
        <w:tc>
          <w:tcPr>
            <w:tcW w:w="2200" w:type="dxa"/>
            <w:vAlign w:val="bottom"/>
          </w:tcPr>
          <w:p>
            <w:pPr>
              <w:ind w:left="60"/>
              <w:spacing w:after="0"/>
              <w:rPr>
                <w:sz w:val="20"/>
                <w:szCs w:val="20"/>
                <w:color w:val="auto"/>
              </w:rPr>
            </w:pPr>
            <w:r>
              <w:rPr>
                <w:rFonts w:ascii="Arial" w:cs="Arial" w:eastAsia="Arial" w:hAnsi="Arial"/>
                <w:sz w:val="14"/>
                <w:szCs w:val="14"/>
                <w:color w:val="auto"/>
              </w:rPr>
              <w:t>33% CMRR</w:t>
            </w:r>
          </w:p>
        </w:tc>
      </w:tr>
      <w:tr>
        <w:trPr>
          <w:trHeight w:val="171"/>
        </w:trPr>
        <w:tc>
          <w:tcPr>
            <w:tcW w:w="2960" w:type="dxa"/>
            <w:vAlign w:val="bottom"/>
            <w:tcBorders>
              <w:bottom w:val="single" w:sz="8" w:color="404040"/>
            </w:tcBorders>
          </w:tcPr>
          <w:p>
            <w:pPr>
              <w:spacing w:after="0"/>
              <w:rPr>
                <w:sz w:val="14"/>
                <w:szCs w:val="14"/>
                <w:color w:val="auto"/>
              </w:rPr>
            </w:pPr>
          </w:p>
        </w:tc>
        <w:tc>
          <w:tcPr>
            <w:tcW w:w="380" w:type="dxa"/>
            <w:vAlign w:val="bottom"/>
            <w:tcBorders>
              <w:bottom w:val="single" w:sz="8" w:color="404040"/>
            </w:tcBorders>
          </w:tcPr>
          <w:p>
            <w:pPr>
              <w:spacing w:after="0"/>
              <w:rPr>
                <w:sz w:val="14"/>
                <w:szCs w:val="14"/>
                <w:color w:val="auto"/>
              </w:rPr>
            </w:pPr>
          </w:p>
        </w:tc>
        <w:tc>
          <w:tcPr>
            <w:tcW w:w="2040" w:type="dxa"/>
            <w:vAlign w:val="bottom"/>
            <w:tcBorders>
              <w:bottom w:val="single" w:sz="8" w:color="404040"/>
            </w:tcBorders>
          </w:tcPr>
          <w:p>
            <w:pPr>
              <w:ind w:left="40"/>
              <w:spacing w:after="0"/>
              <w:rPr>
                <w:sz w:val="20"/>
                <w:szCs w:val="20"/>
                <w:color w:val="auto"/>
              </w:rPr>
            </w:pPr>
            <w:r>
              <w:rPr>
                <w:rFonts w:ascii="Arial" w:cs="Arial" w:eastAsia="Arial" w:hAnsi="Arial"/>
                <w:sz w:val="14"/>
                <w:szCs w:val="14"/>
                <w:color w:val="auto"/>
              </w:rPr>
              <w:t>Loss % of Revenue</w:t>
            </w:r>
          </w:p>
        </w:tc>
        <w:tc>
          <w:tcPr>
            <w:tcW w:w="300" w:type="dxa"/>
            <w:vAlign w:val="bottom"/>
            <w:tcBorders>
              <w:bottom w:val="single" w:sz="8" w:color="404040"/>
            </w:tcBorders>
          </w:tcPr>
          <w:p>
            <w:pPr>
              <w:ind w:left="160"/>
              <w:spacing w:after="0"/>
              <w:rPr>
                <w:sz w:val="20"/>
                <w:szCs w:val="20"/>
                <w:color w:val="auto"/>
              </w:rPr>
            </w:pPr>
            <w:r>
              <w:rPr>
                <w:rFonts w:ascii="Arial" w:cs="Arial" w:eastAsia="Arial" w:hAnsi="Arial"/>
                <w:sz w:val="12"/>
                <w:szCs w:val="12"/>
                <w:color w:val="auto"/>
                <w:w w:val="73"/>
              </w:rPr>
              <w:t>• </w:t>
            </w:r>
          </w:p>
        </w:tc>
        <w:tc>
          <w:tcPr>
            <w:tcW w:w="2200" w:type="dxa"/>
            <w:vAlign w:val="bottom"/>
            <w:tcBorders>
              <w:bottom w:val="single" w:sz="8" w:color="404040"/>
            </w:tcBorders>
          </w:tcPr>
          <w:p>
            <w:pPr>
              <w:ind w:left="60"/>
              <w:spacing w:after="0"/>
              <w:rPr>
                <w:sz w:val="20"/>
                <w:szCs w:val="20"/>
                <w:color w:val="auto"/>
              </w:rPr>
            </w:pPr>
            <w:r>
              <w:rPr>
                <w:rFonts w:ascii="Arial" w:cs="Arial" w:eastAsia="Arial" w:hAnsi="Arial"/>
                <w:sz w:val="14"/>
                <w:szCs w:val="14"/>
                <w:color w:val="auto"/>
              </w:rPr>
              <w:t>33% FCF</w:t>
            </w:r>
          </w:p>
        </w:tc>
      </w:tr>
    </w:tbl>
    <w:p>
      <w:pPr>
        <w:spacing w:after="0" w:line="19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type w:val="continuous"/>
        </w:sectPr>
      </w:pPr>
    </w:p>
    <w:bookmarkStart w:id="37" w:name="page38"/>
    <w:bookmarkEnd w:id="37"/>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left="1740" w:right="1320" w:hanging="268"/>
        <w:spacing w:after="0" w:line="266" w:lineRule="auto"/>
        <w:tabs>
          <w:tab w:leader="none" w:pos="1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our eligible Named Executive Officers’ annual refresh LTI awards in 2026 consisted of 15% rTSR PSUs measured over three years, 35% Financial PSUs based on revenue, CMRR, and FCF, and 50% time-based RSUs.</w:t>
      </w:r>
    </w:p>
    <w:p>
      <w:pPr>
        <w:spacing w:after="0" w:line="90" w:lineRule="exact"/>
        <w:rPr>
          <w:sz w:val="20"/>
          <w:szCs w:val="20"/>
          <w:color w:val="auto"/>
        </w:rPr>
      </w:pPr>
    </w:p>
    <w:p>
      <w:pPr>
        <w:jc w:val="both"/>
        <w:ind w:left="1300" w:right="1300"/>
        <w:spacing w:after="0" w:line="266" w:lineRule="auto"/>
        <w:rPr>
          <w:sz w:val="20"/>
          <w:szCs w:val="20"/>
          <w:color w:val="auto"/>
        </w:rPr>
      </w:pPr>
      <w:r>
        <w:rPr>
          <w:rFonts w:ascii="Arial" w:cs="Arial" w:eastAsia="Arial" w:hAnsi="Arial"/>
          <w:sz w:val="16"/>
          <w:szCs w:val="16"/>
          <w:color w:val="auto"/>
        </w:rPr>
        <w:t>We believe that this combination of these new financial metrics and enhanced non-CEO Named Executive Officer annual equity mix reinforces our pay-for-performance philosophy. The percentage of performance-based LTI is based on the intended target value of the PSUs granted.</w:t>
      </w:r>
    </w:p>
    <w:p>
      <w:pPr>
        <w:sectPr>
          <w:pgSz w:w="11900" w:h="16838" w:orient="portrait"/>
          <w:cols w:equalWidth="0" w:num="1">
            <w:col w:w="11020"/>
          </w:cols>
          <w:pgMar w:left="440" w:top="114" w:right="439" w:bottom="1440" w:gutter="0" w:footer="0" w:header="0"/>
        </w:sectPr>
      </w:pPr>
    </w:p>
    <w:p>
      <w:pPr>
        <w:spacing w:after="0" w:line="251" w:lineRule="exact"/>
        <w:rPr>
          <w:sz w:val="20"/>
          <w:szCs w:val="20"/>
          <w:color w:val="auto"/>
        </w:rPr>
      </w:pPr>
    </w:p>
    <w:p>
      <w:pPr>
        <w:ind w:left="1300"/>
        <w:spacing w:after="0"/>
        <w:rPr>
          <w:sz w:val="20"/>
          <w:szCs w:val="20"/>
          <w:color w:val="auto"/>
        </w:rPr>
      </w:pPr>
      <w:r>
        <w:rPr>
          <w:rFonts w:ascii="Arial" w:cs="Arial" w:eastAsia="Arial" w:hAnsi="Arial"/>
          <w:sz w:val="21"/>
          <w:szCs w:val="21"/>
          <w:b w:val="1"/>
          <w:bCs w:val="1"/>
          <w:color w:val="EE3434"/>
        </w:rPr>
        <w:t>Compensation Philosophy and Objectives</w:t>
      </w:r>
    </w:p>
    <w:p>
      <w:pPr>
        <w:spacing w:after="0" w:line="124" w:lineRule="exact"/>
        <w:rPr>
          <w:sz w:val="20"/>
          <w:szCs w:val="20"/>
          <w:color w:val="auto"/>
        </w:rPr>
      </w:pPr>
    </w:p>
    <w:p>
      <w:pPr>
        <w:jc w:val="both"/>
        <w:ind w:left="1300" w:right="320"/>
        <w:spacing w:after="0" w:line="250" w:lineRule="auto"/>
        <w:rPr>
          <w:sz w:val="20"/>
          <w:szCs w:val="20"/>
          <w:color w:val="auto"/>
        </w:rPr>
      </w:pPr>
      <w:r>
        <w:rPr>
          <w:rFonts w:ascii="Arial" w:cs="Arial" w:eastAsia="Arial" w:hAnsi="Arial"/>
          <w:sz w:val="16"/>
          <w:szCs w:val="16"/>
          <w:color w:val="auto"/>
        </w:rPr>
        <w:t>Fastly is the essential platform to deliver resilient, highly performant, always-on software and services at global scale. As the internet approaches an inflection point where AI-driven traffic increases demands on infrastructure, we continuously drive innovation to meet the ever-changing needs of our customers, which include scaling the next generation of AI-centric experiences. Our compensation philosophy and programs are designed to attract, retain, and motivate talented employees who will help us realize this vision. Compensation objectives include:</w:t>
      </w:r>
    </w:p>
    <w:p>
      <w:pPr>
        <w:spacing w:after="0" w:line="79" w:lineRule="exact"/>
        <w:rPr>
          <w:sz w:val="20"/>
          <w:szCs w:val="20"/>
          <w:color w:val="auto"/>
        </w:rPr>
      </w:pPr>
    </w:p>
    <w:p>
      <w:pPr>
        <w:ind w:left="1740" w:right="320" w:hanging="268"/>
        <w:spacing w:after="0" w:line="286" w:lineRule="auto"/>
        <w:tabs>
          <w:tab w:leader="none" w:pos="1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Supporting our ability to recruit, retain and motivate top talent;</w:t>
      </w:r>
    </w:p>
    <w:p>
      <w:pPr>
        <w:spacing w:after="0" w:line="47" w:lineRule="exact"/>
        <w:rPr>
          <w:rFonts w:ascii="Arial" w:cs="Arial" w:eastAsia="Arial" w:hAnsi="Arial"/>
          <w:sz w:val="16"/>
          <w:szCs w:val="16"/>
          <w:color w:val="auto"/>
        </w:rPr>
      </w:pPr>
    </w:p>
    <w:p>
      <w:pPr>
        <w:ind w:left="1740" w:right="320" w:hanging="268"/>
        <w:spacing w:after="0" w:line="286" w:lineRule="auto"/>
        <w:tabs>
          <w:tab w:leader="none" w:pos="1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Aligning the interests of our executives with those of our stockholders;</w:t>
      </w:r>
    </w:p>
    <w:p>
      <w:pPr>
        <w:spacing w:after="0" w:line="47" w:lineRule="exact"/>
        <w:rPr>
          <w:rFonts w:ascii="Arial" w:cs="Arial" w:eastAsia="Arial" w:hAnsi="Arial"/>
          <w:sz w:val="16"/>
          <w:szCs w:val="16"/>
          <w:color w:val="auto"/>
        </w:rPr>
      </w:pPr>
    </w:p>
    <w:p>
      <w:pPr>
        <w:ind w:left="1740" w:right="320" w:hanging="268"/>
        <w:spacing w:after="0" w:line="286" w:lineRule="auto"/>
        <w:tabs>
          <w:tab w:leader="none" w:pos="17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Reinforcing a strong pay-for-performance culture;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ind w:left="460" w:right="1320" w:hanging="278"/>
        <w:spacing w:after="0" w:line="286" w:lineRule="auto"/>
        <w:tabs>
          <w:tab w:leader="none" w:pos="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Balancing short- and long-term corporate goals and strategy.</w:t>
      </w:r>
    </w:p>
    <w:p>
      <w:pPr>
        <w:spacing w:after="0" w:line="88" w:lineRule="exact"/>
        <w:rPr>
          <w:sz w:val="20"/>
          <w:szCs w:val="20"/>
          <w:color w:val="auto"/>
        </w:rPr>
      </w:pPr>
    </w:p>
    <w:p>
      <w:pPr>
        <w:jc w:val="both"/>
        <w:ind w:right="1300"/>
        <w:spacing w:after="0" w:line="254" w:lineRule="auto"/>
        <w:rPr>
          <w:sz w:val="20"/>
          <w:szCs w:val="20"/>
          <w:color w:val="auto"/>
        </w:rPr>
      </w:pPr>
      <w:r>
        <w:rPr>
          <w:rFonts w:ascii="Arial" w:cs="Arial" w:eastAsia="Arial" w:hAnsi="Arial"/>
          <w:sz w:val="16"/>
          <w:szCs w:val="16"/>
          <w:color w:val="auto"/>
        </w:rPr>
        <w:t>We seek to achieve these objectives by providing compensation that is competitive with the practices of companies in our compensation peer group and market for executive talent, with individual pay decisions approved in the context of both Company and individual performance.</w:t>
      </w:r>
    </w:p>
    <w:p>
      <w:pPr>
        <w:spacing w:after="0" w:line="101" w:lineRule="exact"/>
        <w:rPr>
          <w:sz w:val="20"/>
          <w:szCs w:val="20"/>
          <w:color w:val="auto"/>
        </w:rPr>
      </w:pPr>
    </w:p>
    <w:p>
      <w:pPr>
        <w:jc w:val="both"/>
        <w:ind w:right="1320"/>
        <w:spacing w:after="0" w:line="254" w:lineRule="auto"/>
        <w:rPr>
          <w:sz w:val="20"/>
          <w:szCs w:val="20"/>
          <w:color w:val="auto"/>
        </w:rPr>
      </w:pPr>
      <w:r>
        <w:rPr>
          <w:rFonts w:ascii="Arial" w:cs="Arial" w:eastAsia="Arial" w:hAnsi="Arial"/>
          <w:sz w:val="16"/>
          <w:szCs w:val="16"/>
          <w:color w:val="auto"/>
        </w:rPr>
        <w:t>In addition, the Compensation Committee seeks to ensure that we maintain sound governance and compensation policies and practices. In designing and overseeing our executive compensation program, we strive to employ best practices and regularly assess our policies and practices.</w:t>
      </w:r>
    </w:p>
    <w:p>
      <w:pPr>
        <w:spacing w:after="0" w:line="799" w:lineRule="exact"/>
        <w:rPr>
          <w:sz w:val="20"/>
          <w:szCs w:val="20"/>
          <w:color w:val="auto"/>
        </w:rPr>
      </w:pPr>
    </w:p>
    <w:p>
      <w:pPr>
        <w:sectPr>
          <w:pgSz w:w="11900" w:h="16838" w:orient="portrait"/>
          <w:cols w:equalWidth="0" w:num="2">
            <w:col w:w="5620" w:space="80"/>
            <w:col w:w="5320"/>
          </w:cols>
          <w:pgMar w:left="440" w:top="114" w:right="439" w:bottom="1440" w:gutter="0" w:footer="0" w:header="0"/>
          <w:type w:val="continuous"/>
        </w:sectPr>
      </w:pPr>
    </w:p>
    <w:p>
      <w:pPr>
        <w:ind w:left="1300"/>
        <w:spacing w:after="0"/>
        <w:rPr>
          <w:sz w:val="20"/>
          <w:szCs w:val="20"/>
          <w:color w:val="auto"/>
        </w:rPr>
      </w:pPr>
      <w:r>
        <w:rPr>
          <w:rFonts w:ascii="Arial" w:cs="Arial" w:eastAsia="Arial" w:hAnsi="Arial"/>
          <w:sz w:val="18"/>
          <w:szCs w:val="18"/>
          <w:b w:val="1"/>
          <w:bCs w:val="1"/>
          <w:i w:val="1"/>
          <w:iCs w:val="1"/>
          <w:color w:val="EE3434"/>
        </w:rPr>
        <w:t>What we do</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80" w:type="dxa"/>
            <w:vAlign w:val="bottom"/>
          </w:tcPr>
          <w:p>
            <w:pPr>
              <w:ind w:left="1380"/>
              <w:spacing w:after="0"/>
              <w:rPr>
                <w:sz w:val="20"/>
                <w:szCs w:val="20"/>
                <w:color w:val="auto"/>
              </w:rPr>
            </w:pPr>
            <w:r>
              <w:rPr>
                <w:rFonts w:ascii="Arial" w:cs="Arial" w:eastAsia="Arial" w:hAnsi="Arial"/>
                <w:sz w:val="16"/>
                <w:szCs w:val="16"/>
                <w:color w:val="auto"/>
              </w:rPr>
              <w:t>Link Pay to Performance</w:t>
            </w:r>
          </w:p>
        </w:tc>
        <w:tc>
          <w:tcPr>
            <w:tcW w:w="7140" w:type="dxa"/>
            <w:vAlign w:val="bottom"/>
          </w:tcPr>
          <w:p>
            <w:pPr>
              <w:ind w:left="280"/>
              <w:spacing w:after="0"/>
              <w:rPr>
                <w:sz w:val="20"/>
                <w:szCs w:val="20"/>
                <w:color w:val="auto"/>
              </w:rPr>
            </w:pPr>
            <w:r>
              <w:rPr>
                <w:rFonts w:ascii="Arial" w:cs="Arial" w:eastAsia="Arial" w:hAnsi="Arial"/>
                <w:sz w:val="16"/>
                <w:szCs w:val="16"/>
                <w:color w:val="auto"/>
              </w:rPr>
              <w:t>We link pay to performance by delivering a substantial portion of total</w:t>
            </w:r>
          </w:p>
        </w:tc>
      </w:tr>
      <w:tr>
        <w:trPr>
          <w:trHeight w:val="189"/>
        </w:trPr>
        <w:tc>
          <w:tcPr>
            <w:tcW w:w="3880" w:type="dxa"/>
            <w:vAlign w:val="bottom"/>
          </w:tcPr>
          <w:p>
            <w:pPr>
              <w:spacing w:after="0"/>
              <w:rPr>
                <w:sz w:val="16"/>
                <w:szCs w:val="16"/>
                <w:color w:val="auto"/>
              </w:rPr>
            </w:pPr>
          </w:p>
        </w:tc>
        <w:tc>
          <w:tcPr>
            <w:tcW w:w="7140" w:type="dxa"/>
            <w:vAlign w:val="bottom"/>
          </w:tcPr>
          <w:p>
            <w:pPr>
              <w:ind w:left="280"/>
              <w:spacing w:after="0"/>
              <w:rPr>
                <w:sz w:val="20"/>
                <w:szCs w:val="20"/>
                <w:color w:val="auto"/>
              </w:rPr>
            </w:pPr>
            <w:r>
              <w:rPr>
                <w:rFonts w:ascii="Arial" w:cs="Arial" w:eastAsia="Arial" w:hAnsi="Arial"/>
                <w:sz w:val="16"/>
                <w:szCs w:val="16"/>
                <w:color w:val="auto"/>
              </w:rPr>
              <w:t>compensation for our executive officers in the form of annual and long-term</w:t>
            </w:r>
          </w:p>
        </w:tc>
      </w:tr>
      <w:tr>
        <w:trPr>
          <w:trHeight w:val="215"/>
        </w:trPr>
        <w:tc>
          <w:tcPr>
            <w:tcW w:w="388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6"/>
                <w:szCs w:val="16"/>
                <w:color w:val="auto"/>
              </w:rPr>
              <w:t>incentive programs.</w:t>
            </w:r>
          </w:p>
        </w:tc>
      </w:tr>
      <w:tr>
        <w:trPr>
          <w:trHeight w:val="271"/>
        </w:trPr>
        <w:tc>
          <w:tcPr>
            <w:tcW w:w="3880" w:type="dxa"/>
            <w:vAlign w:val="bottom"/>
          </w:tcPr>
          <w:p>
            <w:pPr>
              <w:ind w:left="1380"/>
              <w:spacing w:after="0"/>
              <w:rPr>
                <w:sz w:val="20"/>
                <w:szCs w:val="20"/>
                <w:color w:val="auto"/>
              </w:rPr>
            </w:pPr>
            <w:r>
              <w:rPr>
                <w:rFonts w:ascii="Arial" w:cs="Arial" w:eastAsia="Arial" w:hAnsi="Arial"/>
                <w:sz w:val="16"/>
                <w:szCs w:val="16"/>
                <w:color w:val="auto"/>
              </w:rPr>
              <w:t>Engage with independent</w:t>
            </w:r>
          </w:p>
        </w:tc>
        <w:tc>
          <w:tcPr>
            <w:tcW w:w="7140" w:type="dxa"/>
            <w:vAlign w:val="bottom"/>
          </w:tcPr>
          <w:p>
            <w:pPr>
              <w:ind w:left="280"/>
              <w:spacing w:after="0"/>
              <w:rPr>
                <w:sz w:val="20"/>
                <w:szCs w:val="20"/>
                <w:color w:val="auto"/>
              </w:rPr>
            </w:pPr>
            <w:r>
              <w:rPr>
                <w:rFonts w:ascii="Arial" w:cs="Arial" w:eastAsia="Arial" w:hAnsi="Arial"/>
                <w:sz w:val="16"/>
                <w:szCs w:val="16"/>
                <w:color w:val="auto"/>
              </w:rPr>
              <w:t>Our   Compensation   Committee   directly   engages   an   independent</w:t>
            </w:r>
          </w:p>
        </w:tc>
      </w:tr>
      <w:tr>
        <w:trPr>
          <w:trHeight w:val="189"/>
        </w:trPr>
        <w:tc>
          <w:tcPr>
            <w:tcW w:w="3880" w:type="dxa"/>
            <w:vAlign w:val="bottom"/>
          </w:tcPr>
          <w:p>
            <w:pPr>
              <w:ind w:left="1380"/>
              <w:spacing w:after="0"/>
              <w:rPr>
                <w:sz w:val="20"/>
                <w:szCs w:val="20"/>
                <w:color w:val="auto"/>
              </w:rPr>
            </w:pPr>
            <w:r>
              <w:rPr>
                <w:rFonts w:ascii="Arial" w:cs="Arial" w:eastAsia="Arial" w:hAnsi="Arial"/>
                <w:sz w:val="16"/>
                <w:szCs w:val="16"/>
                <w:color w:val="auto"/>
              </w:rPr>
              <w:t>compensation consultant</w:t>
            </w:r>
          </w:p>
        </w:tc>
        <w:tc>
          <w:tcPr>
            <w:tcW w:w="7140" w:type="dxa"/>
            <w:vAlign w:val="bottom"/>
          </w:tcPr>
          <w:p>
            <w:pPr>
              <w:ind w:left="280"/>
              <w:spacing w:after="0"/>
              <w:rPr>
                <w:sz w:val="20"/>
                <w:szCs w:val="20"/>
                <w:color w:val="auto"/>
              </w:rPr>
            </w:pPr>
            <w:r>
              <w:rPr>
                <w:rFonts w:ascii="Arial" w:cs="Arial" w:eastAsia="Arial" w:hAnsi="Arial"/>
                <w:sz w:val="16"/>
                <w:szCs w:val="16"/>
                <w:color w:val="auto"/>
              </w:rPr>
              <w:t>compensation  consultant  to  provide  analysis  for  the  annual  executive</w:t>
            </w:r>
          </w:p>
        </w:tc>
      </w:tr>
      <w:tr>
        <w:trPr>
          <w:trHeight w:val="189"/>
        </w:trPr>
        <w:tc>
          <w:tcPr>
            <w:tcW w:w="3880" w:type="dxa"/>
            <w:vAlign w:val="bottom"/>
          </w:tcPr>
          <w:p>
            <w:pPr>
              <w:spacing w:after="0"/>
              <w:rPr>
                <w:sz w:val="16"/>
                <w:szCs w:val="16"/>
                <w:color w:val="auto"/>
              </w:rPr>
            </w:pPr>
          </w:p>
        </w:tc>
        <w:tc>
          <w:tcPr>
            <w:tcW w:w="7140" w:type="dxa"/>
            <w:vAlign w:val="bottom"/>
          </w:tcPr>
          <w:p>
            <w:pPr>
              <w:ind w:left="280"/>
              <w:spacing w:after="0"/>
              <w:rPr>
                <w:sz w:val="20"/>
                <w:szCs w:val="20"/>
                <w:color w:val="auto"/>
              </w:rPr>
            </w:pPr>
            <w:r>
              <w:rPr>
                <w:rFonts w:ascii="Arial" w:cs="Arial" w:eastAsia="Arial" w:hAnsi="Arial"/>
                <w:sz w:val="16"/>
                <w:szCs w:val="16"/>
                <w:color w:val="auto"/>
              </w:rPr>
              <w:t>compensation  review  and  guidance  on  other  executive  compensation</w:t>
            </w:r>
          </w:p>
        </w:tc>
      </w:tr>
      <w:tr>
        <w:trPr>
          <w:trHeight w:val="215"/>
        </w:trPr>
        <w:tc>
          <w:tcPr>
            <w:tcW w:w="388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6"/>
                <w:szCs w:val="16"/>
                <w:color w:val="auto"/>
              </w:rPr>
              <w:t>matters independent of management.</w:t>
            </w:r>
          </w:p>
        </w:tc>
      </w:tr>
      <w:tr>
        <w:trPr>
          <w:trHeight w:val="271"/>
        </w:trPr>
        <w:tc>
          <w:tcPr>
            <w:tcW w:w="3880" w:type="dxa"/>
            <w:vAlign w:val="bottom"/>
          </w:tcPr>
          <w:p>
            <w:pPr>
              <w:ind w:left="1380"/>
              <w:spacing w:after="0"/>
              <w:rPr>
                <w:sz w:val="20"/>
                <w:szCs w:val="20"/>
                <w:color w:val="auto"/>
              </w:rPr>
            </w:pPr>
            <w:r>
              <w:rPr>
                <w:rFonts w:ascii="Arial" w:cs="Arial" w:eastAsia="Arial" w:hAnsi="Arial"/>
                <w:sz w:val="16"/>
                <w:szCs w:val="16"/>
                <w:color w:val="auto"/>
              </w:rPr>
              <w:t>Double-Trigger acceleration</w:t>
            </w:r>
          </w:p>
        </w:tc>
        <w:tc>
          <w:tcPr>
            <w:tcW w:w="7140" w:type="dxa"/>
            <w:vAlign w:val="bottom"/>
          </w:tcPr>
          <w:p>
            <w:pPr>
              <w:ind w:left="280"/>
              <w:spacing w:after="0"/>
              <w:rPr>
                <w:sz w:val="20"/>
                <w:szCs w:val="20"/>
                <w:color w:val="auto"/>
              </w:rPr>
            </w:pPr>
            <w:r>
              <w:rPr>
                <w:rFonts w:ascii="Arial" w:cs="Arial" w:eastAsia="Arial" w:hAnsi="Arial"/>
                <w:sz w:val="16"/>
                <w:szCs w:val="16"/>
                <w:color w:val="auto"/>
              </w:rPr>
              <w:t>Equity awards held by our Named Executive Officers provide for “double-</w:t>
            </w:r>
          </w:p>
        </w:tc>
      </w:tr>
      <w:tr>
        <w:trPr>
          <w:trHeight w:val="189"/>
        </w:trPr>
        <w:tc>
          <w:tcPr>
            <w:tcW w:w="3880" w:type="dxa"/>
            <w:vAlign w:val="bottom"/>
          </w:tcPr>
          <w:p>
            <w:pPr>
              <w:spacing w:after="0"/>
              <w:rPr>
                <w:sz w:val="16"/>
                <w:szCs w:val="16"/>
                <w:color w:val="auto"/>
              </w:rPr>
            </w:pPr>
          </w:p>
        </w:tc>
        <w:tc>
          <w:tcPr>
            <w:tcW w:w="7140" w:type="dxa"/>
            <w:vAlign w:val="bottom"/>
          </w:tcPr>
          <w:p>
            <w:pPr>
              <w:ind w:left="280"/>
              <w:spacing w:after="0"/>
              <w:rPr>
                <w:sz w:val="20"/>
                <w:szCs w:val="20"/>
                <w:color w:val="auto"/>
              </w:rPr>
            </w:pPr>
            <w:r>
              <w:rPr>
                <w:rFonts w:ascii="Arial" w:cs="Arial" w:eastAsia="Arial" w:hAnsi="Arial"/>
                <w:sz w:val="16"/>
                <w:szCs w:val="16"/>
                <w:color w:val="auto"/>
              </w:rPr>
              <w:t>trigger” acceleration meaning that vesting accelerates only in the event of a</w:t>
            </w:r>
          </w:p>
        </w:tc>
      </w:tr>
      <w:tr>
        <w:trPr>
          <w:trHeight w:val="189"/>
        </w:trPr>
        <w:tc>
          <w:tcPr>
            <w:tcW w:w="3880" w:type="dxa"/>
            <w:vAlign w:val="bottom"/>
          </w:tcPr>
          <w:p>
            <w:pPr>
              <w:spacing w:after="0"/>
              <w:rPr>
                <w:sz w:val="16"/>
                <w:szCs w:val="16"/>
                <w:color w:val="auto"/>
              </w:rPr>
            </w:pPr>
          </w:p>
        </w:tc>
        <w:tc>
          <w:tcPr>
            <w:tcW w:w="7140" w:type="dxa"/>
            <w:vAlign w:val="bottom"/>
          </w:tcPr>
          <w:p>
            <w:pPr>
              <w:ind w:left="280"/>
              <w:spacing w:after="0"/>
              <w:rPr>
                <w:sz w:val="20"/>
                <w:szCs w:val="20"/>
                <w:color w:val="auto"/>
              </w:rPr>
            </w:pPr>
            <w:r>
              <w:rPr>
                <w:rFonts w:ascii="Arial" w:cs="Arial" w:eastAsia="Arial" w:hAnsi="Arial"/>
                <w:sz w:val="16"/>
                <w:szCs w:val="16"/>
                <w:color w:val="auto"/>
              </w:rPr>
              <w:t>change  in  control  of  the  Company  plus  a  qualifying  termination  of</w:t>
            </w:r>
          </w:p>
        </w:tc>
      </w:tr>
      <w:tr>
        <w:trPr>
          <w:trHeight w:val="215"/>
        </w:trPr>
        <w:tc>
          <w:tcPr>
            <w:tcW w:w="388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6"/>
                <w:szCs w:val="16"/>
                <w:color w:val="auto"/>
              </w:rPr>
              <w:t>employment.</w:t>
            </w:r>
          </w:p>
        </w:tc>
      </w:tr>
      <w:tr>
        <w:trPr>
          <w:trHeight w:val="271"/>
        </w:trPr>
        <w:tc>
          <w:tcPr>
            <w:tcW w:w="3880" w:type="dxa"/>
            <w:vAlign w:val="bottom"/>
          </w:tcPr>
          <w:p>
            <w:pPr>
              <w:ind w:left="1380"/>
              <w:spacing w:after="0"/>
              <w:rPr>
                <w:sz w:val="20"/>
                <w:szCs w:val="20"/>
                <w:color w:val="auto"/>
              </w:rPr>
            </w:pPr>
            <w:r>
              <w:rPr>
                <w:rFonts w:ascii="Arial" w:cs="Arial" w:eastAsia="Arial" w:hAnsi="Arial"/>
                <w:sz w:val="16"/>
                <w:szCs w:val="16"/>
                <w:color w:val="auto"/>
              </w:rPr>
              <w:t>Robust Ownership Guidelines</w:t>
            </w:r>
          </w:p>
        </w:tc>
        <w:tc>
          <w:tcPr>
            <w:tcW w:w="7140" w:type="dxa"/>
            <w:vAlign w:val="bottom"/>
          </w:tcPr>
          <w:p>
            <w:pPr>
              <w:ind w:left="280"/>
              <w:spacing w:after="0"/>
              <w:rPr>
                <w:sz w:val="20"/>
                <w:szCs w:val="20"/>
                <w:color w:val="auto"/>
              </w:rPr>
            </w:pPr>
            <w:r>
              <w:rPr>
                <w:rFonts w:ascii="Arial" w:cs="Arial" w:eastAsia="Arial" w:hAnsi="Arial"/>
                <w:sz w:val="16"/>
                <w:szCs w:val="16"/>
                <w:color w:val="auto"/>
              </w:rPr>
              <w:t>We require our Named Executive Officers and non-employee directors to</w:t>
            </w:r>
          </w:p>
        </w:tc>
      </w:tr>
      <w:tr>
        <w:trPr>
          <w:trHeight w:val="189"/>
        </w:trPr>
        <w:tc>
          <w:tcPr>
            <w:tcW w:w="3880" w:type="dxa"/>
            <w:vAlign w:val="bottom"/>
          </w:tcPr>
          <w:p>
            <w:pPr>
              <w:spacing w:after="0"/>
              <w:rPr>
                <w:sz w:val="16"/>
                <w:szCs w:val="16"/>
                <w:color w:val="auto"/>
              </w:rPr>
            </w:pPr>
          </w:p>
        </w:tc>
        <w:tc>
          <w:tcPr>
            <w:tcW w:w="7140" w:type="dxa"/>
            <w:vAlign w:val="bottom"/>
          </w:tcPr>
          <w:p>
            <w:pPr>
              <w:ind w:left="280"/>
              <w:spacing w:after="0"/>
              <w:rPr>
                <w:sz w:val="20"/>
                <w:szCs w:val="20"/>
                <w:color w:val="auto"/>
              </w:rPr>
            </w:pPr>
            <w:r>
              <w:rPr>
                <w:rFonts w:ascii="Arial" w:cs="Arial" w:eastAsia="Arial" w:hAnsi="Arial"/>
                <w:sz w:val="16"/>
                <w:szCs w:val="16"/>
                <w:color w:val="auto"/>
              </w:rPr>
              <w:t>acquire and maintain a meaningful equity stake in the Company through</w:t>
            </w:r>
          </w:p>
        </w:tc>
      </w:tr>
      <w:tr>
        <w:trPr>
          <w:trHeight w:val="215"/>
        </w:trPr>
        <w:tc>
          <w:tcPr>
            <w:tcW w:w="388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6"/>
                <w:szCs w:val="16"/>
                <w:color w:val="auto"/>
              </w:rPr>
              <w:t>robust ownership guidelines.</w:t>
            </w:r>
          </w:p>
        </w:tc>
      </w:tr>
      <w:tr>
        <w:trPr>
          <w:trHeight w:val="271"/>
        </w:trPr>
        <w:tc>
          <w:tcPr>
            <w:tcW w:w="3880" w:type="dxa"/>
            <w:vAlign w:val="bottom"/>
          </w:tcPr>
          <w:p>
            <w:pPr>
              <w:ind w:left="1380"/>
              <w:spacing w:after="0"/>
              <w:rPr>
                <w:sz w:val="20"/>
                <w:szCs w:val="20"/>
                <w:color w:val="auto"/>
              </w:rPr>
            </w:pPr>
            <w:r>
              <w:rPr>
                <w:rFonts w:ascii="Arial" w:cs="Arial" w:eastAsia="Arial" w:hAnsi="Arial"/>
                <w:sz w:val="16"/>
                <w:szCs w:val="16"/>
                <w:color w:val="auto"/>
              </w:rPr>
              <w:t>Maintain a Clawback Policy</w:t>
            </w:r>
          </w:p>
        </w:tc>
        <w:tc>
          <w:tcPr>
            <w:tcW w:w="7140" w:type="dxa"/>
            <w:vAlign w:val="bottom"/>
          </w:tcPr>
          <w:p>
            <w:pPr>
              <w:ind w:left="280"/>
              <w:spacing w:after="0"/>
              <w:rPr>
                <w:sz w:val="20"/>
                <w:szCs w:val="20"/>
                <w:color w:val="auto"/>
              </w:rPr>
            </w:pPr>
            <w:r>
              <w:rPr>
                <w:rFonts w:ascii="Arial" w:cs="Arial" w:eastAsia="Arial" w:hAnsi="Arial"/>
                <w:sz w:val="16"/>
                <w:szCs w:val="16"/>
                <w:color w:val="auto"/>
              </w:rPr>
              <w:t>We maintain a clawback policy applicable to all Named Executive Officers</w:t>
            </w:r>
          </w:p>
        </w:tc>
      </w:tr>
      <w:tr>
        <w:trPr>
          <w:trHeight w:val="215"/>
        </w:trPr>
        <w:tc>
          <w:tcPr>
            <w:tcW w:w="388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6"/>
                <w:szCs w:val="16"/>
                <w:color w:val="auto"/>
              </w:rPr>
              <w:t>for incentive compensation (cash and equity).</w:t>
            </w:r>
          </w:p>
        </w:tc>
      </w:tr>
      <w:tr>
        <w:trPr>
          <w:trHeight w:val="271"/>
        </w:trPr>
        <w:tc>
          <w:tcPr>
            <w:tcW w:w="3880" w:type="dxa"/>
            <w:vAlign w:val="bottom"/>
          </w:tcPr>
          <w:p>
            <w:pPr>
              <w:ind w:left="1380"/>
              <w:spacing w:after="0"/>
              <w:rPr>
                <w:sz w:val="20"/>
                <w:szCs w:val="20"/>
                <w:color w:val="auto"/>
              </w:rPr>
            </w:pPr>
            <w:r>
              <w:rPr>
                <w:rFonts w:ascii="Arial" w:cs="Arial" w:eastAsia="Arial" w:hAnsi="Arial"/>
                <w:sz w:val="16"/>
                <w:szCs w:val="16"/>
                <w:color w:val="auto"/>
              </w:rPr>
              <w:t>Set rigorous and measurable</w:t>
            </w:r>
          </w:p>
        </w:tc>
        <w:tc>
          <w:tcPr>
            <w:tcW w:w="7140" w:type="dxa"/>
            <w:vAlign w:val="bottom"/>
          </w:tcPr>
          <w:p>
            <w:pPr>
              <w:ind w:left="280"/>
              <w:spacing w:after="0"/>
              <w:rPr>
                <w:sz w:val="20"/>
                <w:szCs w:val="20"/>
                <w:color w:val="auto"/>
              </w:rPr>
            </w:pPr>
            <w:r>
              <w:rPr>
                <w:rFonts w:ascii="Arial" w:cs="Arial" w:eastAsia="Arial" w:hAnsi="Arial"/>
                <w:sz w:val="16"/>
                <w:szCs w:val="16"/>
                <w:color w:val="auto"/>
              </w:rPr>
              <w:t>Our Named Executive Officers are eligible for LTI opportunities based on</w:t>
            </w:r>
          </w:p>
        </w:tc>
      </w:tr>
      <w:tr>
        <w:trPr>
          <w:trHeight w:val="215"/>
        </w:trPr>
        <w:tc>
          <w:tcPr>
            <w:tcW w:w="3880" w:type="dxa"/>
            <w:vAlign w:val="bottom"/>
          </w:tcPr>
          <w:p>
            <w:pPr>
              <w:ind w:left="1380"/>
              <w:spacing w:after="0"/>
              <w:rPr>
                <w:sz w:val="20"/>
                <w:szCs w:val="20"/>
                <w:color w:val="auto"/>
              </w:rPr>
            </w:pPr>
            <w:r>
              <w:rPr>
                <w:rFonts w:ascii="Arial" w:cs="Arial" w:eastAsia="Arial" w:hAnsi="Arial"/>
                <w:sz w:val="16"/>
                <w:szCs w:val="16"/>
                <w:color w:val="auto"/>
              </w:rPr>
              <w:t>performance goals</w:t>
            </w:r>
          </w:p>
        </w:tc>
        <w:tc>
          <w:tcPr>
            <w:tcW w:w="7140" w:type="dxa"/>
            <w:vAlign w:val="bottom"/>
          </w:tcPr>
          <w:p>
            <w:pPr>
              <w:ind w:left="280"/>
              <w:spacing w:after="0"/>
              <w:rPr>
                <w:sz w:val="20"/>
                <w:szCs w:val="20"/>
                <w:color w:val="auto"/>
              </w:rPr>
            </w:pPr>
            <w:r>
              <w:rPr>
                <w:rFonts w:ascii="Arial" w:cs="Arial" w:eastAsia="Arial" w:hAnsi="Arial"/>
                <w:sz w:val="16"/>
                <w:szCs w:val="16"/>
                <w:color w:val="auto"/>
              </w:rPr>
              <w:t>rigorous and measurable performance goals.</w:t>
            </w:r>
          </w:p>
        </w:tc>
      </w:tr>
      <w:tr>
        <w:trPr>
          <w:trHeight w:val="271"/>
        </w:trPr>
        <w:tc>
          <w:tcPr>
            <w:tcW w:w="3880" w:type="dxa"/>
            <w:vAlign w:val="bottom"/>
          </w:tcPr>
          <w:p>
            <w:pPr>
              <w:ind w:left="1380"/>
              <w:spacing w:after="0"/>
              <w:rPr>
                <w:sz w:val="20"/>
                <w:szCs w:val="20"/>
                <w:color w:val="auto"/>
              </w:rPr>
            </w:pPr>
            <w:r>
              <w:rPr>
                <w:rFonts w:ascii="Arial" w:cs="Arial" w:eastAsia="Arial" w:hAnsi="Arial"/>
                <w:sz w:val="16"/>
                <w:szCs w:val="16"/>
                <w:color w:val="auto"/>
              </w:rPr>
              <w:t>Annual Say-on-Pay Vote</w:t>
            </w:r>
          </w:p>
        </w:tc>
        <w:tc>
          <w:tcPr>
            <w:tcW w:w="7140" w:type="dxa"/>
            <w:vAlign w:val="bottom"/>
          </w:tcPr>
          <w:p>
            <w:pPr>
              <w:ind w:left="280"/>
              <w:spacing w:after="0"/>
              <w:rPr>
                <w:sz w:val="20"/>
                <w:szCs w:val="20"/>
                <w:color w:val="auto"/>
              </w:rPr>
            </w:pPr>
            <w:r>
              <w:rPr>
                <w:rFonts w:ascii="Arial" w:cs="Arial" w:eastAsia="Arial" w:hAnsi="Arial"/>
                <w:sz w:val="16"/>
                <w:szCs w:val="16"/>
                <w:color w:val="auto"/>
              </w:rPr>
              <w:t>Our stockholders are provided with the opportunity to cast a non-binding</w:t>
            </w:r>
          </w:p>
        </w:tc>
      </w:tr>
      <w:tr>
        <w:trPr>
          <w:trHeight w:val="215"/>
        </w:trPr>
        <w:tc>
          <w:tcPr>
            <w:tcW w:w="388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6"/>
                <w:szCs w:val="16"/>
                <w:color w:val="auto"/>
              </w:rPr>
              <w:t>advisory vote on the compensation of our Named Executive Officers.</w:t>
            </w:r>
          </w:p>
        </w:tc>
      </w:tr>
      <w:tr>
        <w:trPr>
          <w:trHeight w:val="271"/>
        </w:trPr>
        <w:tc>
          <w:tcPr>
            <w:tcW w:w="3880" w:type="dxa"/>
            <w:vAlign w:val="bottom"/>
          </w:tcPr>
          <w:p>
            <w:pPr>
              <w:ind w:left="1380"/>
              <w:spacing w:after="0"/>
              <w:rPr>
                <w:sz w:val="20"/>
                <w:szCs w:val="20"/>
                <w:color w:val="auto"/>
              </w:rPr>
            </w:pPr>
            <w:r>
              <w:rPr>
                <w:rFonts w:ascii="Arial" w:cs="Arial" w:eastAsia="Arial" w:hAnsi="Arial"/>
                <w:sz w:val="16"/>
                <w:szCs w:val="16"/>
                <w:color w:val="auto"/>
              </w:rPr>
              <w:t>Engage with stockholders on</w:t>
            </w:r>
          </w:p>
        </w:tc>
        <w:tc>
          <w:tcPr>
            <w:tcW w:w="7140" w:type="dxa"/>
            <w:vAlign w:val="bottom"/>
          </w:tcPr>
          <w:p>
            <w:pPr>
              <w:ind w:left="280"/>
              <w:spacing w:after="0"/>
              <w:rPr>
                <w:sz w:val="20"/>
                <w:szCs w:val="20"/>
                <w:color w:val="auto"/>
              </w:rPr>
            </w:pPr>
            <w:r>
              <w:rPr>
                <w:rFonts w:ascii="Arial" w:cs="Arial" w:eastAsia="Arial" w:hAnsi="Arial"/>
                <w:sz w:val="16"/>
                <w:szCs w:val="16"/>
                <w:color w:val="auto"/>
              </w:rPr>
              <w:t>Our Compensation Committee conducted stockholder outreach to discuss</w:t>
            </w:r>
          </w:p>
        </w:tc>
      </w:tr>
      <w:tr>
        <w:trPr>
          <w:trHeight w:val="189"/>
        </w:trPr>
        <w:tc>
          <w:tcPr>
            <w:tcW w:w="3880" w:type="dxa"/>
            <w:vAlign w:val="bottom"/>
          </w:tcPr>
          <w:p>
            <w:pPr>
              <w:ind w:left="1380"/>
              <w:spacing w:after="0"/>
              <w:rPr>
                <w:sz w:val="20"/>
                <w:szCs w:val="20"/>
                <w:color w:val="auto"/>
              </w:rPr>
            </w:pPr>
            <w:r>
              <w:rPr>
                <w:rFonts w:ascii="Arial" w:cs="Arial" w:eastAsia="Arial" w:hAnsi="Arial"/>
                <w:sz w:val="16"/>
                <w:szCs w:val="16"/>
                <w:color w:val="auto"/>
              </w:rPr>
              <w:t>compensation and governance</w:t>
            </w:r>
          </w:p>
        </w:tc>
        <w:tc>
          <w:tcPr>
            <w:tcW w:w="7140" w:type="dxa"/>
            <w:vAlign w:val="bottom"/>
          </w:tcPr>
          <w:p>
            <w:pPr>
              <w:ind w:left="280"/>
              <w:spacing w:after="0"/>
              <w:rPr>
                <w:sz w:val="20"/>
                <w:szCs w:val="20"/>
                <w:color w:val="auto"/>
              </w:rPr>
            </w:pPr>
            <w:r>
              <w:rPr>
                <w:rFonts w:ascii="Arial" w:cs="Arial" w:eastAsia="Arial" w:hAnsi="Arial"/>
                <w:sz w:val="16"/>
                <w:szCs w:val="16"/>
                <w:color w:val="auto"/>
              </w:rPr>
              <w:t>our  executive  compensation  and  governance  program,  policies,  and</w:t>
            </w:r>
          </w:p>
        </w:tc>
      </w:tr>
      <w:tr>
        <w:trPr>
          <w:trHeight w:val="189"/>
        </w:trPr>
        <w:tc>
          <w:tcPr>
            <w:tcW w:w="3880" w:type="dxa"/>
            <w:vAlign w:val="bottom"/>
          </w:tcPr>
          <w:p>
            <w:pPr>
              <w:ind w:left="1380"/>
              <w:spacing w:after="0"/>
              <w:rPr>
                <w:sz w:val="20"/>
                <w:szCs w:val="20"/>
                <w:color w:val="auto"/>
              </w:rPr>
            </w:pPr>
            <w:r>
              <w:rPr>
                <w:rFonts w:ascii="Arial" w:cs="Arial" w:eastAsia="Arial" w:hAnsi="Arial"/>
                <w:sz w:val="16"/>
                <w:szCs w:val="16"/>
                <w:color w:val="auto"/>
              </w:rPr>
              <w:t>matters</w:t>
            </w:r>
          </w:p>
        </w:tc>
        <w:tc>
          <w:tcPr>
            <w:tcW w:w="7140" w:type="dxa"/>
            <w:vAlign w:val="bottom"/>
          </w:tcPr>
          <w:p>
            <w:pPr>
              <w:ind w:left="280"/>
              <w:spacing w:after="0"/>
              <w:rPr>
                <w:sz w:val="20"/>
                <w:szCs w:val="20"/>
                <w:color w:val="auto"/>
              </w:rPr>
            </w:pPr>
            <w:r>
              <w:rPr>
                <w:rFonts w:ascii="Arial" w:cs="Arial" w:eastAsia="Arial" w:hAnsi="Arial"/>
                <w:sz w:val="16"/>
                <w:szCs w:val="16"/>
                <w:color w:val="auto"/>
              </w:rPr>
              <w:t>practices, and to solicit feedback to ensure that we received insight into the</w:t>
            </w:r>
          </w:p>
        </w:tc>
      </w:tr>
      <w:tr>
        <w:trPr>
          <w:trHeight w:val="215"/>
        </w:trPr>
        <w:tc>
          <w:tcPr>
            <w:tcW w:w="3880" w:type="dxa"/>
            <w:vAlign w:val="bottom"/>
          </w:tcPr>
          <w:p>
            <w:pPr>
              <w:spacing w:after="0"/>
              <w:rPr>
                <w:sz w:val="18"/>
                <w:szCs w:val="18"/>
                <w:color w:val="auto"/>
              </w:rPr>
            </w:pPr>
          </w:p>
        </w:tc>
        <w:tc>
          <w:tcPr>
            <w:tcW w:w="7140" w:type="dxa"/>
            <w:vAlign w:val="bottom"/>
          </w:tcPr>
          <w:p>
            <w:pPr>
              <w:ind w:left="280"/>
              <w:spacing w:after="0"/>
              <w:rPr>
                <w:sz w:val="20"/>
                <w:szCs w:val="20"/>
                <w:color w:val="auto"/>
              </w:rPr>
            </w:pPr>
            <w:r>
              <w:rPr>
                <w:rFonts w:ascii="Arial" w:cs="Arial" w:eastAsia="Arial" w:hAnsi="Arial"/>
                <w:sz w:val="16"/>
                <w:szCs w:val="16"/>
                <w:color w:val="auto"/>
              </w:rPr>
              <w:t>issues that were most important to our stockholders.</w:t>
            </w:r>
          </w:p>
        </w:tc>
      </w:tr>
      <w:tr>
        <w:trPr>
          <w:trHeight w:val="406"/>
        </w:trPr>
        <w:tc>
          <w:tcPr>
            <w:tcW w:w="3880" w:type="dxa"/>
            <w:vAlign w:val="bottom"/>
          </w:tcPr>
          <w:p>
            <w:pPr>
              <w:ind w:left="640"/>
              <w:spacing w:after="0"/>
              <w:rPr>
                <w:sz w:val="20"/>
                <w:szCs w:val="20"/>
                <w:color w:val="auto"/>
              </w:rPr>
            </w:pPr>
            <w:r>
              <w:rPr>
                <w:rFonts w:ascii="Arial" w:cs="Arial" w:eastAsia="Arial" w:hAnsi="Arial"/>
                <w:sz w:val="13"/>
                <w:szCs w:val="13"/>
                <w:color w:val="auto"/>
              </w:rPr>
              <w:t>32  |  2026 PROXY STATEMENT</w:t>
            </w:r>
          </w:p>
        </w:tc>
        <w:tc>
          <w:tcPr>
            <w:tcW w:w="7140" w:type="dxa"/>
            <w:vAlign w:val="bottom"/>
          </w:tcPr>
          <w:p>
            <w:pPr>
              <w:spacing w:after="0"/>
              <w:rPr>
                <w:sz w:val="24"/>
                <w:szCs w:val="24"/>
                <w:color w:val="auto"/>
              </w:rPr>
            </w:pPr>
          </w:p>
        </w:tc>
      </w:tr>
      <w:tr>
        <w:trPr>
          <w:trHeight w:val="183"/>
        </w:trPr>
        <w:tc>
          <w:tcPr>
            <w:tcW w:w="3880" w:type="dxa"/>
            <w:vAlign w:val="bottom"/>
            <w:tcBorders>
              <w:bottom w:val="single" w:sz="8" w:color="auto"/>
            </w:tcBorders>
          </w:tcPr>
          <w:p>
            <w:pPr>
              <w:spacing w:after="0"/>
              <w:rPr>
                <w:sz w:val="15"/>
                <w:szCs w:val="15"/>
                <w:color w:val="auto"/>
              </w:rPr>
            </w:pPr>
          </w:p>
        </w:tc>
        <w:tc>
          <w:tcPr>
            <w:tcW w:w="71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type w:val="continuous"/>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700" w:type="dxa"/>
            <w:vAlign w:val="bottom"/>
          </w:tcPr>
          <w:p>
            <w:pPr>
              <w:spacing w:after="0"/>
              <w:rPr>
                <w:sz w:val="14"/>
                <w:szCs w:val="14"/>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25"/>
        </w:trPr>
        <w:tc>
          <w:tcPr>
            <w:tcW w:w="3320" w:type="dxa"/>
            <w:vAlign w:val="bottom"/>
            <w:gridSpan w:val="2"/>
          </w:tcPr>
          <w:p>
            <w:pPr>
              <w:ind w:left="740"/>
              <w:spacing w:after="0"/>
              <w:rPr>
                <w:sz w:val="20"/>
                <w:szCs w:val="20"/>
                <w:color w:val="auto"/>
              </w:rPr>
            </w:pPr>
            <w:r>
              <w:rPr>
                <w:rFonts w:ascii="Arial" w:cs="Arial" w:eastAsia="Arial" w:hAnsi="Arial"/>
                <w:sz w:val="16"/>
                <w:szCs w:val="16"/>
                <w:color w:val="auto"/>
              </w:rPr>
              <w:t>Consider Peer Group and Market</w:t>
            </w:r>
          </w:p>
        </w:tc>
        <w:tc>
          <w:tcPr>
            <w:tcW w:w="5700" w:type="dxa"/>
            <w:vAlign w:val="bottom"/>
          </w:tcPr>
          <w:p>
            <w:pPr>
              <w:ind w:left="200"/>
              <w:spacing w:after="0"/>
              <w:rPr>
                <w:sz w:val="20"/>
                <w:szCs w:val="20"/>
                <w:color w:val="auto"/>
              </w:rPr>
            </w:pPr>
            <w:r>
              <w:rPr>
                <w:rFonts w:ascii="Arial" w:cs="Arial" w:eastAsia="Arial" w:hAnsi="Arial"/>
                <w:sz w:val="16"/>
                <w:szCs w:val="16"/>
                <w:color w:val="auto"/>
              </w:rPr>
              <w:t>Our  Compensation  Committee,  with  support  from  its  independent</w:t>
            </w:r>
          </w:p>
        </w:tc>
      </w:tr>
      <w:tr>
        <w:trPr>
          <w:trHeight w:val="189"/>
        </w:trPr>
        <w:tc>
          <w:tcPr>
            <w:tcW w:w="3320" w:type="dxa"/>
            <w:vAlign w:val="bottom"/>
            <w:gridSpan w:val="2"/>
          </w:tcPr>
          <w:p>
            <w:pPr>
              <w:ind w:left="740"/>
              <w:spacing w:after="0"/>
              <w:rPr>
                <w:sz w:val="20"/>
                <w:szCs w:val="20"/>
                <w:color w:val="auto"/>
              </w:rPr>
            </w:pPr>
            <w:r>
              <w:rPr>
                <w:rFonts w:ascii="Arial" w:cs="Arial" w:eastAsia="Arial" w:hAnsi="Arial"/>
                <w:sz w:val="16"/>
                <w:szCs w:val="16"/>
                <w:color w:val="auto"/>
              </w:rPr>
              <w:t>Data</w:t>
            </w:r>
          </w:p>
        </w:tc>
        <w:tc>
          <w:tcPr>
            <w:tcW w:w="5700" w:type="dxa"/>
            <w:vAlign w:val="bottom"/>
          </w:tcPr>
          <w:p>
            <w:pPr>
              <w:ind w:left="200"/>
              <w:spacing w:after="0"/>
              <w:rPr>
                <w:sz w:val="20"/>
                <w:szCs w:val="20"/>
                <w:color w:val="auto"/>
              </w:rPr>
            </w:pPr>
            <w:r>
              <w:rPr>
                <w:rFonts w:ascii="Arial" w:cs="Arial" w:eastAsia="Arial" w:hAnsi="Arial"/>
                <w:sz w:val="16"/>
                <w:szCs w:val="16"/>
                <w:color w:val="auto"/>
              </w:rPr>
              <w:t>compensation consultant, reviews competitive market data and selects</w:t>
            </w:r>
          </w:p>
        </w:tc>
      </w:tr>
      <w:tr>
        <w:trPr>
          <w:trHeight w:val="215"/>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6"/>
                <w:szCs w:val="16"/>
                <w:color w:val="auto"/>
              </w:rPr>
              <w:t>companies to include in our peer group.</w:t>
            </w:r>
          </w:p>
        </w:tc>
      </w:tr>
      <w:tr>
        <w:trPr>
          <w:trHeight w:val="271"/>
        </w:trPr>
        <w:tc>
          <w:tcPr>
            <w:tcW w:w="3320" w:type="dxa"/>
            <w:vAlign w:val="bottom"/>
            <w:gridSpan w:val="2"/>
          </w:tcPr>
          <w:p>
            <w:pPr>
              <w:ind w:left="740"/>
              <w:spacing w:after="0"/>
              <w:rPr>
                <w:sz w:val="20"/>
                <w:szCs w:val="20"/>
                <w:color w:val="auto"/>
              </w:rPr>
            </w:pPr>
            <w:r>
              <w:rPr>
                <w:rFonts w:ascii="Arial" w:cs="Arial" w:eastAsia="Arial" w:hAnsi="Arial"/>
                <w:sz w:val="16"/>
                <w:szCs w:val="16"/>
                <w:color w:val="auto"/>
              </w:rPr>
              <w:t>Provide Limited Perquisites</w:t>
            </w:r>
          </w:p>
        </w:tc>
        <w:tc>
          <w:tcPr>
            <w:tcW w:w="5700" w:type="dxa"/>
            <w:vAlign w:val="bottom"/>
          </w:tcPr>
          <w:p>
            <w:pPr>
              <w:ind w:left="200"/>
              <w:spacing w:after="0"/>
              <w:rPr>
                <w:sz w:val="20"/>
                <w:szCs w:val="20"/>
                <w:color w:val="auto"/>
              </w:rPr>
            </w:pPr>
            <w:r>
              <w:rPr>
                <w:rFonts w:ascii="Arial" w:cs="Arial" w:eastAsia="Arial" w:hAnsi="Arial"/>
                <w:sz w:val="16"/>
                <w:szCs w:val="16"/>
                <w:color w:val="auto"/>
              </w:rPr>
              <w:t>We do not generally provide perquisites or other personal benefits to our</w:t>
            </w:r>
          </w:p>
        </w:tc>
      </w:tr>
      <w:tr>
        <w:trPr>
          <w:trHeight w:val="215"/>
        </w:trPr>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6"/>
                <w:szCs w:val="16"/>
                <w:color w:val="auto"/>
              </w:rPr>
              <w:t>executive officers, including the Named Executive Officers.</w:t>
            </w:r>
          </w:p>
        </w:tc>
      </w:tr>
    </w:tbl>
    <w:p>
      <w:pPr>
        <w:spacing w:after="0" w:line="188" w:lineRule="exact"/>
        <w:rPr>
          <w:sz w:val="20"/>
          <w:szCs w:val="20"/>
          <w:color w:val="auto"/>
        </w:rPr>
      </w:pPr>
    </w:p>
    <w:p>
      <w:pPr>
        <w:sectPr>
          <w:pgSz w:w="11900" w:h="16838" w:orient="portrait"/>
          <w:cols w:equalWidth="0" w:num="1">
            <w:col w:w="9720"/>
          </w:cols>
          <w:pgMar w:left="1080" w:top="114" w:right="1099" w:bottom="1440" w:gutter="0" w:footer="0" w:header="0"/>
        </w:sectPr>
      </w:pPr>
    </w:p>
    <w:p>
      <w:pPr>
        <w:ind w:left="660"/>
        <w:spacing w:after="0"/>
        <w:rPr>
          <w:sz w:val="20"/>
          <w:szCs w:val="20"/>
          <w:color w:val="auto"/>
        </w:rPr>
      </w:pPr>
      <w:r>
        <w:rPr>
          <w:rFonts w:ascii="Arial" w:cs="Arial" w:eastAsia="Arial" w:hAnsi="Arial"/>
          <w:sz w:val="18"/>
          <w:szCs w:val="18"/>
          <w:b w:val="1"/>
          <w:bCs w:val="1"/>
          <w:i w:val="1"/>
          <w:iCs w:val="1"/>
          <w:color w:val="EE3434"/>
        </w:rPr>
        <w:t>What we do not do</w:t>
      </w:r>
    </w:p>
    <w:p>
      <w:pPr>
        <w:spacing w:after="0" w:line="106" w:lineRule="exact"/>
        <w:rPr>
          <w:sz w:val="20"/>
          <w:szCs w:val="20"/>
          <w:color w:val="auto"/>
        </w:rPr>
      </w:pPr>
    </w:p>
    <w:p>
      <w:pPr>
        <w:ind w:left="1100" w:hanging="268"/>
        <w:spacing w:after="0" w:line="286" w:lineRule="auto"/>
        <w:tabs>
          <w:tab w:leader="none" w:pos="11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do not provide guaranteed bonuses to our executive officers.</w:t>
      </w:r>
    </w:p>
    <w:p>
      <w:pPr>
        <w:spacing w:after="0" w:line="47" w:lineRule="exact"/>
        <w:rPr>
          <w:rFonts w:ascii="Arial" w:cs="Arial" w:eastAsia="Arial" w:hAnsi="Arial"/>
          <w:sz w:val="16"/>
          <w:szCs w:val="16"/>
          <w:color w:val="auto"/>
        </w:rPr>
      </w:pPr>
    </w:p>
    <w:p>
      <w:pPr>
        <w:jc w:val="both"/>
        <w:ind w:left="1100" w:hanging="268"/>
        <w:spacing w:after="0" w:line="259" w:lineRule="auto"/>
        <w:tabs>
          <w:tab w:leader="none" w:pos="11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do not provide any excise tax reimbursement payments (including “gross-ups”) with respect to payments or benefits contingent upon a change in control of our Company.</w:t>
      </w:r>
    </w:p>
    <w:p>
      <w:pPr>
        <w:spacing w:after="0" w:line="69" w:lineRule="exact"/>
        <w:rPr>
          <w:rFonts w:ascii="Arial" w:cs="Arial" w:eastAsia="Arial" w:hAnsi="Arial"/>
          <w:sz w:val="16"/>
          <w:szCs w:val="16"/>
          <w:color w:val="auto"/>
        </w:rPr>
      </w:pPr>
    </w:p>
    <w:p>
      <w:pPr>
        <w:jc w:val="both"/>
        <w:ind w:left="1100" w:hanging="268"/>
        <w:spacing w:after="0" w:line="256" w:lineRule="auto"/>
        <w:tabs>
          <w:tab w:leader="none" w:pos="11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do not offer pension arrangements, or nonqualified deferred compensation plans or arrangements to our executive officers, other than our 401(k) plan, which is open to all United States salaried employees.</w:t>
      </w:r>
    </w:p>
    <w:p>
      <w:pPr>
        <w:spacing w:after="0" w:line="71" w:lineRule="exact"/>
        <w:rPr>
          <w:rFonts w:ascii="Arial" w:cs="Arial" w:eastAsia="Arial" w:hAnsi="Arial"/>
          <w:sz w:val="16"/>
          <w:szCs w:val="16"/>
          <w:color w:val="auto"/>
        </w:rPr>
      </w:pPr>
    </w:p>
    <w:p>
      <w:pPr>
        <w:jc w:val="both"/>
        <w:ind w:left="1100" w:hanging="268"/>
        <w:spacing w:after="0" w:line="254" w:lineRule="auto"/>
        <w:tabs>
          <w:tab w:leader="none" w:pos="11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do not provide enhanced health and welfare benefits to executive officers. Our Named Executive Officers participate in broad-based company-sponsored health and welfare benefits programs on the same basis as our other full-time, salaried employees.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both"/>
        <w:ind w:left="278" w:right="640" w:hanging="278"/>
        <w:spacing w:after="0" w:line="256"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prohibit our employees, including our Named Executive Officers, and the members of our Board of Directors from hedging or similar transactions designed to decrease risks associated with holding our equity securities.</w:t>
      </w:r>
    </w:p>
    <w:p>
      <w:pPr>
        <w:spacing w:after="0" w:line="71" w:lineRule="exact"/>
        <w:rPr>
          <w:rFonts w:ascii="Arial" w:cs="Arial" w:eastAsia="Arial" w:hAnsi="Arial"/>
          <w:sz w:val="16"/>
          <w:szCs w:val="16"/>
          <w:color w:val="auto"/>
        </w:rPr>
      </w:pPr>
    </w:p>
    <w:p>
      <w:pPr>
        <w:jc w:val="both"/>
        <w:ind w:left="278" w:right="640" w:hanging="278"/>
        <w:spacing w:after="0" w:line="266"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do not strictly benchmark compensation to a specific percentile of our compensation peer group.</w:t>
      </w:r>
    </w:p>
    <w:p>
      <w:pPr>
        <w:spacing w:after="0" w:line="63" w:lineRule="exact"/>
        <w:rPr>
          <w:rFonts w:ascii="Arial" w:cs="Arial" w:eastAsia="Arial" w:hAnsi="Arial"/>
          <w:sz w:val="16"/>
          <w:szCs w:val="16"/>
          <w:color w:val="auto"/>
        </w:rPr>
      </w:pPr>
    </w:p>
    <w:p>
      <w:pPr>
        <w:jc w:val="both"/>
        <w:ind w:left="278" w:right="660" w:hanging="278"/>
        <w:spacing w:after="0" w:line="266"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We do not provide “single-trigger” acceleration of equity awards upon a change in control of the Company.</w:t>
      </w:r>
    </w:p>
    <w:p>
      <w:pPr>
        <w:spacing w:after="0" w:line="1431" w:lineRule="exact"/>
        <w:rPr>
          <w:sz w:val="20"/>
          <w:szCs w:val="20"/>
          <w:color w:val="auto"/>
        </w:rPr>
      </w:pPr>
    </w:p>
    <w:p>
      <w:pPr>
        <w:sectPr>
          <w:pgSz w:w="11900" w:h="16838" w:orient="portrait"/>
          <w:cols w:equalWidth="0" w:num="2">
            <w:col w:w="4660" w:space="582"/>
            <w:col w:w="4478"/>
          </w:cols>
          <w:pgMar w:left="1080" w:top="114" w:right="1099" w:bottom="1440" w:gutter="0" w:footer="0" w:header="0"/>
          <w:type w:val="continuous"/>
        </w:sectPr>
      </w:pPr>
    </w:p>
    <w:p>
      <w:pPr>
        <w:spacing w:after="0" w:line="10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Executive Compensation Program Design</w:t>
      </w:r>
    </w:p>
    <w:p>
      <w:pPr>
        <w:spacing w:after="0" w:line="153" w:lineRule="exact"/>
        <w:rPr>
          <w:sz w:val="20"/>
          <w:szCs w:val="20"/>
          <w:color w:val="auto"/>
        </w:rPr>
      </w:pPr>
    </w:p>
    <w:p>
      <w:pPr>
        <w:jc w:val="both"/>
        <w:ind w:left="660" w:right="640"/>
        <w:spacing w:after="0" w:line="253" w:lineRule="auto"/>
        <w:rPr>
          <w:sz w:val="20"/>
          <w:szCs w:val="20"/>
          <w:color w:val="auto"/>
        </w:rPr>
      </w:pPr>
      <w:r>
        <w:rPr>
          <w:rFonts w:ascii="Arial" w:cs="Arial" w:eastAsia="Arial" w:hAnsi="Arial"/>
          <w:sz w:val="16"/>
          <w:szCs w:val="16"/>
          <w:color w:val="auto"/>
        </w:rPr>
        <w:t>Our Compensation Committee believes that executive compensation should be linked to our overall financial performance, strategic success, and stockholder returns. Our Compensation Committee evaluates our compensation philosophy and executive compensation program annually to ensure that our program remains competitive relative to our market for executive talent and aligned with our strategic objectives. By delivering compensation in a mix of fixed and variable pay, including long-term vesting equity awards, we seek to align the incentives of our Named Executive Officers with achievement of our long-term business objectives and financial performance that drives sustained stockholder value creation.</w:t>
      </w:r>
    </w:p>
    <w:p>
      <w:pPr>
        <w:spacing w:after="0" w:line="114" w:lineRule="exact"/>
        <w:rPr>
          <w:sz w:val="20"/>
          <w:szCs w:val="20"/>
          <w:color w:val="auto"/>
        </w:rPr>
      </w:pPr>
    </w:p>
    <w:p>
      <w:pPr>
        <w:jc w:val="both"/>
        <w:ind w:left="660" w:right="640"/>
        <w:spacing w:after="0" w:line="256" w:lineRule="auto"/>
        <w:rPr>
          <w:sz w:val="20"/>
          <w:szCs w:val="20"/>
          <w:color w:val="auto"/>
        </w:rPr>
      </w:pPr>
      <w:r>
        <w:rPr>
          <w:rFonts w:ascii="Arial" w:cs="Arial" w:eastAsia="Arial" w:hAnsi="Arial"/>
          <w:sz w:val="16"/>
          <w:szCs w:val="16"/>
          <w:color w:val="auto"/>
        </w:rPr>
        <w:t>To support our long-term objectives and reinforce a strong pay-for-performance culture, a majority of the target total direct compensation for our Named Executive Officers is awarded in the form of equity. Our Named Executive Officers are eligible to receive RSUs and PSUs based on their individual contributions and performance during each fiscal year. Our Compensation Committee believes that this emphasis on equity rather than cash incentives tied to short-term objectives is an effective approach for reinforcing our objective of long-term stockholder value creation.</w:t>
      </w:r>
    </w:p>
    <w:p>
      <w:pPr>
        <w:spacing w:after="0" w:line="99" w:lineRule="exact"/>
        <w:rPr>
          <w:sz w:val="20"/>
          <w:szCs w:val="20"/>
          <w:color w:val="auto"/>
        </w:rPr>
      </w:pPr>
    </w:p>
    <w:p>
      <w:pPr>
        <w:jc w:val="both"/>
        <w:ind w:left="660" w:right="640"/>
        <w:spacing w:after="0" w:line="254" w:lineRule="auto"/>
        <w:rPr>
          <w:sz w:val="20"/>
          <w:szCs w:val="20"/>
          <w:color w:val="auto"/>
        </w:rPr>
      </w:pPr>
      <w:r>
        <w:rPr>
          <w:rFonts w:ascii="Arial" w:cs="Arial" w:eastAsia="Arial" w:hAnsi="Arial"/>
          <w:sz w:val="16"/>
          <w:szCs w:val="16"/>
          <w:color w:val="auto"/>
        </w:rPr>
        <w:t>We also offer our Named Executive Officers standard health and welfare benefits and retirement plan benefits that are generally available to our other employees, including medical, dental, vision, life and disability insurance and, for United States salaried employees, participation in our 401(k) plan. Our Named Executive Officers may also participate in our 2019 Employee Stock Purchase Plan (“ESPP”) on the same basis as our other employees. Certain of our Named Executive Officers were also eligible to participate in our 2025 Bonus Program (the “2025 Bonus Program”) on the same basis as our other employees.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2025, the material recurring elements of our executive compensation program were:</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2260" w:type="dxa"/>
            <w:vAlign w:val="bottom"/>
          </w:tcPr>
          <w:p>
            <w:pPr>
              <w:ind w:left="80"/>
              <w:spacing w:after="0"/>
              <w:rPr>
                <w:sz w:val="20"/>
                <w:szCs w:val="20"/>
                <w:color w:val="auto"/>
              </w:rPr>
            </w:pPr>
            <w:r>
              <w:rPr>
                <w:rFonts w:ascii="Arial" w:cs="Arial" w:eastAsia="Arial" w:hAnsi="Arial"/>
                <w:sz w:val="16"/>
                <w:szCs w:val="16"/>
                <w:b w:val="1"/>
                <w:bCs w:val="1"/>
                <w:color w:val="auto"/>
              </w:rPr>
              <w:t>Compensation Element</w:t>
            </w:r>
          </w:p>
        </w:tc>
        <w:tc>
          <w:tcPr>
            <w:tcW w:w="6160" w:type="dxa"/>
            <w:vAlign w:val="bottom"/>
          </w:tcPr>
          <w:p>
            <w:pPr>
              <w:ind w:left="160"/>
              <w:spacing w:after="0"/>
              <w:rPr>
                <w:sz w:val="20"/>
                <w:szCs w:val="20"/>
                <w:color w:val="auto"/>
              </w:rPr>
            </w:pPr>
            <w:r>
              <w:rPr>
                <w:rFonts w:ascii="Arial" w:cs="Arial" w:eastAsia="Arial" w:hAnsi="Arial"/>
                <w:sz w:val="16"/>
                <w:szCs w:val="16"/>
                <w:b w:val="1"/>
                <w:bCs w:val="1"/>
                <w:color w:val="auto"/>
              </w:rPr>
              <w:t>Relationship to Business Objectives</w:t>
            </w:r>
          </w:p>
        </w:tc>
      </w:tr>
      <w:tr>
        <w:trPr>
          <w:trHeight w:val="35"/>
        </w:trPr>
        <w:tc>
          <w:tcPr>
            <w:tcW w:w="2260" w:type="dxa"/>
            <w:vAlign w:val="bottom"/>
            <w:tcBorders>
              <w:bottom w:val="single" w:sz="8" w:color="808080"/>
            </w:tcBorders>
          </w:tcPr>
          <w:p>
            <w:pPr>
              <w:spacing w:after="0"/>
              <w:rPr>
                <w:sz w:val="3"/>
                <w:szCs w:val="3"/>
                <w:color w:val="auto"/>
              </w:rPr>
            </w:pPr>
          </w:p>
        </w:tc>
        <w:tc>
          <w:tcPr>
            <w:tcW w:w="6160" w:type="dxa"/>
            <w:vAlign w:val="bottom"/>
            <w:tcBorders>
              <w:bottom w:val="single" w:sz="8" w:color="808080"/>
            </w:tcBorders>
          </w:tcPr>
          <w:p>
            <w:pPr>
              <w:spacing w:after="0"/>
              <w:rPr>
                <w:sz w:val="3"/>
                <w:szCs w:val="3"/>
                <w:color w:val="auto"/>
              </w:rPr>
            </w:pPr>
          </w:p>
        </w:tc>
      </w:tr>
      <w:tr>
        <w:trPr>
          <w:trHeight w:val="209"/>
        </w:trPr>
        <w:tc>
          <w:tcPr>
            <w:tcW w:w="2260" w:type="dxa"/>
            <w:vAlign w:val="bottom"/>
          </w:tcPr>
          <w:p>
            <w:pPr>
              <w:ind w:left="80"/>
              <w:spacing w:after="0"/>
              <w:rPr>
                <w:sz w:val="20"/>
                <w:szCs w:val="20"/>
                <w:color w:val="auto"/>
              </w:rPr>
            </w:pPr>
            <w:r>
              <w:rPr>
                <w:rFonts w:ascii="Arial" w:cs="Arial" w:eastAsia="Arial" w:hAnsi="Arial"/>
                <w:sz w:val="16"/>
                <w:szCs w:val="16"/>
                <w:color w:val="auto"/>
              </w:rPr>
              <w:t>Base Salary</w:t>
            </w:r>
          </w:p>
        </w:tc>
        <w:tc>
          <w:tcPr>
            <w:tcW w:w="6160" w:type="dxa"/>
            <w:vAlign w:val="bottom"/>
          </w:tcPr>
          <w:p>
            <w:pPr>
              <w:ind w:left="160"/>
              <w:spacing w:after="0"/>
              <w:rPr>
                <w:sz w:val="20"/>
                <w:szCs w:val="20"/>
                <w:color w:val="auto"/>
              </w:rPr>
            </w:pPr>
            <w:r>
              <w:rPr>
                <w:rFonts w:ascii="Arial" w:cs="Arial" w:eastAsia="Arial" w:hAnsi="Arial"/>
                <w:sz w:val="16"/>
                <w:szCs w:val="16"/>
                <w:color w:val="auto"/>
              </w:rPr>
              <w:t>Base salaries are set to be competitive within our industry and are important in</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attracting and retaining talented executives. Base salaries may be adjusted based</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on  numerous  factors,  including  a  change  in  a  Named  Executive  Officer’s</w:t>
            </w:r>
          </w:p>
        </w:tc>
      </w:tr>
      <w:tr>
        <w:trPr>
          <w:trHeight w:val="215"/>
        </w:trPr>
        <w:tc>
          <w:tcPr>
            <w:tcW w:w="226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responsibilities, demonstrated performance or relevant competitive market data.</w:t>
            </w:r>
          </w:p>
        </w:tc>
      </w:tr>
      <w:tr>
        <w:trPr>
          <w:trHeight w:val="43"/>
        </w:trPr>
        <w:tc>
          <w:tcPr>
            <w:tcW w:w="2260" w:type="dxa"/>
            <w:vAlign w:val="bottom"/>
            <w:tcBorders>
              <w:bottom w:val="single" w:sz="8" w:color="auto"/>
            </w:tcBorders>
          </w:tcPr>
          <w:p>
            <w:pPr>
              <w:spacing w:after="0"/>
              <w:rPr>
                <w:sz w:val="3"/>
                <w:szCs w:val="3"/>
                <w:color w:val="auto"/>
              </w:rPr>
            </w:pPr>
          </w:p>
        </w:tc>
        <w:tc>
          <w:tcPr>
            <w:tcW w:w="6160" w:type="dxa"/>
            <w:vAlign w:val="bottom"/>
            <w:tcBorders>
              <w:bottom w:val="single" w:sz="8" w:color="auto"/>
            </w:tcBorders>
          </w:tcPr>
          <w:p>
            <w:pPr>
              <w:spacing w:after="0"/>
              <w:rPr>
                <w:sz w:val="3"/>
                <w:szCs w:val="3"/>
                <w:color w:val="auto"/>
              </w:rPr>
            </w:pPr>
          </w:p>
        </w:tc>
      </w:tr>
      <w:tr>
        <w:trPr>
          <w:trHeight w:val="209"/>
        </w:trPr>
        <w:tc>
          <w:tcPr>
            <w:tcW w:w="2260" w:type="dxa"/>
            <w:vAlign w:val="bottom"/>
          </w:tcPr>
          <w:p>
            <w:pPr>
              <w:ind w:left="80"/>
              <w:spacing w:after="0"/>
              <w:rPr>
                <w:sz w:val="20"/>
                <w:szCs w:val="20"/>
                <w:color w:val="auto"/>
              </w:rPr>
            </w:pPr>
            <w:r>
              <w:rPr>
                <w:rFonts w:ascii="Arial" w:cs="Arial" w:eastAsia="Arial" w:hAnsi="Arial"/>
                <w:sz w:val="16"/>
                <w:szCs w:val="16"/>
                <w:color w:val="auto"/>
              </w:rPr>
              <w:t>Annual Incentive</w:t>
            </w:r>
          </w:p>
        </w:tc>
        <w:tc>
          <w:tcPr>
            <w:tcW w:w="6160" w:type="dxa"/>
            <w:vAlign w:val="bottom"/>
          </w:tcPr>
          <w:p>
            <w:pPr>
              <w:ind w:left="160"/>
              <w:spacing w:after="0"/>
              <w:rPr>
                <w:sz w:val="20"/>
                <w:szCs w:val="20"/>
                <w:color w:val="auto"/>
              </w:rPr>
            </w:pPr>
            <w:r>
              <w:rPr>
                <w:rFonts w:ascii="Arial" w:cs="Arial" w:eastAsia="Arial" w:hAnsi="Arial"/>
                <w:sz w:val="16"/>
                <w:szCs w:val="16"/>
                <w:color w:val="auto"/>
              </w:rPr>
              <w:t>In 2025, our Named Executive Officers, except for Mr. Lovett, were eligible for</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annual  incentives  tied  to  our  level  of  achievement  of  annual  revenue  and</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profitability goals pursuant to our 2025 Bonus Program. Awards under the 2025</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Bonus Program were paid as fully vested RSUs. Mr. Lovett was eligible to</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participate in our Commission Plan (as defined below), which tied his annual</w:t>
            </w:r>
          </w:p>
        </w:tc>
      </w:tr>
      <w:tr>
        <w:trPr>
          <w:trHeight w:val="215"/>
        </w:trPr>
        <w:tc>
          <w:tcPr>
            <w:tcW w:w="226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compensation directly to achievement of certain sales metrics.</w:t>
            </w:r>
          </w:p>
        </w:tc>
      </w:tr>
      <w:tr>
        <w:trPr>
          <w:trHeight w:val="43"/>
        </w:trPr>
        <w:tc>
          <w:tcPr>
            <w:tcW w:w="2260" w:type="dxa"/>
            <w:vAlign w:val="bottom"/>
            <w:tcBorders>
              <w:bottom w:val="single" w:sz="8" w:color="auto"/>
            </w:tcBorders>
          </w:tcPr>
          <w:p>
            <w:pPr>
              <w:spacing w:after="0"/>
              <w:rPr>
                <w:sz w:val="3"/>
                <w:szCs w:val="3"/>
                <w:color w:val="auto"/>
              </w:rPr>
            </w:pPr>
          </w:p>
        </w:tc>
        <w:tc>
          <w:tcPr>
            <w:tcW w:w="6160" w:type="dxa"/>
            <w:vAlign w:val="bottom"/>
            <w:tcBorders>
              <w:bottom w:val="single" w:sz="8" w:color="auto"/>
            </w:tcBorders>
          </w:tcPr>
          <w:p>
            <w:pPr>
              <w:spacing w:after="0"/>
              <w:rPr>
                <w:sz w:val="3"/>
                <w:szCs w:val="3"/>
                <w:color w:val="auto"/>
              </w:rPr>
            </w:pPr>
          </w:p>
        </w:tc>
      </w:tr>
      <w:tr>
        <w:trPr>
          <w:trHeight w:val="209"/>
        </w:trPr>
        <w:tc>
          <w:tcPr>
            <w:tcW w:w="2260" w:type="dxa"/>
            <w:vAlign w:val="bottom"/>
          </w:tcPr>
          <w:p>
            <w:pPr>
              <w:ind w:left="80"/>
              <w:spacing w:after="0"/>
              <w:rPr>
                <w:sz w:val="20"/>
                <w:szCs w:val="20"/>
                <w:color w:val="auto"/>
              </w:rPr>
            </w:pPr>
            <w:r>
              <w:rPr>
                <w:rFonts w:ascii="Arial" w:cs="Arial" w:eastAsia="Arial" w:hAnsi="Arial"/>
                <w:sz w:val="16"/>
                <w:szCs w:val="16"/>
                <w:color w:val="auto"/>
              </w:rPr>
              <w:t>Annual Long-Term Incentive</w:t>
            </w:r>
          </w:p>
        </w:tc>
        <w:tc>
          <w:tcPr>
            <w:tcW w:w="6160" w:type="dxa"/>
            <w:vAlign w:val="bottom"/>
          </w:tcPr>
          <w:p>
            <w:pPr>
              <w:ind w:left="160"/>
              <w:spacing w:after="0"/>
              <w:rPr>
                <w:sz w:val="20"/>
                <w:szCs w:val="20"/>
                <w:color w:val="auto"/>
              </w:rPr>
            </w:pPr>
            <w:r>
              <w:rPr>
                <w:rFonts w:ascii="Arial" w:cs="Arial" w:eastAsia="Arial" w:hAnsi="Arial"/>
                <w:sz w:val="16"/>
                <w:szCs w:val="16"/>
                <w:color w:val="auto"/>
              </w:rPr>
              <w:t>In our annual LTI design, we primarily rely on a combination of PSUs and time-</w:t>
            </w:r>
          </w:p>
        </w:tc>
      </w:tr>
      <w:tr>
        <w:trPr>
          <w:trHeight w:val="189"/>
        </w:trPr>
        <w:tc>
          <w:tcPr>
            <w:tcW w:w="2260" w:type="dxa"/>
            <w:vAlign w:val="bottom"/>
          </w:tcPr>
          <w:p>
            <w:pPr>
              <w:ind w:left="80"/>
              <w:spacing w:after="0"/>
              <w:rPr>
                <w:sz w:val="20"/>
                <w:szCs w:val="20"/>
                <w:color w:val="auto"/>
              </w:rPr>
            </w:pPr>
            <w:r>
              <w:rPr>
                <w:rFonts w:ascii="Arial" w:cs="Arial" w:eastAsia="Arial" w:hAnsi="Arial"/>
                <w:sz w:val="16"/>
                <w:szCs w:val="16"/>
                <w:color w:val="auto"/>
              </w:rPr>
              <w:t>Equity</w:t>
            </w:r>
          </w:p>
        </w:tc>
        <w:tc>
          <w:tcPr>
            <w:tcW w:w="6160" w:type="dxa"/>
            <w:vAlign w:val="bottom"/>
          </w:tcPr>
          <w:p>
            <w:pPr>
              <w:ind w:left="160"/>
              <w:spacing w:after="0"/>
              <w:rPr>
                <w:sz w:val="20"/>
                <w:szCs w:val="20"/>
                <w:color w:val="auto"/>
              </w:rPr>
            </w:pPr>
            <w:r>
              <w:rPr>
                <w:rFonts w:ascii="Arial" w:cs="Arial" w:eastAsia="Arial" w:hAnsi="Arial"/>
                <w:sz w:val="16"/>
                <w:szCs w:val="16"/>
                <w:color w:val="auto"/>
              </w:rPr>
              <w:t>based RSUs. All our Named Executive Officers, except for Mr. Wong who was not</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employed by us when we granted our annual refresh equity in February and</w:t>
            </w:r>
          </w:p>
        </w:tc>
      </w:tr>
      <w:tr>
        <w:trPr>
          <w:trHeight w:val="215"/>
        </w:trPr>
        <w:tc>
          <w:tcPr>
            <w:tcW w:w="226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March 2025, received both PSUs and RSUs in 2025.</w:t>
            </w:r>
          </w:p>
        </w:tc>
      </w:tr>
      <w:tr>
        <w:trPr>
          <w:trHeight w:val="271"/>
        </w:trPr>
        <w:tc>
          <w:tcPr>
            <w:tcW w:w="2260" w:type="dxa"/>
            <w:vAlign w:val="bottom"/>
          </w:tcPr>
          <w:p>
            <w:pPr>
              <w:spacing w:after="0"/>
              <w:rPr>
                <w:sz w:val="23"/>
                <w:szCs w:val="23"/>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PSUs represent 50% of the annual refresh LTI opportunity for our CEO, and RSUs</w:t>
            </w:r>
          </w:p>
        </w:tc>
      </w:tr>
      <w:tr>
        <w:trPr>
          <w:trHeight w:val="215"/>
        </w:trPr>
        <w:tc>
          <w:tcPr>
            <w:tcW w:w="226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represent the other 50% of the CEO’s annual refresh LTI opportunity.</w:t>
            </w:r>
          </w:p>
        </w:tc>
      </w:tr>
      <w:tr>
        <w:trPr>
          <w:trHeight w:val="271"/>
        </w:trPr>
        <w:tc>
          <w:tcPr>
            <w:tcW w:w="2260" w:type="dxa"/>
            <w:vAlign w:val="bottom"/>
          </w:tcPr>
          <w:p>
            <w:pPr>
              <w:spacing w:after="0"/>
              <w:rPr>
                <w:sz w:val="23"/>
                <w:szCs w:val="23"/>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PSUs represent 40% of the annual refresh LTI opportunity for our other Named</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Executive Officers, and RSUs represent the other 60% of their annual refresh LTI</w:t>
            </w:r>
          </w:p>
        </w:tc>
      </w:tr>
      <w:tr>
        <w:trPr>
          <w:trHeight w:val="215"/>
        </w:trPr>
        <w:tc>
          <w:tcPr>
            <w:tcW w:w="226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opportunity.</w:t>
            </w:r>
          </w:p>
        </w:tc>
      </w:tr>
      <w:tr>
        <w:trPr>
          <w:trHeight w:val="271"/>
        </w:trPr>
        <w:tc>
          <w:tcPr>
            <w:tcW w:w="2260" w:type="dxa"/>
            <w:vAlign w:val="bottom"/>
          </w:tcPr>
          <w:p>
            <w:pPr>
              <w:spacing w:after="0"/>
              <w:rPr>
                <w:sz w:val="23"/>
                <w:szCs w:val="23"/>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As  further  described  in  “Employment  Arrangements–Artur  Bergman”  below,</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Mr. Bergman was eligible to make an election to receive equity in the form of (i) a</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stock option grant or (ii) restricted stock units (which may include RSUs and PSUs)</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on the same terms as generally applicable to other senior Company executives for</w:t>
            </w:r>
          </w:p>
        </w:tc>
      </w:tr>
      <w:tr>
        <w:trPr>
          <w:trHeight w:val="215"/>
        </w:trPr>
        <w:tc>
          <w:tcPr>
            <w:tcW w:w="226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such year. Mr. Bergman elected restricted stock units for 2025.</w:t>
            </w:r>
          </w:p>
        </w:tc>
      </w:tr>
      <w:tr>
        <w:trPr>
          <w:trHeight w:val="271"/>
        </w:trPr>
        <w:tc>
          <w:tcPr>
            <w:tcW w:w="2260" w:type="dxa"/>
            <w:vAlign w:val="bottom"/>
          </w:tcPr>
          <w:p>
            <w:pPr>
              <w:spacing w:after="0"/>
              <w:rPr>
                <w:sz w:val="23"/>
                <w:szCs w:val="23"/>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The Company may grant equity awards, as needed, outside of our annual refresh</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long-term incentives in connection with promotions, hiring, and other purposes as</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the Compensation Committee may deem appropriate. These grants may be made</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in a combination of time-based RSUs and performance-based PSUs depending on</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the context of each grant (see “August 2025 CEO and President, Go to Market</w:t>
            </w:r>
          </w:p>
        </w:tc>
      </w:tr>
      <w:tr>
        <w:trPr>
          <w:trHeight w:val="189"/>
        </w:trPr>
        <w:tc>
          <w:tcPr>
            <w:tcW w:w="2260" w:type="dxa"/>
            <w:vAlign w:val="bottom"/>
          </w:tcPr>
          <w:p>
            <w:pPr>
              <w:spacing w:after="0"/>
              <w:rPr>
                <w:sz w:val="16"/>
                <w:szCs w:val="16"/>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Promotional Equity Awards” and “Chief Financial Officer Equity Awards” below for</w:t>
            </w:r>
          </w:p>
        </w:tc>
      </w:tr>
      <w:tr>
        <w:trPr>
          <w:trHeight w:val="215"/>
        </w:trPr>
        <w:tc>
          <w:tcPr>
            <w:tcW w:w="226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details on equity awards tied to leadership transitions in 2025).</w:t>
            </w:r>
          </w:p>
        </w:tc>
      </w:tr>
      <w:tr>
        <w:trPr>
          <w:trHeight w:val="43"/>
        </w:trPr>
        <w:tc>
          <w:tcPr>
            <w:tcW w:w="2260" w:type="dxa"/>
            <w:vAlign w:val="bottom"/>
            <w:tcBorders>
              <w:bottom w:val="single" w:sz="8" w:color="auto"/>
            </w:tcBorders>
          </w:tcPr>
          <w:p>
            <w:pPr>
              <w:spacing w:after="0"/>
              <w:rPr>
                <w:sz w:val="3"/>
                <w:szCs w:val="3"/>
                <w:color w:val="auto"/>
              </w:rPr>
            </w:pPr>
          </w:p>
        </w:tc>
        <w:tc>
          <w:tcPr>
            <w:tcW w:w="6160" w:type="dxa"/>
            <w:vAlign w:val="bottom"/>
            <w:tcBorders>
              <w:bottom w:val="single" w:sz="8" w:color="auto"/>
            </w:tcBorders>
          </w:tcPr>
          <w:p>
            <w:pPr>
              <w:spacing w:after="0"/>
              <w:rPr>
                <w:sz w:val="3"/>
                <w:szCs w:val="3"/>
                <w:color w:val="auto"/>
              </w:rPr>
            </w:pPr>
          </w:p>
        </w:tc>
      </w:tr>
      <w:tr>
        <w:trPr>
          <w:trHeight w:val="209"/>
        </w:trPr>
        <w:tc>
          <w:tcPr>
            <w:tcW w:w="2260" w:type="dxa"/>
            <w:vAlign w:val="bottom"/>
          </w:tcPr>
          <w:p>
            <w:pPr>
              <w:ind w:left="80"/>
              <w:spacing w:after="0"/>
              <w:rPr>
                <w:sz w:val="20"/>
                <w:szCs w:val="20"/>
                <w:color w:val="auto"/>
              </w:rPr>
            </w:pPr>
            <w:r>
              <w:rPr>
                <w:rFonts w:ascii="Arial" w:cs="Arial" w:eastAsia="Arial" w:hAnsi="Arial"/>
                <w:sz w:val="16"/>
                <w:szCs w:val="16"/>
                <w:color w:val="auto"/>
              </w:rPr>
              <w:t>Benefits</w:t>
            </w:r>
          </w:p>
        </w:tc>
        <w:tc>
          <w:tcPr>
            <w:tcW w:w="6160" w:type="dxa"/>
            <w:vAlign w:val="bottom"/>
          </w:tcPr>
          <w:p>
            <w:pPr>
              <w:ind w:left="160"/>
              <w:spacing w:after="0"/>
              <w:rPr>
                <w:sz w:val="20"/>
                <w:szCs w:val="20"/>
                <w:color w:val="auto"/>
              </w:rPr>
            </w:pPr>
            <w:r>
              <w:rPr>
                <w:rFonts w:ascii="Arial" w:cs="Arial" w:eastAsia="Arial" w:hAnsi="Arial"/>
                <w:sz w:val="16"/>
                <w:szCs w:val="16"/>
                <w:color w:val="auto"/>
              </w:rPr>
              <w:t>We offer competitive health and welfare benefits, as well as participation in the</w:t>
            </w:r>
          </w:p>
        </w:tc>
      </w:tr>
      <w:tr>
        <w:trPr>
          <w:trHeight w:val="215"/>
        </w:trPr>
        <w:tc>
          <w:tcPr>
            <w:tcW w:w="2260" w:type="dxa"/>
            <w:vAlign w:val="bottom"/>
          </w:tcPr>
          <w:p>
            <w:pPr>
              <w:spacing w:after="0"/>
              <w:rPr>
                <w:sz w:val="18"/>
                <w:szCs w:val="18"/>
                <w:color w:val="auto"/>
              </w:rPr>
            </w:pPr>
          </w:p>
        </w:tc>
        <w:tc>
          <w:tcPr>
            <w:tcW w:w="6160" w:type="dxa"/>
            <w:vAlign w:val="bottom"/>
          </w:tcPr>
          <w:p>
            <w:pPr>
              <w:ind w:left="160"/>
              <w:spacing w:after="0"/>
              <w:rPr>
                <w:sz w:val="20"/>
                <w:szCs w:val="20"/>
                <w:color w:val="auto"/>
              </w:rPr>
            </w:pPr>
            <w:r>
              <w:rPr>
                <w:rFonts w:ascii="Arial" w:cs="Arial" w:eastAsia="Arial" w:hAnsi="Arial"/>
                <w:sz w:val="16"/>
                <w:szCs w:val="16"/>
                <w:color w:val="auto"/>
              </w:rPr>
              <w:t>ESPP, 401(k) plan for United States employees, and other employee benefit plans.</w:t>
            </w:r>
          </w:p>
        </w:tc>
      </w:tr>
      <w:tr>
        <w:trPr>
          <w:trHeight w:val="29"/>
        </w:trPr>
        <w:tc>
          <w:tcPr>
            <w:tcW w:w="2260" w:type="dxa"/>
            <w:vAlign w:val="bottom"/>
            <w:tcBorders>
              <w:bottom w:val="single" w:sz="8" w:color="auto"/>
            </w:tcBorders>
          </w:tcPr>
          <w:p>
            <w:pPr>
              <w:spacing w:after="0"/>
              <w:rPr>
                <w:sz w:val="2"/>
                <w:szCs w:val="2"/>
                <w:color w:val="auto"/>
              </w:rPr>
            </w:pPr>
          </w:p>
        </w:tc>
        <w:tc>
          <w:tcPr>
            <w:tcW w:w="6160" w:type="dxa"/>
            <w:vAlign w:val="bottom"/>
            <w:tcBorders>
              <w:bottom w:val="single" w:sz="8" w:color="auto"/>
            </w:tcBorders>
          </w:tcPr>
          <w:p>
            <w:pPr>
              <w:spacing w:after="0"/>
              <w:rPr>
                <w:sz w:val="2"/>
                <w:szCs w:val="2"/>
                <w:color w:val="auto"/>
              </w:rPr>
            </w:pPr>
          </w:p>
        </w:tc>
      </w:tr>
    </w:tbl>
    <w:p>
      <w:pPr>
        <w:spacing w:after="0" w:line="134"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6"/>
          <w:szCs w:val="16"/>
          <w:color w:val="auto"/>
        </w:rPr>
        <w:t>Adjustments to a Named Executive Officer’s compensation made in connection with the Compensation Committee’s annual review generally occur in the first quarter of the fiscal year. Equity awards for our Named Executive Officers are typically granted during the first quarter of the fiscal year or in connection with their promotion or hiring.</w:t>
      </w:r>
    </w:p>
    <w:p>
      <w:pPr>
        <w:spacing w:after="0" w:line="90"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6"/>
          <w:szCs w:val="16"/>
          <w:color w:val="auto"/>
        </w:rPr>
        <w:t>The Compensation Committee views these changes as part of an ongoing evolution in our compensation programs that aligns with the growth and maturity of our business. The Compensation Committee will continue to monitor our programs in the context of evolving market practice and our compensation objectives to ensure that we continue to attract and motivate talented executives who can support our growth and long-term stockholder value creation.</w:t>
      </w:r>
    </w:p>
    <w:p>
      <w:pPr>
        <w:spacing w:after="0" w:line="27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Fiscal Year 2025 Target Pay Mix</w:t>
      </w:r>
    </w:p>
    <w:p>
      <w:pPr>
        <w:spacing w:after="0" w:line="139"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Consistent with our philosophy of aligning executive pay with the short-term and long-term performance of the Company, and to align the interests of management and stockholders, our compensation program is designed to</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34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left="660" w:right="640"/>
        <w:spacing w:after="0" w:line="266" w:lineRule="auto"/>
        <w:rPr>
          <w:sz w:val="20"/>
          <w:szCs w:val="20"/>
          <w:color w:val="auto"/>
        </w:rPr>
      </w:pPr>
      <w:r>
        <w:rPr>
          <w:rFonts w:ascii="Arial" w:cs="Arial" w:eastAsia="Arial" w:hAnsi="Arial"/>
          <w:sz w:val="16"/>
          <w:szCs w:val="16"/>
          <w:color w:val="auto"/>
        </w:rPr>
        <w:t>provide the majority of executive compensation in the form of variable pay for which the ultimate value realized is based on the Company’s performance. Our Compensation Committee thoughtfully employs the primary compensation elements described in the above table to achieve these objectives.</w:t>
      </w:r>
    </w:p>
    <w:p>
      <w:pPr>
        <w:spacing w:after="0" w:line="90" w:lineRule="exact"/>
        <w:rPr>
          <w:sz w:val="20"/>
          <w:szCs w:val="20"/>
          <w:color w:val="auto"/>
        </w:rPr>
      </w:pPr>
    </w:p>
    <w:p>
      <w:pPr>
        <w:jc w:val="both"/>
        <w:ind w:left="660" w:right="640"/>
        <w:spacing w:after="0" w:line="249" w:lineRule="auto"/>
        <w:rPr>
          <w:sz w:val="20"/>
          <w:szCs w:val="20"/>
          <w:color w:val="auto"/>
        </w:rPr>
      </w:pPr>
      <w:r>
        <w:rPr>
          <w:rFonts w:ascii="Arial" w:cs="Arial" w:eastAsia="Arial" w:hAnsi="Arial"/>
          <w:sz w:val="16"/>
          <w:szCs w:val="16"/>
          <w:color w:val="auto"/>
        </w:rPr>
        <w:t>In fiscal year 2025, our reliance on performance-based cash and equity incentives and time-based RSUs delivered a majority of the target total direct compensation for our Named Executive Officers in variable pay, subject to variability in realized pay based on changes in our financial performance and/or stockholder returns, as illustrated below. Mr. Compton’s target pay mix reflects the compensation adjustments made in connection with his appointment as CEO on June 16, 2025. His 2025 cash compensation reflects his transition from Chief Product Officer to CEO, with both his salary and target bonus prorated to account for the portion of the year served in each position. His equity values include both the annual equity awards granted in March 2025 when he served as our Chief Product Officer and the promotional awards granted in August 2025 in connection with his appointment to CEO. The target PSU and RSU values for Mr. Lovett, which are included in the Average Non-CEO NEO chart, reflect both the annual equity awards granted in March 2025 when he served as our Chief Revenue Officer and the promotional awards granted in August 2025 in connection with his appointment to President, Go to Market. The fiscal year 2025 target pay mix for Mr. Wong, as included in the Average Non-CEO NEO chart, reflects his annualized base salary and annualized target bonus. However, the equity component for Mr. Wong reflects the full value of his one-time inducement RSU award granted in connection with his appointment as Chief Financial Officer. We have excluded our former CEO and former CFO from the charts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111125</wp:posOffset>
            </wp:positionV>
            <wp:extent cx="5203190" cy="14655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20319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20"/>
        <w:spacing w:after="0"/>
        <w:tabs>
          <w:tab w:leader="none" w:pos="4840" w:val="left"/>
        </w:tabs>
        <w:rPr>
          <w:sz w:val="20"/>
          <w:szCs w:val="20"/>
          <w:color w:val="auto"/>
        </w:rPr>
      </w:pPr>
      <w:r>
        <w:rPr>
          <w:rFonts w:ascii="Arial" w:cs="Arial" w:eastAsia="Arial" w:hAnsi="Arial"/>
          <w:sz w:val="16"/>
          <w:szCs w:val="16"/>
          <w:color w:val="auto"/>
        </w:rPr>
        <w:t> </w:t>
      </w:r>
      <w:r>
        <w:rPr>
          <w:sz w:val="20"/>
          <w:szCs w:val="20"/>
          <w:color w:val="auto"/>
        </w:rPr>
        <w:tab/>
      </w:r>
      <w:r>
        <w:rPr>
          <w:rFonts w:ascii="Arial" w:cs="Arial" w:eastAsia="Arial" w:hAnsi="Arial"/>
          <w:sz w:val="16"/>
          <w:szCs w:val="16"/>
          <w:color w:val="auto"/>
        </w:rPr>
        <w:t> </w:t>
      </w:r>
    </w:p>
    <w:p>
      <w:pPr>
        <w:sectPr>
          <w:pgSz w:w="11900" w:h="16838" w:orient="portrait"/>
          <w:cols w:equalWidth="0" w:num="1">
            <w:col w:w="9720"/>
          </w:cols>
          <w:pgMar w:left="1080" w:top="114" w:right="1099" w:bottom="1440" w:gutter="0" w:footer="0" w:header="0"/>
        </w:sectPr>
      </w:pPr>
    </w:p>
    <w:p>
      <w:pPr>
        <w:spacing w:after="0" w:line="328"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EE3434"/>
        </w:rPr>
        <w:t>Compensation Decision-Making Process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EE3434"/>
        </w:rPr>
        <w:t>Determination of Compensation Awards</w:t>
      </w:r>
    </w:p>
    <w:p>
      <w:pPr>
        <w:spacing w:after="0" w:line="106" w:lineRule="exact"/>
        <w:rPr>
          <w:sz w:val="20"/>
          <w:szCs w:val="20"/>
          <w:color w:val="auto"/>
        </w:rPr>
      </w:pPr>
    </w:p>
    <w:p>
      <w:pPr>
        <w:jc w:val="both"/>
        <w:ind w:left="660" w:right="160"/>
        <w:spacing w:after="0" w:line="251" w:lineRule="auto"/>
        <w:rPr>
          <w:sz w:val="20"/>
          <w:szCs w:val="20"/>
          <w:color w:val="auto"/>
        </w:rPr>
      </w:pPr>
      <w:r>
        <w:rPr>
          <w:rFonts w:ascii="Arial" w:cs="Arial" w:eastAsia="Arial" w:hAnsi="Arial"/>
          <w:sz w:val="16"/>
          <w:szCs w:val="16"/>
          <w:color w:val="auto"/>
        </w:rPr>
        <w:t>The Compensation Committee’s goal is generally to target elements of compensation within a competitive range, using a balanced approach that does not use rigid percentiles to determine target pay levels for each compensation element. For 2025, the Compensation Committee reviewed each element of compensation described below and set the target total direct compensation opportunities of our executive officers after taking into consideration the following factors:</w:t>
      </w:r>
    </w:p>
    <w:p>
      <w:pPr>
        <w:spacing w:after="0" w:line="77" w:lineRule="exact"/>
        <w:rPr>
          <w:sz w:val="20"/>
          <w:szCs w:val="20"/>
          <w:color w:val="auto"/>
        </w:rPr>
      </w:pPr>
    </w:p>
    <w:p>
      <w:pPr>
        <w:ind w:left="1100" w:right="160" w:hanging="268"/>
        <w:spacing w:after="0" w:line="286" w:lineRule="auto"/>
        <w:tabs>
          <w:tab w:leader="none" w:pos="11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market data, including practices among companies in our compensation peer group;</w:t>
      </w:r>
    </w:p>
    <w:p>
      <w:pPr>
        <w:spacing w:after="0" w:line="47" w:lineRule="exact"/>
        <w:rPr>
          <w:rFonts w:ascii="Arial" w:cs="Arial" w:eastAsia="Arial" w:hAnsi="Arial"/>
          <w:sz w:val="16"/>
          <w:szCs w:val="16"/>
          <w:color w:val="auto"/>
        </w:rPr>
      </w:pPr>
    </w:p>
    <w:p>
      <w:pPr>
        <w:ind w:left="1100" w:hanging="268"/>
        <w:spacing w:after="0"/>
        <w:tabs>
          <w:tab w:leader="none" w:pos="11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executive officer’s scope of responsibilities;</w:t>
      </w:r>
    </w:p>
    <w:p>
      <w:pPr>
        <w:spacing w:after="0" w:line="113" w:lineRule="exact"/>
        <w:rPr>
          <w:rFonts w:ascii="Arial" w:cs="Arial" w:eastAsia="Arial" w:hAnsi="Arial"/>
          <w:sz w:val="16"/>
          <w:szCs w:val="16"/>
          <w:color w:val="auto"/>
        </w:rPr>
      </w:pPr>
    </w:p>
    <w:p>
      <w:pPr>
        <w:ind w:left="1100" w:right="160" w:hanging="268"/>
        <w:spacing w:after="0" w:line="286" w:lineRule="auto"/>
        <w:tabs>
          <w:tab w:leader="none" w:pos="11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each executive officer’s tenure, skills, and experience;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60" w:right="660" w:hanging="278"/>
        <w:spacing w:after="0" w:line="28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internal pay equity across the executive management team;</w:t>
      </w:r>
    </w:p>
    <w:p>
      <w:pPr>
        <w:spacing w:after="0" w:line="47" w:lineRule="exact"/>
        <w:rPr>
          <w:rFonts w:ascii="Arial" w:cs="Arial" w:eastAsia="Arial" w:hAnsi="Arial"/>
          <w:sz w:val="16"/>
          <w:szCs w:val="16"/>
          <w:color w:val="auto"/>
        </w:rPr>
      </w:pPr>
    </w:p>
    <w:p>
      <w:pPr>
        <w:jc w:val="both"/>
        <w:ind w:left="460" w:right="640" w:hanging="278"/>
        <w:spacing w:after="0" w:line="26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overall performance, taking into consideration performance versus internal plans and industry peers;</w:t>
      </w:r>
    </w:p>
    <w:p>
      <w:pPr>
        <w:spacing w:after="0" w:line="63" w:lineRule="exact"/>
        <w:rPr>
          <w:rFonts w:ascii="Arial" w:cs="Arial" w:eastAsia="Arial" w:hAnsi="Arial"/>
          <w:sz w:val="16"/>
          <w:szCs w:val="16"/>
          <w:color w:val="auto"/>
        </w:rPr>
      </w:pPr>
    </w:p>
    <w:p>
      <w:pPr>
        <w:ind w:left="460" w:hanging="278"/>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recommendations of our CEO; and</w:t>
      </w:r>
    </w:p>
    <w:p>
      <w:pPr>
        <w:spacing w:after="0" w:line="113" w:lineRule="exact"/>
        <w:rPr>
          <w:rFonts w:ascii="Arial" w:cs="Arial" w:eastAsia="Arial" w:hAnsi="Arial"/>
          <w:sz w:val="16"/>
          <w:szCs w:val="16"/>
          <w:color w:val="auto"/>
        </w:rPr>
      </w:pPr>
    </w:p>
    <w:p>
      <w:pPr>
        <w:ind w:left="460" w:hanging="278"/>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market conditions.</w:t>
      </w:r>
    </w:p>
    <w:p>
      <w:pPr>
        <w:spacing w:after="0" w:line="154" w:lineRule="exact"/>
        <w:rPr>
          <w:sz w:val="20"/>
          <w:szCs w:val="20"/>
          <w:color w:val="auto"/>
        </w:rPr>
      </w:pPr>
    </w:p>
    <w:p>
      <w:pPr>
        <w:jc w:val="both"/>
        <w:ind w:right="640"/>
        <w:spacing w:after="0" w:line="254" w:lineRule="auto"/>
        <w:rPr>
          <w:sz w:val="20"/>
          <w:szCs w:val="20"/>
          <w:color w:val="auto"/>
        </w:rPr>
      </w:pPr>
      <w:r>
        <w:rPr>
          <w:rFonts w:ascii="Arial" w:cs="Arial" w:eastAsia="Arial" w:hAnsi="Arial"/>
          <w:sz w:val="16"/>
          <w:szCs w:val="16"/>
          <w:color w:val="auto"/>
        </w:rPr>
        <w:t>The Compensation Committee does not assign relative weights or rankings to any of these factors and does not rely solely on any quantitative formula, target percentile, or multiple for establishing compensation among the executive officers or in relation to the competitive market data.</w:t>
      </w:r>
    </w:p>
    <w:p>
      <w:pPr>
        <w:spacing w:after="0" w:line="232" w:lineRule="exact"/>
        <w:rPr>
          <w:sz w:val="20"/>
          <w:szCs w:val="20"/>
          <w:color w:val="auto"/>
        </w:rPr>
      </w:pPr>
    </w:p>
    <w:p>
      <w:pPr>
        <w:sectPr>
          <w:pgSz w:w="11900" w:h="16838" w:orient="portrait"/>
          <w:cols w:equalWidth="0" w:num="2">
            <w:col w:w="4820" w:space="240"/>
            <w:col w:w="4660"/>
          </w:cols>
          <w:pgMar w:left="1080" w:top="114" w:right="1099" w:bottom="1440" w:gutter="0" w:footer="0" w:header="0"/>
          <w:type w:val="continuous"/>
        </w:sectPr>
      </w:pPr>
    </w:p>
    <w:p>
      <w:pPr>
        <w:ind w:left="660"/>
        <w:spacing w:after="0"/>
        <w:rPr>
          <w:sz w:val="20"/>
          <w:szCs w:val="20"/>
          <w:color w:val="auto"/>
        </w:rPr>
      </w:pPr>
      <w:r>
        <w:rPr>
          <w:rFonts w:ascii="Arial" w:cs="Arial" w:eastAsia="Arial" w:hAnsi="Arial"/>
          <w:sz w:val="18"/>
          <w:szCs w:val="18"/>
          <w:b w:val="1"/>
          <w:bCs w:val="1"/>
          <w:i w:val="1"/>
          <w:iCs w:val="1"/>
          <w:color w:val="EE3434"/>
        </w:rPr>
        <w:t>Role of the Compensation Committee</w:t>
      </w:r>
    </w:p>
    <w:p>
      <w:pPr>
        <w:spacing w:after="0" w:line="106"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color w:val="auto"/>
        </w:rPr>
        <w:t>The Compensation Committee is responsible for overseeing our executive compensation program and all related policies and practices. The Compensation</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both"/>
        <w:ind w:right="660"/>
        <w:spacing w:after="0" w:line="266" w:lineRule="auto"/>
        <w:rPr>
          <w:sz w:val="20"/>
          <w:szCs w:val="20"/>
          <w:color w:val="auto"/>
        </w:rPr>
      </w:pPr>
      <w:r>
        <w:rPr>
          <w:rFonts w:ascii="Arial" w:cs="Arial" w:eastAsia="Arial" w:hAnsi="Arial"/>
          <w:sz w:val="16"/>
          <w:szCs w:val="16"/>
          <w:color w:val="auto"/>
        </w:rPr>
        <w:t>Committee operates pursuant to a formal written charter approved by our Board of Directors, which is available on our website at investors.fastly.com.</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113665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660" w:space="400"/>
            <w:col w:w="4660"/>
          </w:cols>
          <w:pgMar w:left="1080" w:top="114" w:right="10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jc w:val="both"/>
        <w:ind w:left="660"/>
        <w:spacing w:after="0" w:line="254" w:lineRule="auto"/>
        <w:rPr>
          <w:sz w:val="20"/>
          <w:szCs w:val="20"/>
          <w:color w:val="auto"/>
        </w:rPr>
      </w:pPr>
      <w:r>
        <w:rPr>
          <w:rFonts w:ascii="Arial" w:cs="Arial" w:eastAsia="Arial" w:hAnsi="Arial"/>
          <w:sz w:val="16"/>
          <w:szCs w:val="16"/>
          <w:color w:val="auto"/>
        </w:rPr>
        <w:t>At least annually, the Compensation Committee reviews our executive compensation program and determines the various elements of our Named Executive Officers’ compensation, as well as any employment arrangements with our Named Executive Officers. The Compensation Committee is responsible</w:t>
      </w:r>
    </w:p>
    <w:p>
      <w:pPr>
        <w:spacing w:after="0" w:line="101"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for taking action with respect to compensation that will attract and retain talented executives and support our long-term stockholder value creation with an effective pay-for-performance approach.</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ind w:right="299"/>
        <w:spacing w:after="0" w:line="253" w:lineRule="auto"/>
        <w:rPr>
          <w:sz w:val="20"/>
          <w:szCs w:val="20"/>
          <w:color w:val="auto"/>
        </w:rPr>
      </w:pPr>
      <w:r>
        <w:rPr>
          <w:rFonts w:ascii="Arial" w:cs="Arial" w:eastAsia="Arial" w:hAnsi="Arial"/>
          <w:sz w:val="16"/>
          <w:szCs w:val="16"/>
          <w:color w:val="auto"/>
        </w:rPr>
        <w:t>The Compensation Committee meets regularly during the fiscal year both with and without the presence of our CEO and other Named Executive Officers. The</w:t>
      </w:r>
    </w:p>
    <w:p>
      <w:pPr>
        <w:spacing w:after="0" w:line="1" w:lineRule="exact"/>
        <w:rPr>
          <w:sz w:val="20"/>
          <w:szCs w:val="20"/>
          <w:color w:val="auto"/>
        </w:rPr>
      </w:pPr>
    </w:p>
    <w:p>
      <w:pPr>
        <w:jc w:val="both"/>
        <w:ind w:right="299"/>
        <w:spacing w:after="0" w:line="252" w:lineRule="auto"/>
        <w:rPr>
          <w:sz w:val="20"/>
          <w:szCs w:val="20"/>
          <w:color w:val="auto"/>
        </w:rPr>
      </w:pPr>
      <w:r>
        <w:rPr>
          <w:rFonts w:ascii="Arial" w:cs="Arial" w:eastAsia="Arial" w:hAnsi="Arial"/>
          <w:sz w:val="16"/>
          <w:szCs w:val="16"/>
          <w:color w:val="auto"/>
        </w:rPr>
        <w:t>Compensation Committee also discusses compensation issues with our CEO (except with respect to his own compensation) and other members of the Board of Directors between its formal meetings.</w:t>
      </w:r>
    </w:p>
    <w:p>
      <w:pPr>
        <w:spacing w:after="0" w:line="896" w:lineRule="exact"/>
        <w:rPr>
          <w:sz w:val="20"/>
          <w:szCs w:val="20"/>
          <w:color w:val="auto"/>
        </w:rPr>
      </w:pPr>
    </w:p>
    <w:p>
      <w:pPr>
        <w:sectPr>
          <w:pgSz w:w="11900" w:h="16838" w:orient="portrait"/>
          <w:cols w:equalWidth="0" w:num="2">
            <w:col w:w="4660" w:space="400"/>
            <w:col w:w="4319"/>
          </w:cols>
          <w:pgMar w:left="1080" w:top="114" w:right="1440" w:bottom="1440" w:gutter="0" w:footer="0" w:header="0"/>
        </w:sectPr>
      </w:pPr>
    </w:p>
    <w:p>
      <w:pPr>
        <w:ind w:left="660"/>
        <w:spacing w:after="0"/>
        <w:rPr>
          <w:sz w:val="20"/>
          <w:szCs w:val="20"/>
          <w:color w:val="auto"/>
        </w:rPr>
      </w:pPr>
      <w:r>
        <w:rPr>
          <w:rFonts w:ascii="Arial" w:cs="Arial" w:eastAsia="Arial" w:hAnsi="Arial"/>
          <w:sz w:val="18"/>
          <w:szCs w:val="18"/>
          <w:b w:val="1"/>
          <w:bCs w:val="1"/>
          <w:i w:val="1"/>
          <w:iCs w:val="1"/>
          <w:color w:val="EE3434"/>
        </w:rPr>
        <w:t>Role of Management</w:t>
      </w:r>
    </w:p>
    <w:p>
      <w:pPr>
        <w:spacing w:after="0" w:line="106"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Our senior human resources and legal executives support the Compensation Committee in designing our executive compensation program and analyzing competitive market practices. In addition, members of management, including our CEO, regularly participate in Compensation Committee meetings to provide input on our compensation philosophy and objectives.</w:t>
      </w:r>
    </w:p>
    <w:p>
      <w:pPr>
        <w:spacing w:after="0" w:line="114"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Our CEO also evaluates the performance of our executive officers and provides recommendations to</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both"/>
        <w:ind w:right="299"/>
        <w:spacing w:after="0" w:line="250" w:lineRule="auto"/>
        <w:rPr>
          <w:sz w:val="20"/>
          <w:szCs w:val="20"/>
          <w:color w:val="auto"/>
        </w:rPr>
      </w:pPr>
      <w:r>
        <w:rPr>
          <w:rFonts w:ascii="Arial" w:cs="Arial" w:eastAsia="Arial" w:hAnsi="Arial"/>
          <w:sz w:val="16"/>
          <w:szCs w:val="16"/>
          <w:color w:val="auto"/>
        </w:rPr>
        <w:t>our Compensation Committee regarding the compensation of our executive officers (other than with respect to his own compensation). The Compensation Committee reviews and discusses these recommendations and proposals with our CEO and uses them as one factor in determining and approving the compensation for our Named Executive Officers. None of our executive officers attends any portion of Compensation Committee meetings at which his or her compensation is discussed.</w:t>
      </w:r>
    </w:p>
    <w:p>
      <w:pPr>
        <w:spacing w:after="0" w:line="200" w:lineRule="exact"/>
        <w:rPr>
          <w:sz w:val="20"/>
          <w:szCs w:val="20"/>
          <w:color w:val="auto"/>
        </w:rPr>
      </w:pPr>
    </w:p>
    <w:p>
      <w:pPr>
        <w:sectPr>
          <w:pgSz w:w="11900" w:h="16838" w:orient="portrait"/>
          <w:cols w:equalWidth="0" w:num="2">
            <w:col w:w="4660" w:space="400"/>
            <w:col w:w="4319"/>
          </w:cols>
          <w:pgMar w:left="1080" w:top="114" w:right="1440" w:bottom="1440" w:gutter="0" w:footer="0" w:header="0"/>
          <w:type w:val="continuous"/>
        </w:sectPr>
      </w:pPr>
    </w:p>
    <w:p>
      <w:pPr>
        <w:ind w:left="660"/>
        <w:spacing w:after="0"/>
        <w:rPr>
          <w:sz w:val="20"/>
          <w:szCs w:val="20"/>
          <w:color w:val="auto"/>
        </w:rPr>
      </w:pPr>
      <w:r>
        <w:rPr>
          <w:rFonts w:ascii="Arial" w:cs="Arial" w:eastAsia="Arial" w:hAnsi="Arial"/>
          <w:sz w:val="18"/>
          <w:szCs w:val="18"/>
          <w:b w:val="1"/>
          <w:bCs w:val="1"/>
          <w:i w:val="1"/>
          <w:iCs w:val="1"/>
          <w:color w:val="EE3434"/>
        </w:rPr>
        <w:t>Role of the Consultant</w:t>
      </w:r>
    </w:p>
    <w:p>
      <w:pPr>
        <w:spacing w:after="0" w:line="106"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The Compensation Committee may engage the services of outside advisors, experts and others to assist the Compensation Committee. During 2025, the Compensation Committee retained the services of Semler Brossy, a national executive compensation consultant, to advise the Compensation Committee on compensation matters related to our executive and director compensation programs. In 2025, Semler Brossy provided the following support:</w:t>
      </w:r>
    </w:p>
    <w:p>
      <w:pPr>
        <w:spacing w:after="0" w:line="77" w:lineRule="exact"/>
        <w:rPr>
          <w:sz w:val="20"/>
          <w:szCs w:val="20"/>
          <w:color w:val="auto"/>
        </w:rPr>
      </w:pPr>
    </w:p>
    <w:p>
      <w:pPr>
        <w:ind w:left="1100" w:hanging="268"/>
        <w:spacing w:after="0" w:line="286" w:lineRule="auto"/>
        <w:tabs>
          <w:tab w:leader="none" w:pos="11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assisted in the review and updating of our compensation peer group;</w:t>
      </w:r>
    </w:p>
    <w:p>
      <w:pPr>
        <w:spacing w:after="0" w:line="47" w:lineRule="exact"/>
        <w:rPr>
          <w:rFonts w:ascii="Arial" w:cs="Arial" w:eastAsia="Arial" w:hAnsi="Arial"/>
          <w:sz w:val="16"/>
          <w:szCs w:val="16"/>
          <w:color w:val="auto"/>
        </w:rPr>
      </w:pPr>
    </w:p>
    <w:p>
      <w:pPr>
        <w:jc w:val="both"/>
        <w:ind w:left="1100" w:hanging="268"/>
        <w:spacing w:after="0" w:line="266" w:lineRule="auto"/>
        <w:tabs>
          <w:tab w:leader="none" w:pos="11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analyzed the executive compensation levels and practices of the companies in our compensation peer group;</w:t>
      </w:r>
    </w:p>
    <w:p>
      <w:pPr>
        <w:spacing w:after="0" w:line="63" w:lineRule="exact"/>
        <w:rPr>
          <w:rFonts w:ascii="Arial" w:cs="Arial" w:eastAsia="Arial" w:hAnsi="Arial"/>
          <w:sz w:val="16"/>
          <w:szCs w:val="16"/>
          <w:color w:val="auto"/>
        </w:rPr>
      </w:pPr>
    </w:p>
    <w:p>
      <w:pPr>
        <w:jc w:val="both"/>
        <w:ind w:left="1100" w:hanging="268"/>
        <w:spacing w:after="0" w:line="266" w:lineRule="auto"/>
        <w:tabs>
          <w:tab w:leader="none" w:pos="11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provided advice with respect to compensation best practices and market trends for executive officers and directors;</w:t>
      </w:r>
    </w:p>
    <w:p>
      <w:pPr>
        <w:spacing w:after="0" w:line="63" w:lineRule="exact"/>
        <w:rPr>
          <w:rFonts w:ascii="Arial" w:cs="Arial" w:eastAsia="Arial" w:hAnsi="Arial"/>
          <w:sz w:val="16"/>
          <w:szCs w:val="16"/>
          <w:color w:val="auto"/>
        </w:rPr>
      </w:pPr>
    </w:p>
    <w:p>
      <w:pPr>
        <w:ind w:left="1100" w:hanging="268"/>
        <w:spacing w:after="0" w:line="286" w:lineRule="auto"/>
        <w:tabs>
          <w:tab w:leader="none" w:pos="11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reviewed and provided input on our Compensation Discussion and Analysis;</w:t>
      </w:r>
    </w:p>
    <w:p>
      <w:pPr>
        <w:spacing w:after="0" w:line="20" w:lineRule="exact"/>
        <w:rPr>
          <w:sz w:val="20"/>
          <w:szCs w:val="20"/>
          <w:color w:val="auto"/>
        </w:rPr>
      </w:pPr>
      <w:r>
        <w:rPr>
          <w:sz w:val="20"/>
          <w:szCs w:val="20"/>
          <w:color w:val="auto"/>
        </w:rPr>
        <w:br w:type="column"/>
      </w:r>
    </w:p>
    <w:p>
      <w:pPr>
        <w:spacing w:after="0" w:line="293" w:lineRule="exact"/>
        <w:rPr>
          <w:sz w:val="20"/>
          <w:szCs w:val="20"/>
          <w:color w:val="auto"/>
        </w:rPr>
      </w:pPr>
    </w:p>
    <w:p>
      <w:pPr>
        <w:jc w:val="both"/>
        <w:ind w:left="460" w:right="319" w:hanging="278"/>
        <w:spacing w:after="0" w:line="25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assisted with the design of the short-term and long-term incentive compensation plans with appropriate performance goals and targets for our Named Executive Officers and other executive officers;</w:t>
      </w:r>
    </w:p>
    <w:p>
      <w:pPr>
        <w:spacing w:after="0" w:line="71" w:lineRule="exact"/>
        <w:rPr>
          <w:rFonts w:ascii="Arial" w:cs="Arial" w:eastAsia="Arial" w:hAnsi="Arial"/>
          <w:sz w:val="16"/>
          <w:szCs w:val="16"/>
          <w:color w:val="auto"/>
        </w:rPr>
      </w:pPr>
    </w:p>
    <w:p>
      <w:pPr>
        <w:jc w:val="both"/>
        <w:ind w:left="460" w:right="299" w:hanging="278"/>
        <w:spacing w:after="0" w:line="259"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assisted the Compensation Committee in reviewing our stockholder feedback in light of our 2025 “say-on-pay” vote and determining potential responses for 2026; and</w:t>
      </w:r>
    </w:p>
    <w:p>
      <w:pPr>
        <w:spacing w:after="0" w:line="69" w:lineRule="exact"/>
        <w:rPr>
          <w:rFonts w:ascii="Arial" w:cs="Arial" w:eastAsia="Arial" w:hAnsi="Arial"/>
          <w:sz w:val="16"/>
          <w:szCs w:val="16"/>
          <w:color w:val="auto"/>
        </w:rPr>
      </w:pPr>
    </w:p>
    <w:p>
      <w:pPr>
        <w:ind w:left="460" w:right="299" w:hanging="278"/>
        <w:spacing w:after="0" w:line="286" w:lineRule="auto"/>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provided ad hoc advice and support throughout the year.</w:t>
      </w:r>
    </w:p>
    <w:p>
      <w:pPr>
        <w:spacing w:after="0" w:line="88" w:lineRule="exact"/>
        <w:rPr>
          <w:sz w:val="20"/>
          <w:szCs w:val="20"/>
          <w:color w:val="auto"/>
        </w:rPr>
      </w:pPr>
    </w:p>
    <w:p>
      <w:pPr>
        <w:jc w:val="both"/>
        <w:ind w:right="299"/>
        <w:spacing w:after="0" w:line="253" w:lineRule="auto"/>
        <w:rPr>
          <w:sz w:val="20"/>
          <w:szCs w:val="20"/>
          <w:color w:val="auto"/>
        </w:rPr>
      </w:pPr>
      <w:r>
        <w:rPr>
          <w:rFonts w:ascii="Arial" w:cs="Arial" w:eastAsia="Arial" w:hAnsi="Arial"/>
          <w:sz w:val="16"/>
          <w:szCs w:val="16"/>
          <w:color w:val="auto"/>
        </w:rPr>
        <w:t>Semler Brossy reported to and worked for the Compensation Committee. Prior to engaging Semler Brossy, the Compensation Committee considered the specific independence factors adopted by the SEC and Nasdaq and determined that Semler Brossy is independent and that Semler Brossy’s work did not raise any conflicts of interest.</w:t>
      </w:r>
    </w:p>
    <w:p>
      <w:pPr>
        <w:spacing w:after="0" w:line="448" w:lineRule="exact"/>
        <w:rPr>
          <w:sz w:val="20"/>
          <w:szCs w:val="20"/>
          <w:color w:val="auto"/>
        </w:rPr>
      </w:pPr>
    </w:p>
    <w:p>
      <w:pPr>
        <w:sectPr>
          <w:pgSz w:w="11900" w:h="16838" w:orient="portrait"/>
          <w:cols w:equalWidth="0" w:num="2">
            <w:col w:w="4660" w:space="400"/>
            <w:col w:w="4319"/>
          </w:cols>
          <w:pgMar w:left="1080" w:top="114" w:right="1440" w:bottom="1440" w:gutter="0" w:footer="0" w:header="0"/>
          <w:type w:val="continuous"/>
        </w:sectPr>
      </w:pPr>
    </w:p>
    <w:p>
      <w:pPr>
        <w:ind w:left="660"/>
        <w:spacing w:after="0"/>
        <w:rPr>
          <w:sz w:val="20"/>
          <w:szCs w:val="20"/>
          <w:color w:val="auto"/>
        </w:rPr>
      </w:pPr>
      <w:r>
        <w:rPr>
          <w:rFonts w:ascii="Arial" w:cs="Arial" w:eastAsia="Arial" w:hAnsi="Arial"/>
          <w:sz w:val="18"/>
          <w:szCs w:val="18"/>
          <w:b w:val="1"/>
          <w:bCs w:val="1"/>
          <w:i w:val="1"/>
          <w:iCs w:val="1"/>
          <w:color w:val="EE3434"/>
        </w:rPr>
        <w:t>Role of Competitive Market Data</w:t>
      </w:r>
    </w:p>
    <w:p>
      <w:pPr>
        <w:spacing w:after="0" w:line="147" w:lineRule="exact"/>
        <w:rPr>
          <w:sz w:val="20"/>
          <w:szCs w:val="20"/>
          <w:color w:val="auto"/>
        </w:rPr>
      </w:pPr>
    </w:p>
    <w:p>
      <w:pPr>
        <w:jc w:val="both"/>
        <w:ind w:left="660" w:right="299"/>
        <w:spacing w:after="0" w:line="248" w:lineRule="auto"/>
        <w:rPr>
          <w:sz w:val="20"/>
          <w:szCs w:val="20"/>
          <w:color w:val="auto"/>
        </w:rPr>
      </w:pPr>
      <w:r>
        <w:rPr>
          <w:rFonts w:ascii="Arial" w:cs="Arial" w:eastAsia="Arial" w:hAnsi="Arial"/>
          <w:sz w:val="16"/>
          <w:szCs w:val="16"/>
          <w:color w:val="auto"/>
        </w:rPr>
        <w:t>As part of its annual compensation review process, the Compensation Committee generally reviews competitive market data for positions comparable to those of our Named Executive Officers and other key executive officers. In August 2024, the Compensation Committee, with support from Semler Brossy, reviewed our executive compensation peer group. In selecting companies for inclusion in our peer group, the Compensation Committee generally seeks to include U.S. headquartered competitors, as well as cloud-based enterprise and security software companies between 33% to 300% of our market capitalization and with approximately 33% to 300% of our revenue. At the time of the analysis, the resulting compensation peer group had median trailing four-quarter revenues of approximately $594 million and a 90-day average market capitalization as of August 1, 2024 of approximately $2.76 billion</w:t>
      </w:r>
    </w:p>
    <w:p>
      <w:pPr>
        <w:ind w:left="660"/>
        <w:spacing w:after="0" w:line="187" w:lineRule="auto"/>
        <w:rPr>
          <w:sz w:val="20"/>
          <w:szCs w:val="20"/>
          <w:color w:val="auto"/>
        </w:rPr>
      </w:pPr>
      <w:r>
        <w:rPr>
          <w:rFonts w:ascii="Arial" w:cs="Arial" w:eastAsia="Arial" w:hAnsi="Arial"/>
          <w:sz w:val="16"/>
          <w:szCs w:val="16"/>
          <w:color w:val="auto"/>
        </w:rPr>
        <w:t>compared to our trailing four-quarter revenues of $522 million (positioned slightly below the 40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and a 90-</w:t>
      </w:r>
    </w:p>
    <w:p>
      <w:pPr>
        <w:spacing w:after="0" w:line="1" w:lineRule="exact"/>
        <w:rPr>
          <w:sz w:val="20"/>
          <w:szCs w:val="20"/>
          <w:color w:val="auto"/>
        </w:rPr>
      </w:pPr>
    </w:p>
    <w:p>
      <w:pPr>
        <w:jc w:val="both"/>
        <w:ind w:left="660" w:right="299"/>
        <w:spacing w:after="0" w:line="214" w:lineRule="auto"/>
        <w:rPr>
          <w:sz w:val="20"/>
          <w:szCs w:val="20"/>
          <w:color w:val="auto"/>
        </w:rPr>
      </w:pPr>
      <w:r>
        <w:rPr>
          <w:rFonts w:ascii="Arial" w:cs="Arial" w:eastAsia="Arial" w:hAnsi="Arial"/>
          <w:sz w:val="16"/>
          <w:szCs w:val="16"/>
          <w:color w:val="auto"/>
        </w:rPr>
        <w:t>day average market capitalization of $1.07 billion (positioned at the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For making 2025 compensation decisions, the Compensation Committee reviewed market data from</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36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left="660" w:right="640"/>
        <w:spacing w:after="0" w:line="256" w:lineRule="auto"/>
        <w:rPr>
          <w:sz w:val="20"/>
          <w:szCs w:val="20"/>
          <w:color w:val="auto"/>
        </w:rPr>
      </w:pPr>
      <w:r>
        <w:rPr>
          <w:rFonts w:ascii="Arial" w:cs="Arial" w:eastAsia="Arial" w:hAnsi="Arial"/>
          <w:sz w:val="16"/>
          <w:szCs w:val="16"/>
          <w:color w:val="auto"/>
        </w:rPr>
        <w:t>the following compensation peer group, which reflected the removal of two companies (Alteryx, Inc. and Everbridge, Inc.) from and the addition of two companies (PagerDuty, Inc. and Jamf Holding Corp.) to the peer group used for 2024 compensation decisions. Following their acquisitions, Alteryx, Inc. and Everbridge, Inc. were replaced with PagerDuty, Inc. and Jamf Holding Corp., both of which satisfied the Compensation Committee’s selection criteria and fell near the median revenue of our other peer companies.</w:t>
      </w:r>
    </w:p>
    <w:p>
      <w:pPr>
        <w:spacing w:after="0" w:line="139" w:lineRule="exact"/>
        <w:rPr>
          <w:sz w:val="20"/>
          <w:szCs w:val="20"/>
          <w:color w:val="auto"/>
        </w:rPr>
      </w:pPr>
    </w:p>
    <w:tbl>
      <w:tblPr>
        <w:tblLayout w:type="fixed"/>
        <w:tblInd w:w="1460" w:type="dxa"/>
        <w:tblCellMar>
          <w:top w:w="0" w:type="dxa"/>
          <w:left w:w="0" w:type="dxa"/>
          <w:bottom w:w="0" w:type="dxa"/>
          <w:right w:w="0" w:type="dxa"/>
        </w:tblCellMar>
      </w:tblPr>
      <w:tr>
        <w:trPr>
          <w:trHeight w:val="215"/>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320" w:type="dxa"/>
            <w:vAlign w:val="bottom"/>
          </w:tcPr>
          <w:p>
            <w:pPr>
              <w:ind w:left="180"/>
              <w:spacing w:after="0"/>
              <w:rPr>
                <w:sz w:val="20"/>
                <w:szCs w:val="20"/>
                <w:color w:val="auto"/>
              </w:rPr>
            </w:pPr>
            <w:r>
              <w:rPr>
                <w:rFonts w:ascii="Arial" w:cs="Arial" w:eastAsia="Arial" w:hAnsi="Arial"/>
                <w:sz w:val="16"/>
                <w:szCs w:val="16"/>
                <w:color w:val="auto"/>
              </w:rPr>
              <w:t>8x8, Inc. (EGHT)</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500" w:type="dxa"/>
            <w:vAlign w:val="bottom"/>
          </w:tcPr>
          <w:p>
            <w:pPr>
              <w:ind w:left="180"/>
              <w:spacing w:after="0"/>
              <w:rPr>
                <w:sz w:val="20"/>
                <w:szCs w:val="20"/>
                <w:color w:val="auto"/>
              </w:rPr>
            </w:pPr>
            <w:r>
              <w:rPr>
                <w:rFonts w:ascii="Arial" w:cs="Arial" w:eastAsia="Arial" w:hAnsi="Arial"/>
                <w:sz w:val="16"/>
                <w:szCs w:val="16"/>
                <w:color w:val="auto"/>
              </w:rPr>
              <w:t>PagerDuty, Inc. (PD)</w:t>
            </w:r>
          </w:p>
        </w:tc>
      </w:tr>
      <w:tr>
        <w:trPr>
          <w:trHeight w:val="230"/>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320" w:type="dxa"/>
            <w:vAlign w:val="bottom"/>
          </w:tcPr>
          <w:p>
            <w:pPr>
              <w:ind w:left="180"/>
              <w:spacing w:after="0"/>
              <w:rPr>
                <w:sz w:val="20"/>
                <w:szCs w:val="20"/>
                <w:color w:val="auto"/>
              </w:rPr>
            </w:pPr>
            <w:r>
              <w:rPr>
                <w:rFonts w:ascii="Arial" w:cs="Arial" w:eastAsia="Arial" w:hAnsi="Arial"/>
                <w:sz w:val="16"/>
                <w:szCs w:val="16"/>
                <w:color w:val="auto"/>
              </w:rPr>
              <w:t>AppFolio, Inc. (APPF)</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500" w:type="dxa"/>
            <w:vAlign w:val="bottom"/>
          </w:tcPr>
          <w:p>
            <w:pPr>
              <w:ind w:left="180"/>
              <w:spacing w:after="0"/>
              <w:rPr>
                <w:sz w:val="20"/>
                <w:szCs w:val="20"/>
                <w:color w:val="auto"/>
              </w:rPr>
            </w:pPr>
            <w:r>
              <w:rPr>
                <w:rFonts w:ascii="Arial" w:cs="Arial" w:eastAsia="Arial" w:hAnsi="Arial"/>
                <w:sz w:val="16"/>
                <w:szCs w:val="16"/>
                <w:color w:val="auto"/>
              </w:rPr>
              <w:t>Rapid7, Inc. (RPD)</w:t>
            </w:r>
          </w:p>
        </w:tc>
      </w:tr>
      <w:tr>
        <w:trPr>
          <w:trHeight w:val="229"/>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320" w:type="dxa"/>
            <w:vAlign w:val="bottom"/>
          </w:tcPr>
          <w:p>
            <w:pPr>
              <w:ind w:left="180"/>
              <w:spacing w:after="0"/>
              <w:rPr>
                <w:sz w:val="20"/>
                <w:szCs w:val="20"/>
                <w:color w:val="auto"/>
              </w:rPr>
            </w:pPr>
            <w:r>
              <w:rPr>
                <w:rFonts w:ascii="Arial" w:cs="Arial" w:eastAsia="Arial" w:hAnsi="Arial"/>
                <w:sz w:val="16"/>
                <w:szCs w:val="16"/>
                <w:color w:val="auto"/>
              </w:rPr>
              <w:t>BigCommerce Holdings, Inc. (BIGC)</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500" w:type="dxa"/>
            <w:vAlign w:val="bottom"/>
          </w:tcPr>
          <w:p>
            <w:pPr>
              <w:ind w:left="180"/>
              <w:spacing w:after="0"/>
              <w:rPr>
                <w:sz w:val="20"/>
                <w:szCs w:val="20"/>
                <w:color w:val="auto"/>
              </w:rPr>
            </w:pPr>
            <w:r>
              <w:rPr>
                <w:rFonts w:ascii="Arial" w:cs="Arial" w:eastAsia="Arial" w:hAnsi="Arial"/>
                <w:sz w:val="16"/>
                <w:szCs w:val="16"/>
                <w:color w:val="auto"/>
              </w:rPr>
              <w:t>Semrush Holdings, Inc. (SEMR)</w:t>
            </w:r>
          </w:p>
        </w:tc>
      </w:tr>
      <w:tr>
        <w:trPr>
          <w:trHeight w:val="230"/>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320" w:type="dxa"/>
            <w:vAlign w:val="bottom"/>
          </w:tcPr>
          <w:p>
            <w:pPr>
              <w:ind w:left="180"/>
              <w:spacing w:after="0"/>
              <w:rPr>
                <w:sz w:val="20"/>
                <w:szCs w:val="20"/>
                <w:color w:val="auto"/>
              </w:rPr>
            </w:pPr>
            <w:r>
              <w:rPr>
                <w:rFonts w:ascii="Arial" w:cs="Arial" w:eastAsia="Arial" w:hAnsi="Arial"/>
                <w:sz w:val="16"/>
                <w:szCs w:val="16"/>
                <w:color w:val="auto"/>
              </w:rPr>
              <w:t>BlackLine, Inc. (BL)</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500" w:type="dxa"/>
            <w:vAlign w:val="bottom"/>
          </w:tcPr>
          <w:p>
            <w:pPr>
              <w:ind w:left="180"/>
              <w:spacing w:after="0"/>
              <w:rPr>
                <w:sz w:val="20"/>
                <w:szCs w:val="20"/>
                <w:color w:val="auto"/>
              </w:rPr>
            </w:pPr>
            <w:r>
              <w:rPr>
                <w:rFonts w:ascii="Arial" w:cs="Arial" w:eastAsia="Arial" w:hAnsi="Arial"/>
                <w:sz w:val="16"/>
                <w:szCs w:val="16"/>
                <w:color w:val="auto"/>
              </w:rPr>
              <w:t>Smartsheet, Inc. (SMAR)</w:t>
            </w:r>
          </w:p>
        </w:tc>
      </w:tr>
      <w:tr>
        <w:trPr>
          <w:trHeight w:val="229"/>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320" w:type="dxa"/>
            <w:vAlign w:val="bottom"/>
          </w:tcPr>
          <w:p>
            <w:pPr>
              <w:ind w:left="180"/>
              <w:spacing w:after="0"/>
              <w:rPr>
                <w:sz w:val="20"/>
                <w:szCs w:val="20"/>
                <w:color w:val="auto"/>
              </w:rPr>
            </w:pPr>
            <w:r>
              <w:rPr>
                <w:rFonts w:ascii="Arial" w:cs="Arial" w:eastAsia="Arial" w:hAnsi="Arial"/>
                <w:sz w:val="16"/>
                <w:szCs w:val="16"/>
                <w:color w:val="auto"/>
              </w:rPr>
              <w:t>DigitalOcean Holdings, Inc. (DOCN)</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500" w:type="dxa"/>
            <w:vAlign w:val="bottom"/>
          </w:tcPr>
          <w:p>
            <w:pPr>
              <w:ind w:left="180"/>
              <w:spacing w:after="0"/>
              <w:rPr>
                <w:sz w:val="20"/>
                <w:szCs w:val="20"/>
                <w:color w:val="auto"/>
              </w:rPr>
            </w:pPr>
            <w:r>
              <w:rPr>
                <w:rFonts w:ascii="Arial" w:cs="Arial" w:eastAsia="Arial" w:hAnsi="Arial"/>
                <w:sz w:val="16"/>
                <w:szCs w:val="16"/>
                <w:color w:val="auto"/>
              </w:rPr>
              <w:t>Tenable Holdings, Inc. (TENB)</w:t>
            </w:r>
          </w:p>
        </w:tc>
      </w:tr>
      <w:tr>
        <w:trPr>
          <w:trHeight w:val="229"/>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320" w:type="dxa"/>
            <w:vAlign w:val="bottom"/>
          </w:tcPr>
          <w:p>
            <w:pPr>
              <w:ind w:left="180"/>
              <w:spacing w:after="0"/>
              <w:rPr>
                <w:sz w:val="20"/>
                <w:szCs w:val="20"/>
                <w:color w:val="auto"/>
              </w:rPr>
            </w:pPr>
            <w:r>
              <w:rPr>
                <w:rFonts w:ascii="Arial" w:cs="Arial" w:eastAsia="Arial" w:hAnsi="Arial"/>
                <w:sz w:val="16"/>
                <w:szCs w:val="16"/>
                <w:color w:val="auto"/>
              </w:rPr>
              <w:t>Five9 Inc. (FIVN)</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500" w:type="dxa"/>
            <w:vAlign w:val="bottom"/>
          </w:tcPr>
          <w:p>
            <w:pPr>
              <w:ind w:left="180"/>
              <w:spacing w:after="0"/>
              <w:rPr>
                <w:sz w:val="20"/>
                <w:szCs w:val="20"/>
                <w:color w:val="auto"/>
              </w:rPr>
            </w:pPr>
            <w:r>
              <w:rPr>
                <w:rFonts w:ascii="Arial" w:cs="Arial" w:eastAsia="Arial" w:hAnsi="Arial"/>
                <w:sz w:val="16"/>
                <w:szCs w:val="16"/>
                <w:color w:val="auto"/>
              </w:rPr>
              <w:t>Varonis Systems, Inc. (VRNS)</w:t>
            </w:r>
          </w:p>
        </w:tc>
      </w:tr>
      <w:tr>
        <w:trPr>
          <w:trHeight w:val="230"/>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320" w:type="dxa"/>
            <w:vAlign w:val="bottom"/>
          </w:tcPr>
          <w:p>
            <w:pPr>
              <w:ind w:left="180"/>
              <w:spacing w:after="0"/>
              <w:rPr>
                <w:sz w:val="20"/>
                <w:szCs w:val="20"/>
                <w:color w:val="auto"/>
              </w:rPr>
            </w:pPr>
            <w:r>
              <w:rPr>
                <w:rFonts w:ascii="Arial" w:cs="Arial" w:eastAsia="Arial" w:hAnsi="Arial"/>
                <w:sz w:val="16"/>
                <w:szCs w:val="16"/>
                <w:color w:val="auto"/>
              </w:rPr>
              <w:t>Jamf Holding Corp. (JAMF)</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500" w:type="dxa"/>
            <w:vAlign w:val="bottom"/>
          </w:tcPr>
          <w:p>
            <w:pPr>
              <w:ind w:left="180"/>
              <w:spacing w:after="0"/>
              <w:rPr>
                <w:sz w:val="20"/>
                <w:szCs w:val="20"/>
                <w:color w:val="auto"/>
              </w:rPr>
            </w:pPr>
            <w:r>
              <w:rPr>
                <w:rFonts w:ascii="Arial" w:cs="Arial" w:eastAsia="Arial" w:hAnsi="Arial"/>
                <w:sz w:val="16"/>
                <w:szCs w:val="16"/>
                <w:color w:val="auto"/>
              </w:rPr>
              <w:t>Yext, Inc. (YEXT)</w:t>
            </w:r>
          </w:p>
        </w:tc>
      </w:tr>
      <w:tr>
        <w:trPr>
          <w:trHeight w:val="229"/>
        </w:trPr>
        <w:tc>
          <w:tcPr>
            <w:tcW w:w="220" w:type="dxa"/>
            <w:vAlign w:val="bottom"/>
          </w:tcPr>
          <w:p>
            <w:pPr>
              <w:spacing w:after="0"/>
              <w:rPr>
                <w:sz w:val="20"/>
                <w:szCs w:val="20"/>
                <w:color w:val="auto"/>
              </w:rPr>
            </w:pPr>
            <w:r>
              <w:rPr>
                <w:rFonts w:ascii="Arial" w:cs="Arial" w:eastAsia="Arial" w:hAnsi="Arial"/>
                <w:sz w:val="16"/>
                <w:szCs w:val="16"/>
                <w:color w:val="auto"/>
              </w:rPr>
              <w:t>•</w:t>
            </w:r>
          </w:p>
        </w:tc>
        <w:tc>
          <w:tcPr>
            <w:tcW w:w="3320" w:type="dxa"/>
            <w:vAlign w:val="bottom"/>
          </w:tcPr>
          <w:p>
            <w:pPr>
              <w:ind w:left="180"/>
              <w:spacing w:after="0"/>
              <w:rPr>
                <w:sz w:val="20"/>
                <w:szCs w:val="20"/>
                <w:color w:val="auto"/>
              </w:rPr>
            </w:pPr>
            <w:r>
              <w:rPr>
                <w:rFonts w:ascii="Arial" w:cs="Arial" w:eastAsia="Arial" w:hAnsi="Arial"/>
                <w:sz w:val="16"/>
                <w:szCs w:val="16"/>
                <w:color w:val="auto"/>
              </w:rPr>
              <w:t>JFrog Ltd. (FROG)</w:t>
            </w:r>
          </w:p>
        </w:tc>
        <w:tc>
          <w:tcPr>
            <w:tcW w:w="780" w:type="dxa"/>
            <w:vAlign w:val="bottom"/>
          </w:tcPr>
          <w:p>
            <w:pPr>
              <w:ind w:left="540"/>
              <w:spacing w:after="0"/>
              <w:rPr>
                <w:sz w:val="20"/>
                <w:szCs w:val="20"/>
                <w:color w:val="auto"/>
              </w:rPr>
            </w:pPr>
            <w:r>
              <w:rPr>
                <w:rFonts w:ascii="Arial" w:cs="Arial" w:eastAsia="Arial" w:hAnsi="Arial"/>
                <w:sz w:val="16"/>
                <w:szCs w:val="16"/>
                <w:color w:val="auto"/>
              </w:rPr>
              <w:t>•</w:t>
            </w:r>
          </w:p>
        </w:tc>
        <w:tc>
          <w:tcPr>
            <w:tcW w:w="2500" w:type="dxa"/>
            <w:vAlign w:val="bottom"/>
          </w:tcPr>
          <w:p>
            <w:pPr>
              <w:ind w:left="180"/>
              <w:spacing w:after="0"/>
              <w:rPr>
                <w:sz w:val="20"/>
                <w:szCs w:val="20"/>
                <w:color w:val="auto"/>
              </w:rPr>
            </w:pPr>
            <w:r>
              <w:rPr>
                <w:rFonts w:ascii="Arial" w:cs="Arial" w:eastAsia="Arial" w:hAnsi="Arial"/>
                <w:sz w:val="16"/>
                <w:szCs w:val="16"/>
                <w:color w:val="auto"/>
              </w:rPr>
              <w:t>Zuora, Inc. (ZUO)</w:t>
            </w:r>
          </w:p>
        </w:tc>
      </w:tr>
    </w:tbl>
    <w:p>
      <w:pPr>
        <w:spacing w:after="0" w:line="177" w:lineRule="exact"/>
        <w:rPr>
          <w:sz w:val="20"/>
          <w:szCs w:val="20"/>
          <w:color w:val="auto"/>
        </w:rPr>
      </w:pPr>
    </w:p>
    <w:p>
      <w:pPr>
        <w:jc w:val="both"/>
        <w:ind w:left="660" w:right="640"/>
        <w:spacing w:after="0" w:line="259" w:lineRule="auto"/>
        <w:rPr>
          <w:sz w:val="20"/>
          <w:szCs w:val="20"/>
          <w:color w:val="auto"/>
        </w:rPr>
      </w:pPr>
      <w:r>
        <w:rPr>
          <w:rFonts w:ascii="Arial" w:cs="Arial" w:eastAsia="Arial" w:hAnsi="Arial"/>
          <w:sz w:val="16"/>
          <w:szCs w:val="16"/>
          <w:color w:val="auto"/>
        </w:rPr>
        <w:t>The Compensation Committee evaluates the compensation peer group annually and modifies the peer group as needed. Given that not all of the peer companies report data for a position comparable to each of our executive officers, the Compensation Committee also reviewed market data from the Radford McLagan Compensation Database.</w:t>
      </w:r>
    </w:p>
    <w:p>
      <w:pPr>
        <w:spacing w:after="0" w:line="97" w:lineRule="exact"/>
        <w:rPr>
          <w:sz w:val="20"/>
          <w:szCs w:val="20"/>
          <w:color w:val="auto"/>
        </w:rPr>
      </w:pPr>
    </w:p>
    <w:p>
      <w:pPr>
        <w:jc w:val="both"/>
        <w:ind w:left="660" w:right="640"/>
        <w:spacing w:after="0" w:line="259" w:lineRule="auto"/>
        <w:rPr>
          <w:sz w:val="20"/>
          <w:szCs w:val="20"/>
          <w:color w:val="auto"/>
        </w:rPr>
      </w:pPr>
      <w:r>
        <w:rPr>
          <w:rFonts w:ascii="Arial" w:cs="Arial" w:eastAsia="Arial" w:hAnsi="Arial"/>
          <w:sz w:val="16"/>
          <w:szCs w:val="16"/>
          <w:color w:val="auto"/>
        </w:rPr>
        <w:t>Our Compensation Committee utilizes market data as one reference point along with various other factors, such as the individual’s performance, experience, and competitive market conditions in making compensation decisions. As such, the Compensation Committee does not commit to setting our executive pay levels at any particular percentile of the compensation peer group.</w:t>
      </w:r>
    </w:p>
    <w:p>
      <w:pPr>
        <w:spacing w:after="0" w:line="110" w:lineRule="exact"/>
        <w:rPr>
          <w:sz w:val="20"/>
          <w:szCs w:val="20"/>
          <w:color w:val="auto"/>
        </w:rPr>
      </w:pPr>
    </w:p>
    <w:p>
      <w:pPr>
        <w:jc w:val="both"/>
        <w:ind w:left="660" w:right="640"/>
        <w:spacing w:after="0" w:line="286" w:lineRule="auto"/>
        <w:rPr>
          <w:sz w:val="20"/>
          <w:szCs w:val="20"/>
          <w:color w:val="auto"/>
        </w:rPr>
      </w:pPr>
      <w:r>
        <w:rPr>
          <w:rFonts w:ascii="Arial" w:cs="Arial" w:eastAsia="Arial" w:hAnsi="Arial"/>
          <w:sz w:val="16"/>
          <w:szCs w:val="16"/>
          <w:color w:val="auto"/>
        </w:rPr>
        <w:t>To assess the competitiveness of our total direct compensation, the Compensation Committee references the total direct compensation at companies in our compensation peer group.</w:t>
      </w:r>
    </w:p>
    <w:p>
      <w:pPr>
        <w:spacing w:after="0" w:line="88" w:lineRule="exact"/>
        <w:rPr>
          <w:sz w:val="20"/>
          <w:szCs w:val="20"/>
          <w:color w:val="auto"/>
        </w:rPr>
      </w:pPr>
    </w:p>
    <w:p>
      <w:pPr>
        <w:jc w:val="both"/>
        <w:ind w:left="660" w:right="660"/>
        <w:spacing w:after="0" w:line="259" w:lineRule="auto"/>
        <w:rPr>
          <w:sz w:val="20"/>
          <w:szCs w:val="20"/>
          <w:color w:val="auto"/>
        </w:rPr>
      </w:pPr>
      <w:r>
        <w:rPr>
          <w:rFonts w:ascii="Arial" w:cs="Arial" w:eastAsia="Arial" w:hAnsi="Arial"/>
          <w:sz w:val="16"/>
          <w:szCs w:val="16"/>
          <w:color w:val="auto"/>
        </w:rPr>
        <w:t>However, the Compensation Committee does not specifically benchmark the compensation of any individual to a precise percentile within this general percentile range. In addition, the Compensation Committee does not have a set formula by which it determines how much of the Named Executive Officer’s compensation is fixed (i.e., base salary) rather than variable.</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Principal Elements of Compensation</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EE3434"/>
        </w:rPr>
        <w:t>Base Salary</w:t>
      </w:r>
    </w:p>
    <w:p>
      <w:pPr>
        <w:spacing w:after="0" w:line="147" w:lineRule="exact"/>
        <w:rPr>
          <w:sz w:val="20"/>
          <w:szCs w:val="20"/>
          <w:color w:val="auto"/>
        </w:rPr>
      </w:pPr>
    </w:p>
    <w:p>
      <w:pPr>
        <w:jc w:val="both"/>
        <w:ind w:left="660" w:right="640"/>
        <w:spacing w:after="0" w:line="259" w:lineRule="auto"/>
        <w:rPr>
          <w:sz w:val="20"/>
          <w:szCs w:val="20"/>
          <w:color w:val="auto"/>
        </w:rPr>
      </w:pPr>
      <w:r>
        <w:rPr>
          <w:rFonts w:ascii="Arial" w:cs="Arial" w:eastAsia="Arial" w:hAnsi="Arial"/>
          <w:sz w:val="16"/>
          <w:szCs w:val="16"/>
          <w:color w:val="auto"/>
        </w:rPr>
        <w:t>Base salary is the primary fixed component of our executive compensation program. Base salaries for our executive officers are generally reviewed annually, with any changes in base salary generally effective on April 1. None of our Named Executive Officers received increases in base salary in 2025, and in 2024 and 2025, the base salaries for our Named Executive Officers were as follows:</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264"/>
        </w:trPr>
        <w:tc>
          <w:tcPr>
            <w:tcW w:w="252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Executive</w:t>
            </w:r>
          </w:p>
        </w:tc>
        <w:tc>
          <w:tcPr>
            <w:tcW w:w="2820" w:type="dxa"/>
            <w:vAlign w:val="bottom"/>
            <w:tcBorders>
              <w:bottom w:val="single" w:sz="8" w:color="404040"/>
            </w:tcBorders>
          </w:tcPr>
          <w:p>
            <w:pPr>
              <w:jc w:val="right"/>
              <w:ind w:right="208"/>
              <w:spacing w:after="0"/>
              <w:rPr>
                <w:sz w:val="20"/>
                <w:szCs w:val="20"/>
                <w:color w:val="auto"/>
              </w:rPr>
            </w:pPr>
            <w:r>
              <w:rPr>
                <w:rFonts w:ascii="Arial" w:cs="Arial" w:eastAsia="Arial" w:hAnsi="Arial"/>
                <w:sz w:val="14"/>
                <w:szCs w:val="14"/>
                <w:b w:val="1"/>
                <w:bCs w:val="1"/>
                <w:color w:val="auto"/>
              </w:rPr>
              <w:t>2024 Base Salary</w:t>
            </w:r>
            <w:r>
              <w:rPr>
                <w:rFonts w:ascii="Arial" w:cs="Arial" w:eastAsia="Arial" w:hAnsi="Arial"/>
                <w:sz w:val="23"/>
                <w:szCs w:val="23"/>
                <w:b w:val="1"/>
                <w:bCs w:val="1"/>
                <w:color w:val="auto"/>
                <w:vertAlign w:val="superscript"/>
              </w:rPr>
              <w:t>(1)</w:t>
            </w:r>
          </w:p>
        </w:tc>
        <w:tc>
          <w:tcPr>
            <w:tcW w:w="1940" w:type="dxa"/>
            <w:vAlign w:val="bottom"/>
            <w:tcBorders>
              <w:bottom w:val="single" w:sz="8" w:color="404040"/>
            </w:tcBorders>
          </w:tcPr>
          <w:p>
            <w:pPr>
              <w:jc w:val="right"/>
              <w:ind w:right="248"/>
              <w:spacing w:after="0"/>
              <w:rPr>
                <w:sz w:val="20"/>
                <w:szCs w:val="20"/>
                <w:color w:val="auto"/>
              </w:rPr>
            </w:pPr>
            <w:r>
              <w:rPr>
                <w:rFonts w:ascii="Arial" w:cs="Arial" w:eastAsia="Arial" w:hAnsi="Arial"/>
                <w:sz w:val="14"/>
                <w:szCs w:val="14"/>
                <w:b w:val="1"/>
                <w:bCs w:val="1"/>
                <w:color w:val="auto"/>
              </w:rPr>
              <w:t>2025 Base Salary</w:t>
            </w:r>
            <w:r>
              <w:rPr>
                <w:rFonts w:ascii="Arial" w:cs="Arial" w:eastAsia="Arial" w:hAnsi="Arial"/>
                <w:sz w:val="23"/>
                <w:szCs w:val="23"/>
                <w:b w:val="1"/>
                <w:bCs w:val="1"/>
                <w:color w:val="auto"/>
                <w:vertAlign w:val="superscript"/>
              </w:rPr>
              <w:t>(1)</w:t>
            </w:r>
          </w:p>
        </w:tc>
        <w:tc>
          <w:tcPr>
            <w:tcW w:w="11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520" w:type="dxa"/>
            <w:vAlign w:val="bottom"/>
            <w:tcBorders>
              <w:bottom w:val="single" w:sz="8" w:color="404040"/>
            </w:tcBorders>
          </w:tcPr>
          <w:p>
            <w:pPr>
              <w:ind w:left="60"/>
              <w:spacing w:after="0" w:line="250" w:lineRule="exact"/>
              <w:rPr>
                <w:sz w:val="20"/>
                <w:szCs w:val="20"/>
                <w:color w:val="auto"/>
              </w:rPr>
            </w:pPr>
            <w:r>
              <w:rPr>
                <w:rFonts w:ascii="Arial" w:cs="Arial" w:eastAsia="Arial" w:hAnsi="Arial"/>
                <w:sz w:val="14"/>
                <w:szCs w:val="14"/>
                <w:color w:val="auto"/>
              </w:rPr>
              <w:t>Charles Compton</w:t>
            </w:r>
            <w:r>
              <w:rPr>
                <w:rFonts w:ascii="Arial" w:cs="Arial" w:eastAsia="Arial" w:hAnsi="Arial"/>
                <w:sz w:val="23"/>
                <w:szCs w:val="23"/>
                <w:color w:val="auto"/>
                <w:vertAlign w:val="superscript"/>
              </w:rPr>
              <w:t>(2)</w:t>
            </w:r>
          </w:p>
        </w:tc>
        <w:tc>
          <w:tcPr>
            <w:tcW w:w="2820" w:type="dxa"/>
            <w:vAlign w:val="bottom"/>
            <w:tcBorders>
              <w:bottom w:val="single" w:sz="8" w:color="404040"/>
            </w:tcBorders>
          </w:tcPr>
          <w:p>
            <w:pPr>
              <w:jc w:val="right"/>
              <w:ind w:right="22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404040"/>
            </w:tcBorders>
          </w:tcPr>
          <w:p>
            <w:pPr>
              <w:jc w:val="right"/>
              <w:ind w:right="248"/>
              <w:spacing w:after="0"/>
              <w:rPr>
                <w:sz w:val="20"/>
                <w:szCs w:val="20"/>
                <w:color w:val="auto"/>
              </w:rPr>
            </w:pPr>
            <w:r>
              <w:rPr>
                <w:rFonts w:ascii="Arial" w:cs="Arial" w:eastAsia="Arial" w:hAnsi="Arial"/>
                <w:sz w:val="14"/>
                <w:szCs w:val="14"/>
                <w:color w:val="auto"/>
              </w:rPr>
              <w:t>$500,000</w:t>
            </w:r>
          </w:p>
        </w:tc>
        <w:tc>
          <w:tcPr>
            <w:tcW w:w="114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01"/>
        </w:trPr>
        <w:tc>
          <w:tcPr>
            <w:tcW w:w="2520" w:type="dxa"/>
            <w:vAlign w:val="bottom"/>
          </w:tcPr>
          <w:p>
            <w:pPr>
              <w:ind w:left="60"/>
              <w:spacing w:after="0"/>
              <w:rPr>
                <w:sz w:val="20"/>
                <w:szCs w:val="20"/>
                <w:color w:val="auto"/>
              </w:rPr>
            </w:pPr>
            <w:r>
              <w:rPr>
                <w:rFonts w:ascii="Arial" w:cs="Arial" w:eastAsia="Arial" w:hAnsi="Arial"/>
                <w:sz w:val="14"/>
                <w:szCs w:val="14"/>
                <w:color w:val="auto"/>
              </w:rPr>
              <w:t>Artur Bergman</w:t>
            </w:r>
          </w:p>
        </w:tc>
        <w:tc>
          <w:tcPr>
            <w:tcW w:w="2820" w:type="dxa"/>
            <w:vAlign w:val="bottom"/>
          </w:tcPr>
          <w:p>
            <w:pPr>
              <w:jc w:val="right"/>
              <w:ind w:right="228"/>
              <w:spacing w:after="0"/>
              <w:rPr>
                <w:sz w:val="20"/>
                <w:szCs w:val="20"/>
                <w:color w:val="auto"/>
              </w:rPr>
            </w:pPr>
            <w:r>
              <w:rPr>
                <w:rFonts w:ascii="Arial" w:cs="Arial" w:eastAsia="Arial" w:hAnsi="Arial"/>
                <w:sz w:val="14"/>
                <w:szCs w:val="14"/>
                <w:color w:val="auto"/>
              </w:rPr>
              <w:t>$500,000</w:t>
            </w:r>
          </w:p>
        </w:tc>
        <w:tc>
          <w:tcPr>
            <w:tcW w:w="1940" w:type="dxa"/>
            <w:vAlign w:val="bottom"/>
          </w:tcPr>
          <w:p>
            <w:pPr>
              <w:jc w:val="right"/>
              <w:ind w:right="248"/>
              <w:spacing w:after="0"/>
              <w:rPr>
                <w:sz w:val="20"/>
                <w:szCs w:val="20"/>
                <w:color w:val="auto"/>
              </w:rPr>
            </w:pPr>
            <w:r>
              <w:rPr>
                <w:rFonts w:ascii="Arial" w:cs="Arial" w:eastAsia="Arial" w:hAnsi="Arial"/>
                <w:sz w:val="14"/>
                <w:szCs w:val="14"/>
                <w:color w:val="auto"/>
              </w:rPr>
              <w:t>$500,000</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0%</w:t>
            </w:r>
          </w:p>
        </w:tc>
      </w:tr>
      <w:tr>
        <w:trPr>
          <w:trHeight w:val="22"/>
        </w:trPr>
        <w:tc>
          <w:tcPr>
            <w:tcW w:w="2520" w:type="dxa"/>
            <w:vAlign w:val="bottom"/>
            <w:tcBorders>
              <w:bottom w:val="single" w:sz="8" w:color="404040"/>
            </w:tcBorders>
          </w:tcPr>
          <w:p>
            <w:pPr>
              <w:spacing w:after="0" w:line="20" w:lineRule="exact"/>
              <w:rPr>
                <w:sz w:val="1"/>
                <w:szCs w:val="1"/>
                <w:color w:val="auto"/>
              </w:rPr>
            </w:pPr>
          </w:p>
        </w:tc>
        <w:tc>
          <w:tcPr>
            <w:tcW w:w="2820" w:type="dxa"/>
            <w:vAlign w:val="bottom"/>
            <w:tcBorders>
              <w:bottom w:val="single" w:sz="8" w:color="404040"/>
            </w:tcBorders>
          </w:tcPr>
          <w:p>
            <w:pPr>
              <w:spacing w:after="0" w:line="20" w:lineRule="exact"/>
              <w:rPr>
                <w:sz w:val="1"/>
                <w:szCs w:val="1"/>
                <w:color w:val="auto"/>
              </w:rPr>
            </w:pPr>
          </w:p>
        </w:tc>
        <w:tc>
          <w:tcPr>
            <w:tcW w:w="1940" w:type="dxa"/>
            <w:vAlign w:val="bottom"/>
            <w:tcBorders>
              <w:bottom w:val="single" w:sz="8" w:color="404040"/>
            </w:tcBorders>
          </w:tcPr>
          <w:p>
            <w:pPr>
              <w:spacing w:after="0" w:line="20" w:lineRule="exact"/>
              <w:rPr>
                <w:sz w:val="1"/>
                <w:szCs w:val="1"/>
                <w:color w:val="auto"/>
              </w:rPr>
            </w:pPr>
          </w:p>
        </w:tc>
        <w:tc>
          <w:tcPr>
            <w:tcW w:w="1140" w:type="dxa"/>
            <w:vAlign w:val="bottom"/>
            <w:tcBorders>
              <w:bottom w:val="single" w:sz="8" w:color="404040"/>
            </w:tcBorders>
          </w:tcPr>
          <w:p>
            <w:pPr>
              <w:spacing w:after="0" w:line="20" w:lineRule="exact"/>
              <w:rPr>
                <w:sz w:val="1"/>
                <w:szCs w:val="1"/>
                <w:color w:val="auto"/>
              </w:rPr>
            </w:pPr>
          </w:p>
        </w:tc>
      </w:tr>
      <w:tr>
        <w:trPr>
          <w:trHeight w:val="250"/>
        </w:trPr>
        <w:tc>
          <w:tcPr>
            <w:tcW w:w="2520" w:type="dxa"/>
            <w:vAlign w:val="bottom"/>
            <w:tcBorders>
              <w:bottom w:val="single" w:sz="8" w:color="404040"/>
            </w:tcBorders>
          </w:tcPr>
          <w:p>
            <w:pPr>
              <w:ind w:left="60"/>
              <w:spacing w:after="0" w:line="250" w:lineRule="exact"/>
              <w:rPr>
                <w:sz w:val="20"/>
                <w:szCs w:val="20"/>
                <w:color w:val="auto"/>
              </w:rPr>
            </w:pPr>
            <w:r>
              <w:rPr>
                <w:rFonts w:ascii="Arial" w:cs="Arial" w:eastAsia="Arial" w:hAnsi="Arial"/>
                <w:sz w:val="14"/>
                <w:szCs w:val="14"/>
                <w:color w:val="auto"/>
              </w:rPr>
              <w:t>Richard Wong</w:t>
            </w:r>
            <w:r>
              <w:rPr>
                <w:rFonts w:ascii="Arial" w:cs="Arial" w:eastAsia="Arial" w:hAnsi="Arial"/>
                <w:sz w:val="23"/>
                <w:szCs w:val="23"/>
                <w:color w:val="auto"/>
                <w:vertAlign w:val="superscript"/>
              </w:rPr>
              <w:t>(3)</w:t>
            </w:r>
          </w:p>
        </w:tc>
        <w:tc>
          <w:tcPr>
            <w:tcW w:w="2820" w:type="dxa"/>
            <w:vAlign w:val="bottom"/>
            <w:tcBorders>
              <w:bottom w:val="single" w:sz="8" w:color="404040"/>
            </w:tcBorders>
          </w:tcPr>
          <w:p>
            <w:pPr>
              <w:jc w:val="right"/>
              <w:ind w:right="22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404040"/>
            </w:tcBorders>
          </w:tcPr>
          <w:p>
            <w:pPr>
              <w:jc w:val="right"/>
              <w:ind w:right="248"/>
              <w:spacing w:after="0"/>
              <w:rPr>
                <w:sz w:val="20"/>
                <w:szCs w:val="20"/>
                <w:color w:val="auto"/>
              </w:rPr>
            </w:pPr>
            <w:r>
              <w:rPr>
                <w:rFonts w:ascii="Arial" w:cs="Arial" w:eastAsia="Arial" w:hAnsi="Arial"/>
                <w:sz w:val="14"/>
                <w:szCs w:val="14"/>
                <w:color w:val="auto"/>
              </w:rPr>
              <w:t>$450,000</w:t>
            </w:r>
          </w:p>
        </w:tc>
        <w:tc>
          <w:tcPr>
            <w:tcW w:w="114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50"/>
        </w:trPr>
        <w:tc>
          <w:tcPr>
            <w:tcW w:w="2520" w:type="dxa"/>
            <w:vAlign w:val="bottom"/>
            <w:tcBorders>
              <w:bottom w:val="single" w:sz="8" w:color="404040"/>
            </w:tcBorders>
          </w:tcPr>
          <w:p>
            <w:pPr>
              <w:ind w:left="60"/>
              <w:spacing w:after="0" w:line="250" w:lineRule="exact"/>
              <w:rPr>
                <w:sz w:val="20"/>
                <w:szCs w:val="20"/>
                <w:color w:val="auto"/>
              </w:rPr>
            </w:pPr>
            <w:r>
              <w:rPr>
                <w:rFonts w:ascii="Arial" w:cs="Arial" w:eastAsia="Arial" w:hAnsi="Arial"/>
                <w:sz w:val="14"/>
                <w:szCs w:val="14"/>
                <w:color w:val="auto"/>
              </w:rPr>
              <w:t>Scott Lovett</w:t>
            </w:r>
            <w:r>
              <w:rPr>
                <w:rFonts w:ascii="Arial" w:cs="Arial" w:eastAsia="Arial" w:hAnsi="Arial"/>
                <w:sz w:val="23"/>
                <w:szCs w:val="23"/>
                <w:color w:val="auto"/>
                <w:vertAlign w:val="superscript"/>
              </w:rPr>
              <w:t>(4)</w:t>
            </w:r>
          </w:p>
        </w:tc>
        <w:tc>
          <w:tcPr>
            <w:tcW w:w="2820" w:type="dxa"/>
            <w:vAlign w:val="bottom"/>
            <w:tcBorders>
              <w:bottom w:val="single" w:sz="8" w:color="404040"/>
            </w:tcBorders>
          </w:tcPr>
          <w:p>
            <w:pPr>
              <w:jc w:val="right"/>
              <w:ind w:right="228"/>
              <w:spacing w:after="0"/>
              <w:rPr>
                <w:sz w:val="20"/>
                <w:szCs w:val="20"/>
                <w:color w:val="auto"/>
              </w:rPr>
            </w:pPr>
            <w:r>
              <w:rPr>
                <w:rFonts w:ascii="Arial" w:cs="Arial" w:eastAsia="Arial" w:hAnsi="Arial"/>
                <w:sz w:val="14"/>
                <w:szCs w:val="14"/>
                <w:color w:val="auto"/>
              </w:rPr>
              <w:t>$450,000</w:t>
            </w:r>
          </w:p>
        </w:tc>
        <w:tc>
          <w:tcPr>
            <w:tcW w:w="1940" w:type="dxa"/>
            <w:vAlign w:val="bottom"/>
            <w:tcBorders>
              <w:bottom w:val="single" w:sz="8" w:color="404040"/>
            </w:tcBorders>
          </w:tcPr>
          <w:p>
            <w:pPr>
              <w:jc w:val="right"/>
              <w:ind w:right="248"/>
              <w:spacing w:after="0"/>
              <w:rPr>
                <w:sz w:val="20"/>
                <w:szCs w:val="20"/>
                <w:color w:val="auto"/>
              </w:rPr>
            </w:pPr>
            <w:r>
              <w:rPr>
                <w:rFonts w:ascii="Arial" w:cs="Arial" w:eastAsia="Arial" w:hAnsi="Arial"/>
                <w:sz w:val="14"/>
                <w:szCs w:val="14"/>
                <w:color w:val="auto"/>
              </w:rPr>
              <w:t>$450,000</w:t>
            </w:r>
          </w:p>
        </w:tc>
        <w:tc>
          <w:tcPr>
            <w:tcW w:w="11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0%</w:t>
            </w:r>
          </w:p>
        </w:tc>
      </w:tr>
      <w:tr>
        <w:trPr>
          <w:trHeight w:val="250"/>
        </w:trPr>
        <w:tc>
          <w:tcPr>
            <w:tcW w:w="2520" w:type="dxa"/>
            <w:vAlign w:val="bottom"/>
            <w:tcBorders>
              <w:bottom w:val="single" w:sz="8" w:color="404040"/>
            </w:tcBorders>
          </w:tcPr>
          <w:p>
            <w:pPr>
              <w:ind w:left="60"/>
              <w:spacing w:after="0" w:line="250" w:lineRule="exact"/>
              <w:rPr>
                <w:sz w:val="20"/>
                <w:szCs w:val="20"/>
                <w:color w:val="auto"/>
              </w:rPr>
            </w:pPr>
            <w:r>
              <w:rPr>
                <w:rFonts w:ascii="Arial" w:cs="Arial" w:eastAsia="Arial" w:hAnsi="Arial"/>
                <w:sz w:val="14"/>
                <w:szCs w:val="14"/>
                <w:color w:val="auto"/>
              </w:rPr>
              <w:t>Todd Nightingale</w:t>
            </w:r>
            <w:r>
              <w:rPr>
                <w:rFonts w:ascii="Arial" w:cs="Arial" w:eastAsia="Arial" w:hAnsi="Arial"/>
                <w:sz w:val="23"/>
                <w:szCs w:val="23"/>
                <w:color w:val="auto"/>
                <w:vertAlign w:val="superscript"/>
              </w:rPr>
              <w:t>(5)</w:t>
            </w:r>
          </w:p>
        </w:tc>
        <w:tc>
          <w:tcPr>
            <w:tcW w:w="2820" w:type="dxa"/>
            <w:vAlign w:val="bottom"/>
            <w:tcBorders>
              <w:bottom w:val="single" w:sz="8" w:color="404040"/>
            </w:tcBorders>
          </w:tcPr>
          <w:p>
            <w:pPr>
              <w:jc w:val="right"/>
              <w:ind w:right="228"/>
              <w:spacing w:after="0"/>
              <w:rPr>
                <w:sz w:val="20"/>
                <w:szCs w:val="20"/>
                <w:color w:val="auto"/>
              </w:rPr>
            </w:pPr>
            <w:r>
              <w:rPr>
                <w:rFonts w:ascii="Arial" w:cs="Arial" w:eastAsia="Arial" w:hAnsi="Arial"/>
                <w:sz w:val="14"/>
                <w:szCs w:val="14"/>
                <w:color w:val="auto"/>
              </w:rPr>
              <w:t>$600,000</w:t>
            </w:r>
          </w:p>
        </w:tc>
        <w:tc>
          <w:tcPr>
            <w:tcW w:w="1940" w:type="dxa"/>
            <w:vAlign w:val="bottom"/>
            <w:tcBorders>
              <w:bottom w:val="single" w:sz="8" w:color="404040"/>
            </w:tcBorders>
          </w:tcPr>
          <w:p>
            <w:pPr>
              <w:jc w:val="right"/>
              <w:ind w:right="248"/>
              <w:spacing w:after="0"/>
              <w:rPr>
                <w:sz w:val="20"/>
                <w:szCs w:val="20"/>
                <w:color w:val="auto"/>
              </w:rPr>
            </w:pPr>
            <w:r>
              <w:rPr>
                <w:rFonts w:ascii="Arial" w:cs="Arial" w:eastAsia="Arial" w:hAnsi="Arial"/>
                <w:sz w:val="14"/>
                <w:szCs w:val="14"/>
                <w:color w:val="auto"/>
              </w:rPr>
              <w:t>$600,000</w:t>
            </w:r>
          </w:p>
        </w:tc>
        <w:tc>
          <w:tcPr>
            <w:tcW w:w="11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0%</w:t>
            </w:r>
          </w:p>
        </w:tc>
      </w:tr>
      <w:tr>
        <w:trPr>
          <w:trHeight w:val="210"/>
        </w:trPr>
        <w:tc>
          <w:tcPr>
            <w:tcW w:w="2520" w:type="dxa"/>
            <w:vAlign w:val="bottom"/>
            <w:tcBorders>
              <w:bottom w:val="single" w:sz="8" w:color="404040"/>
            </w:tcBorders>
          </w:tcPr>
          <w:p>
            <w:pPr>
              <w:ind w:left="60"/>
              <w:spacing w:after="0" w:line="210" w:lineRule="exact"/>
              <w:rPr>
                <w:sz w:val="20"/>
                <w:szCs w:val="20"/>
                <w:color w:val="auto"/>
              </w:rPr>
            </w:pPr>
            <w:r>
              <w:rPr>
                <w:rFonts w:ascii="Arial" w:cs="Arial" w:eastAsia="Arial" w:hAnsi="Arial"/>
                <w:sz w:val="14"/>
                <w:szCs w:val="14"/>
                <w:color w:val="auto"/>
              </w:rPr>
              <w:t>Ronald Kisling</w:t>
            </w:r>
            <w:r>
              <w:rPr>
                <w:rFonts w:ascii="Arial" w:cs="Arial" w:eastAsia="Arial" w:hAnsi="Arial"/>
                <w:sz w:val="23"/>
                <w:szCs w:val="23"/>
                <w:color w:val="auto"/>
                <w:vertAlign w:val="superscript"/>
              </w:rPr>
              <w:t>(6)</w:t>
            </w:r>
          </w:p>
        </w:tc>
        <w:tc>
          <w:tcPr>
            <w:tcW w:w="2820" w:type="dxa"/>
            <w:vAlign w:val="bottom"/>
            <w:tcBorders>
              <w:bottom w:val="single" w:sz="8" w:color="404040"/>
            </w:tcBorders>
          </w:tcPr>
          <w:p>
            <w:pPr>
              <w:jc w:val="right"/>
              <w:ind w:right="228"/>
              <w:spacing w:after="0"/>
              <w:rPr>
                <w:sz w:val="20"/>
                <w:szCs w:val="20"/>
                <w:color w:val="auto"/>
              </w:rPr>
            </w:pPr>
            <w:r>
              <w:rPr>
                <w:rFonts w:ascii="Arial" w:cs="Arial" w:eastAsia="Arial" w:hAnsi="Arial"/>
                <w:sz w:val="14"/>
                <w:szCs w:val="14"/>
                <w:color w:val="auto"/>
              </w:rPr>
              <w:t>$600,000</w:t>
            </w:r>
          </w:p>
        </w:tc>
        <w:tc>
          <w:tcPr>
            <w:tcW w:w="1940" w:type="dxa"/>
            <w:vAlign w:val="bottom"/>
            <w:tcBorders>
              <w:bottom w:val="single" w:sz="8" w:color="404040"/>
            </w:tcBorders>
          </w:tcPr>
          <w:p>
            <w:pPr>
              <w:jc w:val="right"/>
              <w:ind w:right="248"/>
              <w:spacing w:after="0"/>
              <w:rPr>
                <w:sz w:val="20"/>
                <w:szCs w:val="20"/>
                <w:color w:val="auto"/>
              </w:rPr>
            </w:pPr>
            <w:r>
              <w:rPr>
                <w:rFonts w:ascii="Arial" w:cs="Arial" w:eastAsia="Arial" w:hAnsi="Arial"/>
                <w:sz w:val="14"/>
                <w:szCs w:val="14"/>
                <w:color w:val="auto"/>
              </w:rPr>
              <w:t>$600,000</w:t>
            </w:r>
          </w:p>
        </w:tc>
        <w:tc>
          <w:tcPr>
            <w:tcW w:w="11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0%</w:t>
            </w:r>
          </w:p>
        </w:tc>
      </w:tr>
    </w:tbl>
    <w:p>
      <w:pPr>
        <w:spacing w:after="0" w:line="252" w:lineRule="exact"/>
        <w:rPr>
          <w:sz w:val="20"/>
          <w:szCs w:val="20"/>
          <w:color w:val="auto"/>
        </w:rPr>
      </w:pPr>
    </w:p>
    <w:p>
      <w:pPr>
        <w:ind w:left="1000" w:right="660" w:hanging="348"/>
        <w:spacing w:after="0" w:line="241" w:lineRule="auto"/>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The amounts reported in this table are annualized. Please see the 2025 Summary Compensation Table below for actual amounts paid as base salary.</w:t>
      </w:r>
    </w:p>
    <w:p>
      <w:pPr>
        <w:ind w:left="1000" w:right="660" w:hanging="348"/>
        <w:spacing w:after="0" w:line="238" w:lineRule="auto"/>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Compton was appointed as Fastly’s Chief Executive Officer on June 16, 2025. The amount shown in this table is his 2025 CEO annual base salary and does not reflect proration due to his start date, or incorporate proration for his prior role as our Chief Product Officer.</w:t>
      </w:r>
    </w:p>
    <w:p>
      <w:pPr>
        <w:spacing w:after="0" w:line="10" w:lineRule="exact"/>
        <w:rPr>
          <w:rFonts w:ascii="Arial" w:cs="Arial" w:eastAsia="Arial" w:hAnsi="Arial"/>
          <w:sz w:val="13"/>
          <w:szCs w:val="13"/>
          <w:color w:val="auto"/>
        </w:rPr>
      </w:pPr>
    </w:p>
    <w:p>
      <w:pPr>
        <w:ind w:left="1000" w:right="640" w:hanging="348"/>
        <w:spacing w:after="0" w:line="243" w:lineRule="auto"/>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Wong joined Fastly as its Chief Financial Officer on August 11, 2025. The amount shown in this table is his 2025 Chief Financial Officer annual base salary and does not reflect proration due to his start date.</w:t>
      </w:r>
    </w:p>
    <w:p>
      <w:pPr>
        <w:spacing w:after="0" w:line="7" w:lineRule="exact"/>
        <w:rPr>
          <w:rFonts w:ascii="Arial" w:cs="Arial" w:eastAsia="Arial" w:hAnsi="Arial"/>
          <w:sz w:val="13"/>
          <w:szCs w:val="13"/>
          <w:color w:val="auto"/>
        </w:rPr>
      </w:pPr>
    </w:p>
    <w:p>
      <w:pPr>
        <w:ind w:left="1000" w:right="640" w:hanging="348"/>
        <w:spacing w:after="0" w:line="241" w:lineRule="auto"/>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Lovett was appointed as our President, Go to Market effective August 6, 2025, and his base salary remained unchanged from his prior role as Chief Revenue Officer.</w:t>
      </w:r>
    </w:p>
    <w:p>
      <w:pPr>
        <w:ind w:left="1000" w:right="640" w:hanging="348"/>
        <w:spacing w:after="0" w:line="238" w:lineRule="auto"/>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Mr. Nightingale served as our Chief Executive Officer until June 16, 2025. The amount shown in this table is his 2025 annual base salary and does not reflect proration due to his partial year of service.   </w:t>
      </w:r>
    </w:p>
    <w:p>
      <w:pPr>
        <w:spacing w:after="0" w:line="10" w:lineRule="exact"/>
        <w:rPr>
          <w:rFonts w:ascii="Arial" w:cs="Arial" w:eastAsia="Arial" w:hAnsi="Arial"/>
          <w:sz w:val="13"/>
          <w:szCs w:val="13"/>
          <w:color w:val="auto"/>
        </w:rPr>
      </w:pPr>
    </w:p>
    <w:p>
      <w:pPr>
        <w:ind w:left="1000" w:right="660" w:hanging="348"/>
        <w:spacing w:after="0" w:line="243" w:lineRule="auto"/>
        <w:tabs>
          <w:tab w:leader="none" w:pos="100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Kisling served as our Chief Financial Officer until August 11, 2025. The amount shown in this table is his 2025 annual base salary and does not reflect proration due to his partial year of service.</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In November 2024, Mr. Bergman elected to receive a reimbursement for private aircraft usage for his business travel and a grant of RSUs in February 2025 in lieu of approximately 89% of his base salary for 2025, which would otherwise have been paid in cash. After making this election, his 2025 base salary was $56,485, instead of $500,000. The eligible reimbursement amount for private aircraft usage for Mr. Bergman’s business travel was $221,758 (any unused portion of which is forfeited at the end of the year). The RSUs granted in lieu of base salary vested as to 25% of the total RSUs on February 15, 2025, and thereafter as to 25% of the RSUs on May 15, 2025, August 15, 2025, and November 15, 2025. The target value of the base salary minus reimbursement for private aircraft usage for Mr. Bergman was converted into a number of RSUs based on $9.77, the average of the closing prices of our common stock during the calendar month prior to the month in which the grant date occurred.</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ind w:right="299"/>
        <w:spacing w:after="0" w:line="249" w:lineRule="auto"/>
        <w:rPr>
          <w:sz w:val="20"/>
          <w:szCs w:val="20"/>
          <w:color w:val="auto"/>
        </w:rPr>
      </w:pPr>
      <w:r>
        <w:rPr>
          <w:rFonts w:ascii="Arial" w:cs="Arial" w:eastAsia="Arial" w:hAnsi="Arial"/>
          <w:sz w:val="16"/>
          <w:szCs w:val="16"/>
          <w:color w:val="auto"/>
        </w:rPr>
        <w:t>Pursuant to his current offer letter agreement, Mr. Bergman may elect a similar base salary reduction and corresponding reimbursement for private aircraft usage and RSU award with a value based on the amount of such reduction, in subsequent years as long as an irrevocable election to reduce salary is made by the end of November of the year prior to the year in which base salary is to be reduced. In no event may Mr. Bergman elect to reduce base salary below the applicable minimum wage. The amounts set forth in the table above reflect his base salary and do not give effect to this salary reduction. See “Employment Arrangements” below for additional information.</w:t>
      </w:r>
    </w:p>
    <w:p>
      <w:pPr>
        <w:spacing w:after="0" w:line="1330" w:lineRule="exact"/>
        <w:rPr>
          <w:sz w:val="20"/>
          <w:szCs w:val="20"/>
          <w:color w:val="auto"/>
        </w:rPr>
      </w:pPr>
    </w:p>
    <w:p>
      <w:pPr>
        <w:sectPr>
          <w:pgSz w:w="11900" w:h="16838" w:orient="portrait"/>
          <w:cols w:equalWidth="0" w:num="2">
            <w:col w:w="4660" w:space="400"/>
            <w:col w:w="4319"/>
          </w:cols>
          <w:pgMar w:left="1080" w:top="114" w:right="1440" w:bottom="1440" w:gutter="0" w:footer="0" w:header="0"/>
        </w:sectPr>
      </w:pP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EE3434"/>
        </w:rPr>
        <w:t>Annual Incentive</w:t>
      </w:r>
    </w:p>
    <w:p>
      <w:pPr>
        <w:spacing w:after="0" w:line="133"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6"/>
          <w:szCs w:val="16"/>
          <w:color w:val="auto"/>
        </w:rPr>
        <w:t>During fiscal year 2025, Messrs. Compton, Bergman, Wong, Nightingale, and Kisling were eligible to earn annual incentives under our 2025 Bonus Program to encourage the achievement of corporate objectives and reinforce our pay-for-performance culture.</w:t>
      </w:r>
    </w:p>
    <w:p>
      <w:pPr>
        <w:spacing w:after="0" w:line="104" w:lineRule="exact"/>
        <w:rPr>
          <w:sz w:val="20"/>
          <w:szCs w:val="20"/>
          <w:color w:val="auto"/>
        </w:rPr>
      </w:pPr>
    </w:p>
    <w:p>
      <w:pPr>
        <w:jc w:val="both"/>
        <w:ind w:left="660" w:right="299"/>
        <w:spacing w:after="0" w:line="254" w:lineRule="auto"/>
        <w:rPr>
          <w:sz w:val="20"/>
          <w:szCs w:val="20"/>
          <w:color w:val="auto"/>
        </w:rPr>
      </w:pPr>
      <w:r>
        <w:rPr>
          <w:rFonts w:ascii="Arial" w:cs="Arial" w:eastAsia="Arial" w:hAnsi="Arial"/>
          <w:sz w:val="16"/>
          <w:szCs w:val="16"/>
          <w:color w:val="auto"/>
        </w:rPr>
        <w:t>In February 2025, our Compensation Committee approved target bonus amounts for Messrs. Nightingale, Bergman, and Kisling to be paid out in fully vested RSUs. In August and September 2025, our Compensation Committee approved target bonus amounts for Messrs. Compton and Wong, in connection with their appointments as CEO and Chief Financial Officer, respectively. The table below reflects the target dollar amount (“Target Bonus”) to be paid out in the form of fully vested RSUs eligible to be earned by each of Messrs. Compton, Bergman, Wong, Nightingale, and Kisling.</w:t>
      </w:r>
    </w:p>
    <w:p>
      <w:pPr>
        <w:spacing w:after="0" w:line="227"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436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Executive</w:t>
            </w:r>
          </w:p>
        </w:tc>
        <w:tc>
          <w:tcPr>
            <w:tcW w:w="40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Target Bonus</w:t>
            </w:r>
          </w:p>
        </w:tc>
      </w:tr>
      <w:tr>
        <w:trPr>
          <w:trHeight w:val="257"/>
        </w:trPr>
        <w:tc>
          <w:tcPr>
            <w:tcW w:w="4360" w:type="dxa"/>
            <w:vAlign w:val="bottom"/>
            <w:tcBorders>
              <w:bottom w:val="single" w:sz="8" w:color="404040"/>
            </w:tcBorders>
          </w:tcPr>
          <w:p>
            <w:pPr>
              <w:ind w:left="60"/>
              <w:spacing w:after="0" w:line="256" w:lineRule="exact"/>
              <w:rPr>
                <w:sz w:val="20"/>
                <w:szCs w:val="20"/>
                <w:color w:val="auto"/>
              </w:rPr>
            </w:pPr>
            <w:r>
              <w:rPr>
                <w:rFonts w:ascii="Arial" w:cs="Arial" w:eastAsia="Arial" w:hAnsi="Arial"/>
                <w:sz w:val="14"/>
                <w:szCs w:val="14"/>
                <w:color w:val="auto"/>
              </w:rPr>
              <w:t>Charles Compton</w:t>
            </w:r>
            <w:r>
              <w:rPr>
                <w:rFonts w:ascii="Arial" w:cs="Arial" w:eastAsia="Arial" w:hAnsi="Arial"/>
                <w:sz w:val="23"/>
                <w:szCs w:val="23"/>
                <w:color w:val="auto"/>
                <w:vertAlign w:val="superscript"/>
              </w:rPr>
              <w:t>(1)</w:t>
            </w:r>
          </w:p>
        </w:tc>
        <w:tc>
          <w:tcPr>
            <w:tcW w:w="40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$500,000</w:t>
            </w:r>
          </w:p>
        </w:tc>
      </w:tr>
      <w:tr>
        <w:trPr>
          <w:trHeight w:val="201"/>
        </w:trPr>
        <w:tc>
          <w:tcPr>
            <w:tcW w:w="4360" w:type="dxa"/>
            <w:vAlign w:val="bottom"/>
          </w:tcPr>
          <w:p>
            <w:pPr>
              <w:ind w:left="60"/>
              <w:spacing w:after="0"/>
              <w:rPr>
                <w:sz w:val="20"/>
                <w:szCs w:val="20"/>
                <w:color w:val="auto"/>
              </w:rPr>
            </w:pPr>
            <w:r>
              <w:rPr>
                <w:rFonts w:ascii="Arial" w:cs="Arial" w:eastAsia="Arial" w:hAnsi="Arial"/>
                <w:sz w:val="14"/>
                <w:szCs w:val="14"/>
                <w:color w:val="auto"/>
              </w:rPr>
              <w:t>Artur Bergman</w:t>
            </w:r>
          </w:p>
        </w:tc>
        <w:tc>
          <w:tcPr>
            <w:tcW w:w="4060" w:type="dxa"/>
            <w:vAlign w:val="bottom"/>
          </w:tcPr>
          <w:p>
            <w:pPr>
              <w:jc w:val="right"/>
              <w:ind w:right="48"/>
              <w:spacing w:after="0"/>
              <w:rPr>
                <w:sz w:val="20"/>
                <w:szCs w:val="20"/>
                <w:color w:val="auto"/>
              </w:rPr>
            </w:pPr>
            <w:r>
              <w:rPr>
                <w:rFonts w:ascii="Arial" w:cs="Arial" w:eastAsia="Arial" w:hAnsi="Arial"/>
                <w:sz w:val="14"/>
                <w:szCs w:val="14"/>
                <w:color w:val="auto"/>
              </w:rPr>
              <w:t>$165,000</w:t>
            </w:r>
          </w:p>
        </w:tc>
      </w:tr>
      <w:tr>
        <w:trPr>
          <w:trHeight w:val="22"/>
        </w:trPr>
        <w:tc>
          <w:tcPr>
            <w:tcW w:w="4360" w:type="dxa"/>
            <w:vAlign w:val="bottom"/>
            <w:tcBorders>
              <w:bottom w:val="single" w:sz="8" w:color="404040"/>
            </w:tcBorders>
          </w:tcPr>
          <w:p>
            <w:pPr>
              <w:spacing w:after="0" w:line="20" w:lineRule="exact"/>
              <w:rPr>
                <w:sz w:val="1"/>
                <w:szCs w:val="1"/>
                <w:color w:val="auto"/>
              </w:rPr>
            </w:pPr>
          </w:p>
        </w:tc>
        <w:tc>
          <w:tcPr>
            <w:tcW w:w="4060" w:type="dxa"/>
            <w:vAlign w:val="bottom"/>
            <w:tcBorders>
              <w:bottom w:val="single" w:sz="8" w:color="404040"/>
            </w:tcBorders>
          </w:tcPr>
          <w:p>
            <w:pPr>
              <w:spacing w:after="0" w:line="20" w:lineRule="exact"/>
              <w:rPr>
                <w:sz w:val="1"/>
                <w:szCs w:val="1"/>
                <w:color w:val="auto"/>
              </w:rPr>
            </w:pPr>
          </w:p>
        </w:tc>
      </w:tr>
      <w:tr>
        <w:trPr>
          <w:trHeight w:val="250"/>
        </w:trPr>
        <w:tc>
          <w:tcPr>
            <w:tcW w:w="4360" w:type="dxa"/>
            <w:vAlign w:val="bottom"/>
            <w:tcBorders>
              <w:bottom w:val="single" w:sz="8" w:color="404040"/>
            </w:tcBorders>
          </w:tcPr>
          <w:p>
            <w:pPr>
              <w:ind w:left="60"/>
              <w:spacing w:after="0" w:line="250" w:lineRule="exact"/>
              <w:rPr>
                <w:sz w:val="20"/>
                <w:szCs w:val="20"/>
                <w:color w:val="auto"/>
              </w:rPr>
            </w:pPr>
            <w:r>
              <w:rPr>
                <w:rFonts w:ascii="Arial" w:cs="Arial" w:eastAsia="Arial" w:hAnsi="Arial"/>
                <w:sz w:val="14"/>
                <w:szCs w:val="14"/>
                <w:color w:val="auto"/>
              </w:rPr>
              <w:t>Richard Wong</w:t>
            </w:r>
            <w:r>
              <w:rPr>
                <w:rFonts w:ascii="Arial" w:cs="Arial" w:eastAsia="Arial" w:hAnsi="Arial"/>
                <w:sz w:val="23"/>
                <w:szCs w:val="23"/>
                <w:color w:val="auto"/>
                <w:vertAlign w:val="superscript"/>
              </w:rPr>
              <w:t>(2)</w:t>
            </w:r>
          </w:p>
        </w:tc>
        <w:tc>
          <w:tcPr>
            <w:tcW w:w="40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$315,000</w:t>
            </w:r>
          </w:p>
        </w:tc>
      </w:tr>
      <w:tr>
        <w:trPr>
          <w:trHeight w:val="250"/>
        </w:trPr>
        <w:tc>
          <w:tcPr>
            <w:tcW w:w="4360" w:type="dxa"/>
            <w:vAlign w:val="bottom"/>
            <w:tcBorders>
              <w:bottom w:val="single" w:sz="8" w:color="404040"/>
            </w:tcBorders>
          </w:tcPr>
          <w:p>
            <w:pPr>
              <w:ind w:left="60"/>
              <w:spacing w:after="0" w:line="250" w:lineRule="exact"/>
              <w:rPr>
                <w:sz w:val="20"/>
                <w:szCs w:val="20"/>
                <w:color w:val="auto"/>
              </w:rPr>
            </w:pPr>
            <w:r>
              <w:rPr>
                <w:rFonts w:ascii="Arial" w:cs="Arial" w:eastAsia="Arial" w:hAnsi="Arial"/>
                <w:sz w:val="14"/>
                <w:szCs w:val="14"/>
                <w:color w:val="auto"/>
              </w:rPr>
              <w:t>Todd Nightingale</w:t>
            </w:r>
            <w:r>
              <w:rPr>
                <w:rFonts w:ascii="Arial" w:cs="Arial" w:eastAsia="Arial" w:hAnsi="Arial"/>
                <w:sz w:val="23"/>
                <w:szCs w:val="23"/>
                <w:color w:val="auto"/>
                <w:vertAlign w:val="superscript"/>
              </w:rPr>
              <w:t>(3)</w:t>
            </w:r>
          </w:p>
        </w:tc>
        <w:tc>
          <w:tcPr>
            <w:tcW w:w="40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$600,000</w:t>
            </w:r>
          </w:p>
        </w:tc>
      </w:tr>
      <w:tr>
        <w:trPr>
          <w:trHeight w:val="210"/>
        </w:trPr>
        <w:tc>
          <w:tcPr>
            <w:tcW w:w="4360" w:type="dxa"/>
            <w:vAlign w:val="bottom"/>
            <w:tcBorders>
              <w:bottom w:val="single" w:sz="8" w:color="404040"/>
            </w:tcBorders>
          </w:tcPr>
          <w:p>
            <w:pPr>
              <w:ind w:left="60"/>
              <w:spacing w:after="0" w:line="210" w:lineRule="exact"/>
              <w:rPr>
                <w:sz w:val="20"/>
                <w:szCs w:val="20"/>
                <w:color w:val="auto"/>
              </w:rPr>
            </w:pPr>
            <w:r>
              <w:rPr>
                <w:rFonts w:ascii="Arial" w:cs="Arial" w:eastAsia="Arial" w:hAnsi="Arial"/>
                <w:sz w:val="14"/>
                <w:szCs w:val="14"/>
                <w:color w:val="auto"/>
              </w:rPr>
              <w:t>Ronald Kisling</w:t>
            </w:r>
            <w:r>
              <w:rPr>
                <w:rFonts w:ascii="Arial" w:cs="Arial" w:eastAsia="Arial" w:hAnsi="Arial"/>
                <w:sz w:val="23"/>
                <w:szCs w:val="23"/>
                <w:color w:val="auto"/>
                <w:vertAlign w:val="superscript"/>
              </w:rPr>
              <w:t>(4)</w:t>
            </w:r>
          </w:p>
        </w:tc>
        <w:tc>
          <w:tcPr>
            <w:tcW w:w="40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$150,000</w:t>
            </w:r>
          </w:p>
        </w:tc>
      </w:tr>
    </w:tbl>
    <w:p>
      <w:pPr>
        <w:spacing w:after="0" w:line="252" w:lineRule="exact"/>
        <w:rPr>
          <w:sz w:val="20"/>
          <w:szCs w:val="20"/>
          <w:color w:val="auto"/>
        </w:rPr>
      </w:pPr>
    </w:p>
    <w:p>
      <w:pPr>
        <w:jc w:val="both"/>
        <w:ind w:left="1000" w:right="299" w:hanging="348"/>
        <w:spacing w:after="0" w:line="233"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Compton served as our CEO from June 16, 2025. The amount shown in this table is his 2025 CEO Target Bonus and does not reflect proration due to his start date. For Mr. Compton’s service as our Chief Product Officer prior to June 16, 2025, his 2025 Target Bonus was $200,000. His prorated 2025 Target Bonus is $363,562.</w:t>
      </w:r>
    </w:p>
    <w:p>
      <w:pPr>
        <w:ind w:left="1000" w:right="299" w:hanging="348"/>
        <w:spacing w:after="0" w:line="238" w:lineRule="auto"/>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Wong served as our Chief Financial Officer from August 11, 2025. The amount shown in this table is his 2025 Target Bonus and does not reflect proration due to his start date. His prorated 2025 Target Bonus is $123,417.</w:t>
      </w:r>
    </w:p>
    <w:p>
      <w:pPr>
        <w:spacing w:after="0" w:line="10" w:lineRule="exact"/>
        <w:rPr>
          <w:rFonts w:ascii="Arial" w:cs="Arial" w:eastAsia="Arial" w:hAnsi="Arial"/>
          <w:sz w:val="13"/>
          <w:szCs w:val="13"/>
          <w:color w:val="auto"/>
        </w:rPr>
      </w:pPr>
    </w:p>
    <w:p>
      <w:pPr>
        <w:ind w:left="1000" w:hanging="348"/>
        <w:spacing w:after="0"/>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Nightingale resigned from his position as CEO effective June 16, 2025 and did not receive any portion of his Target Bonus.</w:t>
      </w:r>
    </w:p>
    <w:p>
      <w:pPr>
        <w:spacing w:after="0" w:line="26" w:lineRule="exact"/>
        <w:rPr>
          <w:rFonts w:ascii="Arial" w:cs="Arial" w:eastAsia="Arial" w:hAnsi="Arial"/>
          <w:sz w:val="13"/>
          <w:szCs w:val="13"/>
          <w:color w:val="auto"/>
        </w:rPr>
      </w:pPr>
    </w:p>
    <w:p>
      <w:pPr>
        <w:ind w:left="1000" w:hanging="348"/>
        <w:spacing w:after="0"/>
        <w:tabs>
          <w:tab w:leader="none" w:pos="1000"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Kisling ceased serving as our Chief Financial Officer on August 11, 2025 and did not receive any portion of his Target Bonus.</w:t>
      </w:r>
    </w:p>
    <w:p>
      <w:pPr>
        <w:spacing w:after="0" w:line="124" w:lineRule="exact"/>
        <w:rPr>
          <w:sz w:val="20"/>
          <w:szCs w:val="20"/>
          <w:color w:val="auto"/>
        </w:rPr>
      </w:pPr>
    </w:p>
    <w:p>
      <w:pPr>
        <w:jc w:val="both"/>
        <w:ind w:left="660" w:right="299"/>
        <w:spacing w:after="0" w:line="253" w:lineRule="auto"/>
        <w:rPr>
          <w:sz w:val="20"/>
          <w:szCs w:val="20"/>
          <w:color w:val="auto"/>
        </w:rPr>
      </w:pPr>
      <w:r>
        <w:rPr>
          <w:rFonts w:ascii="Arial" w:cs="Arial" w:eastAsia="Arial" w:hAnsi="Arial"/>
          <w:sz w:val="16"/>
          <w:szCs w:val="16"/>
          <w:color w:val="auto"/>
        </w:rPr>
        <w:t>The 2025 Bonus Program was based on our level of revenue achievement and a non-GAAP operating loss as a percentage of revenue goal for the year, with revenue weighted 66.7% and non-GAAP operating loss as a percentage of revenue weighted 33.3% (See Appendix A for a reconciliation of non-GAAP operating loss). The Compensation Committee believes that revenue and non-GAAP operating loss as a percentage of revenue goals were appropriate measures given our emphasis on growth and the importance of revenue growth and reduction of operating expenses as a driver of our overall financial performance. For fiscal year 2025, the Compensation Committee established a target revenue goal of $600.0 million, representing a 10.36% year-over-year growth</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38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type w:val="continuous"/>
        </w:sectPr>
      </w:pPr>
    </w:p>
    <w:bookmarkStart w:id="44" w:name="page45"/>
    <w:bookmarkEnd w:id="44"/>
    <w:p>
      <w:pPr>
        <w:ind w:left="64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left="1300" w:right="1300"/>
        <w:spacing w:after="0" w:line="259" w:lineRule="auto"/>
        <w:rPr>
          <w:sz w:val="20"/>
          <w:szCs w:val="20"/>
          <w:color w:val="auto"/>
        </w:rPr>
      </w:pPr>
      <w:r>
        <w:rPr>
          <w:rFonts w:ascii="Arial" w:cs="Arial" w:eastAsia="Arial" w:hAnsi="Arial"/>
          <w:sz w:val="16"/>
          <w:szCs w:val="16"/>
          <w:color w:val="auto"/>
        </w:rPr>
        <w:t>rate over the $543.7 million in actual revenue achieved in fiscal year 2024. In February 2025, the Compensation Committee approved the following threshold, target and maximum performance goals that were used to determine the payouts, with achievement between threshold, target and maximum payout to be determined linearly (“2025 Objectives”):</w:t>
      </w:r>
    </w:p>
    <w:p>
      <w:pPr>
        <w:spacing w:after="0" w:line="210" w:lineRule="exact"/>
        <w:rPr>
          <w:sz w:val="20"/>
          <w:szCs w:val="20"/>
          <w:color w:val="auto"/>
        </w:rPr>
      </w:pPr>
    </w:p>
    <w:tbl>
      <w:tblPr>
        <w:tblLayout w:type="fixed"/>
        <w:tblInd w:w="1300" w:type="dxa"/>
        <w:tblCellMar>
          <w:top w:w="0" w:type="dxa"/>
          <w:left w:w="0" w:type="dxa"/>
          <w:bottom w:w="0" w:type="dxa"/>
          <w:right w:w="0" w:type="dxa"/>
        </w:tblCellMar>
      </w:tblPr>
      <w:tr>
        <w:trPr>
          <w:trHeight w:val="205"/>
        </w:trPr>
        <w:tc>
          <w:tcPr>
            <w:tcW w:w="40" w:type="dxa"/>
            <w:vAlign w:val="bottom"/>
          </w:tcPr>
          <w:p>
            <w:pPr>
              <w:spacing w:after="0"/>
              <w:rPr>
                <w:sz w:val="17"/>
                <w:szCs w:val="17"/>
                <w:color w:val="auto"/>
              </w:rPr>
            </w:pPr>
          </w:p>
        </w:tc>
        <w:tc>
          <w:tcPr>
            <w:tcW w:w="900" w:type="dxa"/>
            <w:vAlign w:val="bottom"/>
            <w:tcBorders>
              <w:bottom w:val="single" w:sz="8" w:color="404040"/>
            </w:tcBorders>
          </w:tcPr>
          <w:p>
            <w:pPr>
              <w:spacing w:after="0"/>
              <w:rPr>
                <w:sz w:val="17"/>
                <w:szCs w:val="17"/>
                <w:color w:val="auto"/>
              </w:rPr>
            </w:pPr>
          </w:p>
        </w:tc>
        <w:tc>
          <w:tcPr>
            <w:tcW w:w="202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Revenue Performance Goal</w:t>
            </w:r>
          </w:p>
        </w:tc>
        <w:tc>
          <w:tcPr>
            <w:tcW w:w="940" w:type="dxa"/>
            <w:vAlign w:val="bottom"/>
            <w:tcBorders>
              <w:bottom w:val="single" w:sz="8" w:color="404040"/>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180"/>
        </w:trPr>
        <w:tc>
          <w:tcPr>
            <w:tcW w:w="40" w:type="dxa"/>
            <w:vAlign w:val="bottom"/>
          </w:tcPr>
          <w:p>
            <w:pPr>
              <w:spacing w:after="0"/>
              <w:rPr>
                <w:sz w:val="15"/>
                <w:szCs w:val="15"/>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Threshold</w:t>
            </w:r>
          </w:p>
        </w:tc>
        <w:tc>
          <w:tcPr>
            <w:tcW w:w="2020" w:type="dxa"/>
            <w:vAlign w:val="bottom"/>
          </w:tcPr>
          <w:p>
            <w:pPr>
              <w:jc w:val="right"/>
              <w:ind w:right="448"/>
              <w:spacing w:after="0"/>
              <w:rPr>
                <w:sz w:val="20"/>
                <w:szCs w:val="20"/>
                <w:color w:val="auto"/>
              </w:rPr>
            </w:pPr>
            <w:r>
              <w:rPr>
                <w:rFonts w:ascii="Arial" w:cs="Arial" w:eastAsia="Arial" w:hAnsi="Arial"/>
                <w:sz w:val="14"/>
                <w:szCs w:val="14"/>
                <w:b w:val="1"/>
                <w:bCs w:val="1"/>
                <w:color w:val="auto"/>
              </w:rPr>
              <w:t>Target</w:t>
            </w:r>
          </w:p>
        </w:tc>
        <w:tc>
          <w:tcPr>
            <w:tcW w:w="1220" w:type="dxa"/>
            <w:vAlign w:val="bottom"/>
            <w:gridSpan w:val="3"/>
          </w:tcPr>
          <w:p>
            <w:pPr>
              <w:ind w:left="620"/>
              <w:spacing w:after="0"/>
              <w:rPr>
                <w:sz w:val="20"/>
                <w:szCs w:val="20"/>
                <w:color w:val="auto"/>
              </w:rPr>
            </w:pPr>
            <w:r>
              <w:rPr>
                <w:rFonts w:ascii="Arial" w:cs="Arial" w:eastAsia="Arial" w:hAnsi="Arial"/>
                <w:sz w:val="14"/>
                <w:szCs w:val="14"/>
                <w:b w:val="1"/>
                <w:bCs w:val="1"/>
                <w:color w:val="auto"/>
              </w:rPr>
              <w:t>Max</w:t>
            </w:r>
          </w:p>
        </w:tc>
        <w:tc>
          <w:tcPr>
            <w:tcW w:w="1440" w:type="dxa"/>
            <w:vAlign w:val="bottom"/>
          </w:tcPr>
          <w:p>
            <w:pPr>
              <w:ind w:left="660"/>
              <w:spacing w:after="0"/>
              <w:rPr>
                <w:sz w:val="20"/>
                <w:szCs w:val="20"/>
                <w:color w:val="auto"/>
              </w:rPr>
            </w:pPr>
            <w:r>
              <w:rPr>
                <w:rFonts w:ascii="Arial" w:cs="Arial" w:eastAsia="Arial" w:hAnsi="Arial"/>
                <w:sz w:val="14"/>
                <w:szCs w:val="14"/>
                <w:b w:val="1"/>
                <w:bCs w:val="1"/>
                <w:color w:val="auto"/>
              </w:rPr>
              <w:t>Actual</w:t>
            </w:r>
          </w:p>
        </w:tc>
        <w:tc>
          <w:tcPr>
            <w:tcW w:w="144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Weighted</w:t>
            </w:r>
          </w:p>
        </w:tc>
      </w:tr>
      <w:tr>
        <w:trPr>
          <w:trHeight w:val="205"/>
        </w:trPr>
        <w:tc>
          <w:tcPr>
            <w:tcW w:w="40" w:type="dxa"/>
            <w:vAlign w:val="bottom"/>
            <w:tcBorders>
              <w:bottom w:val="single" w:sz="8" w:color="404040"/>
            </w:tcBorders>
          </w:tcPr>
          <w:p>
            <w:pPr>
              <w:spacing w:after="0"/>
              <w:rPr>
                <w:sz w:val="17"/>
                <w:szCs w:val="17"/>
                <w:color w:val="auto"/>
              </w:rPr>
            </w:pPr>
          </w:p>
        </w:tc>
        <w:tc>
          <w:tcPr>
            <w:tcW w:w="900" w:type="dxa"/>
            <w:vAlign w:val="bottom"/>
            <w:tcBorders>
              <w:bottom w:val="single" w:sz="8" w:color="404040"/>
            </w:tcBorders>
          </w:tcPr>
          <w:p>
            <w:pPr>
              <w:ind w:left="20"/>
              <w:spacing w:after="0"/>
              <w:rPr>
                <w:sz w:val="20"/>
                <w:szCs w:val="20"/>
                <w:color w:val="auto"/>
              </w:rPr>
            </w:pPr>
            <w:r>
              <w:rPr>
                <w:rFonts w:ascii="Arial" w:cs="Arial" w:eastAsia="Arial" w:hAnsi="Arial"/>
                <w:sz w:val="14"/>
                <w:szCs w:val="14"/>
                <w:b w:val="1"/>
                <w:bCs w:val="1"/>
                <w:color w:val="auto"/>
              </w:rPr>
              <w:t>50% Payout</w:t>
            </w:r>
          </w:p>
        </w:tc>
        <w:tc>
          <w:tcPr>
            <w:tcW w:w="2020" w:type="dxa"/>
            <w:vAlign w:val="bottom"/>
            <w:tcBorders>
              <w:bottom w:val="single" w:sz="8" w:color="404040"/>
            </w:tcBorders>
          </w:tcPr>
          <w:p>
            <w:pPr>
              <w:jc w:val="right"/>
              <w:ind w:right="408"/>
              <w:spacing w:after="0"/>
              <w:rPr>
                <w:sz w:val="20"/>
                <w:szCs w:val="20"/>
                <w:color w:val="auto"/>
              </w:rPr>
            </w:pPr>
            <w:r>
              <w:rPr>
                <w:rFonts w:ascii="Arial" w:cs="Arial" w:eastAsia="Arial" w:hAnsi="Arial"/>
                <w:sz w:val="14"/>
                <w:szCs w:val="14"/>
                <w:b w:val="1"/>
                <w:bCs w:val="1"/>
                <w:color w:val="auto"/>
              </w:rPr>
              <w:t>100% Payout</w:t>
            </w:r>
          </w:p>
        </w:tc>
        <w:tc>
          <w:tcPr>
            <w:tcW w:w="1220" w:type="dxa"/>
            <w:vAlign w:val="bottom"/>
            <w:tcBorders>
              <w:bottom w:val="single" w:sz="8" w:color="404040"/>
            </w:tcBorders>
            <w:gridSpan w:val="3"/>
          </w:tcPr>
          <w:p>
            <w:pPr>
              <w:jc w:val="right"/>
              <w:ind w:right="280"/>
              <w:spacing w:after="0"/>
              <w:rPr>
                <w:sz w:val="20"/>
                <w:szCs w:val="20"/>
                <w:color w:val="auto"/>
              </w:rPr>
            </w:pPr>
            <w:r>
              <w:rPr>
                <w:rFonts w:ascii="Arial" w:cs="Arial" w:eastAsia="Arial" w:hAnsi="Arial"/>
                <w:sz w:val="14"/>
                <w:szCs w:val="14"/>
                <w:b w:val="1"/>
                <w:bCs w:val="1"/>
                <w:color w:val="auto"/>
              </w:rPr>
              <w:t>150% Payout</w:t>
            </w:r>
          </w:p>
        </w:tc>
        <w:tc>
          <w:tcPr>
            <w:tcW w:w="1440" w:type="dxa"/>
            <w:vAlign w:val="bottom"/>
            <w:tcBorders>
              <w:bottom w:val="single" w:sz="8" w:color="404040"/>
            </w:tcBorders>
          </w:tcPr>
          <w:p>
            <w:pPr>
              <w:ind w:left="240"/>
              <w:spacing w:after="0"/>
              <w:rPr>
                <w:sz w:val="20"/>
                <w:szCs w:val="20"/>
                <w:color w:val="auto"/>
              </w:rPr>
            </w:pPr>
            <w:r>
              <w:rPr>
                <w:rFonts w:ascii="Arial" w:cs="Arial" w:eastAsia="Arial" w:hAnsi="Arial"/>
                <w:sz w:val="14"/>
                <w:szCs w:val="14"/>
                <w:b w:val="1"/>
                <w:bCs w:val="1"/>
                <w:color w:val="auto"/>
              </w:rPr>
              <w:t>Achievement</w:t>
            </w:r>
          </w:p>
        </w:tc>
        <w:tc>
          <w:tcPr>
            <w:tcW w:w="144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b w:val="1"/>
                <w:bCs w:val="1"/>
                <w:color w:val="auto"/>
              </w:rPr>
              <w:t>Payout Factor</w:t>
            </w:r>
          </w:p>
        </w:tc>
        <w:tc>
          <w:tcPr>
            <w:tcW w:w="13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Payout Factor</w:t>
            </w:r>
          </w:p>
        </w:tc>
      </w:tr>
      <w:tr>
        <w:trPr>
          <w:trHeight w:val="189"/>
        </w:trPr>
        <w:tc>
          <w:tcPr>
            <w:tcW w:w="40" w:type="dxa"/>
            <w:vAlign w:val="bottom"/>
            <w:tcBorders>
              <w:bottom w:val="single" w:sz="8" w:color="404040"/>
            </w:tcBorders>
          </w:tcPr>
          <w:p>
            <w:pPr>
              <w:spacing w:after="0"/>
              <w:rPr>
                <w:sz w:val="16"/>
                <w:szCs w:val="16"/>
                <w:color w:val="auto"/>
              </w:rPr>
            </w:pPr>
          </w:p>
        </w:tc>
        <w:tc>
          <w:tcPr>
            <w:tcW w:w="900" w:type="dxa"/>
            <w:vAlign w:val="bottom"/>
            <w:tcBorders>
              <w:bottom w:val="single" w:sz="8" w:color="404040"/>
            </w:tcBorders>
          </w:tcPr>
          <w:p>
            <w:pPr>
              <w:ind w:left="20"/>
              <w:spacing w:after="0"/>
              <w:rPr>
                <w:sz w:val="20"/>
                <w:szCs w:val="20"/>
                <w:color w:val="auto"/>
              </w:rPr>
            </w:pPr>
            <w:r>
              <w:rPr>
                <w:rFonts w:ascii="Arial" w:cs="Arial" w:eastAsia="Arial" w:hAnsi="Arial"/>
                <w:sz w:val="14"/>
                <w:szCs w:val="14"/>
                <w:color w:val="auto"/>
              </w:rPr>
              <w:t>$557.4M</w:t>
            </w:r>
          </w:p>
        </w:tc>
        <w:tc>
          <w:tcPr>
            <w:tcW w:w="2020" w:type="dxa"/>
            <w:vAlign w:val="bottom"/>
            <w:tcBorders>
              <w:bottom w:val="single" w:sz="8" w:color="404040"/>
            </w:tcBorders>
          </w:tcPr>
          <w:p>
            <w:pPr>
              <w:jc w:val="right"/>
              <w:ind w:right="408"/>
              <w:spacing w:after="0"/>
              <w:rPr>
                <w:sz w:val="20"/>
                <w:szCs w:val="20"/>
                <w:color w:val="auto"/>
              </w:rPr>
            </w:pPr>
            <w:r>
              <w:rPr>
                <w:rFonts w:ascii="Arial" w:cs="Arial" w:eastAsia="Arial" w:hAnsi="Arial"/>
                <w:sz w:val="14"/>
                <w:szCs w:val="14"/>
                <w:color w:val="auto"/>
              </w:rPr>
              <w:t>$600.0M</w:t>
            </w:r>
          </w:p>
        </w:tc>
        <w:tc>
          <w:tcPr>
            <w:tcW w:w="1220" w:type="dxa"/>
            <w:vAlign w:val="bottom"/>
            <w:tcBorders>
              <w:bottom w:val="single" w:sz="8" w:color="404040"/>
            </w:tcBorders>
            <w:gridSpan w:val="3"/>
          </w:tcPr>
          <w:p>
            <w:pPr>
              <w:jc w:val="right"/>
              <w:ind w:right="300"/>
              <w:spacing w:after="0"/>
              <w:rPr>
                <w:sz w:val="20"/>
                <w:szCs w:val="20"/>
                <w:color w:val="auto"/>
              </w:rPr>
            </w:pPr>
            <w:r>
              <w:rPr>
                <w:rFonts w:ascii="Arial" w:cs="Arial" w:eastAsia="Arial" w:hAnsi="Arial"/>
                <w:sz w:val="14"/>
                <w:szCs w:val="14"/>
                <w:color w:val="auto"/>
              </w:rPr>
              <w:t>$642.6M</w:t>
            </w:r>
          </w:p>
        </w:tc>
        <w:tc>
          <w:tcPr>
            <w:tcW w:w="1440" w:type="dxa"/>
            <w:vAlign w:val="bottom"/>
            <w:tcBorders>
              <w:bottom w:val="single" w:sz="8" w:color="404040"/>
            </w:tcBorders>
          </w:tcPr>
          <w:p>
            <w:pPr>
              <w:ind w:left="700"/>
              <w:spacing w:after="0"/>
              <w:rPr>
                <w:sz w:val="20"/>
                <w:szCs w:val="20"/>
                <w:color w:val="auto"/>
              </w:rPr>
            </w:pPr>
            <w:r>
              <w:rPr>
                <w:rFonts w:ascii="Arial" w:cs="Arial" w:eastAsia="Arial" w:hAnsi="Arial"/>
                <w:sz w:val="14"/>
                <w:szCs w:val="14"/>
                <w:color w:val="auto"/>
              </w:rPr>
              <w:t>$624M</w:t>
            </w:r>
          </w:p>
        </w:tc>
        <w:tc>
          <w:tcPr>
            <w:tcW w:w="1440" w:type="dxa"/>
            <w:vAlign w:val="bottom"/>
            <w:tcBorders>
              <w:bottom w:val="single" w:sz="8" w:color="404040"/>
            </w:tcBorders>
          </w:tcPr>
          <w:p>
            <w:pPr>
              <w:jc w:val="right"/>
              <w:ind w:right="168"/>
              <w:spacing w:after="0"/>
              <w:rPr>
                <w:sz w:val="20"/>
                <w:szCs w:val="20"/>
                <w:color w:val="auto"/>
              </w:rPr>
            </w:pPr>
            <w:r>
              <w:rPr>
                <w:rFonts w:ascii="Arial" w:cs="Arial" w:eastAsia="Arial" w:hAnsi="Arial"/>
                <w:sz w:val="14"/>
                <w:szCs w:val="14"/>
                <w:color w:val="auto"/>
              </w:rPr>
              <w:t>128.2%</w:t>
            </w:r>
          </w:p>
        </w:tc>
        <w:tc>
          <w:tcPr>
            <w:tcW w:w="13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85.4% of Target</w:t>
            </w:r>
          </w:p>
        </w:tc>
      </w:tr>
      <w:tr>
        <w:trPr>
          <w:trHeight w:val="405"/>
        </w:trPr>
        <w:tc>
          <w:tcPr>
            <w:tcW w:w="40" w:type="dxa"/>
            <w:vAlign w:val="bottom"/>
          </w:tcPr>
          <w:p>
            <w:pPr>
              <w:spacing w:after="0"/>
              <w:rPr>
                <w:sz w:val="24"/>
                <w:szCs w:val="24"/>
                <w:color w:val="auto"/>
              </w:rPr>
            </w:pPr>
          </w:p>
        </w:tc>
        <w:tc>
          <w:tcPr>
            <w:tcW w:w="3900" w:type="dxa"/>
            <w:vAlign w:val="bottom"/>
            <w:tcBorders>
              <w:bottom w:val="single" w:sz="8" w:color="404040"/>
            </w:tcBorders>
            <w:gridSpan w:val="4"/>
          </w:tcPr>
          <w:p>
            <w:pPr>
              <w:ind w:left="380"/>
              <w:spacing w:after="0"/>
              <w:rPr>
                <w:sz w:val="20"/>
                <w:szCs w:val="20"/>
                <w:color w:val="auto"/>
              </w:rPr>
            </w:pPr>
            <w:r>
              <w:rPr>
                <w:rFonts w:ascii="Arial" w:cs="Arial" w:eastAsia="Arial" w:hAnsi="Arial"/>
                <w:sz w:val="14"/>
                <w:szCs w:val="14"/>
                <w:b w:val="1"/>
                <w:bCs w:val="1"/>
                <w:color w:val="auto"/>
              </w:rPr>
              <w:t>Non-GAAP Operating Loss% of Revenue Goal</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80"/>
        </w:trPr>
        <w:tc>
          <w:tcPr>
            <w:tcW w:w="40" w:type="dxa"/>
            <w:vAlign w:val="bottom"/>
          </w:tcPr>
          <w:p>
            <w:pPr>
              <w:spacing w:after="0"/>
              <w:rPr>
                <w:sz w:val="15"/>
                <w:szCs w:val="15"/>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Threshold</w:t>
            </w:r>
          </w:p>
        </w:tc>
        <w:tc>
          <w:tcPr>
            <w:tcW w:w="2020" w:type="dxa"/>
            <w:vAlign w:val="bottom"/>
          </w:tcPr>
          <w:p>
            <w:pPr>
              <w:jc w:val="right"/>
              <w:ind w:right="408"/>
              <w:spacing w:after="0"/>
              <w:rPr>
                <w:sz w:val="20"/>
                <w:szCs w:val="20"/>
                <w:color w:val="auto"/>
              </w:rPr>
            </w:pPr>
            <w:r>
              <w:rPr>
                <w:rFonts w:ascii="Arial" w:cs="Arial" w:eastAsia="Arial" w:hAnsi="Arial"/>
                <w:sz w:val="14"/>
                <w:szCs w:val="14"/>
                <w:b w:val="1"/>
                <w:bCs w:val="1"/>
                <w:color w:val="auto"/>
              </w:rPr>
              <w:t>Target</w:t>
            </w:r>
          </w:p>
        </w:tc>
        <w:tc>
          <w:tcPr>
            <w:tcW w:w="12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Max</w:t>
            </w:r>
          </w:p>
        </w:tc>
        <w:tc>
          <w:tcPr>
            <w:tcW w:w="1440" w:type="dxa"/>
            <w:vAlign w:val="bottom"/>
          </w:tcPr>
          <w:p>
            <w:pPr>
              <w:ind w:left="700"/>
              <w:spacing w:after="0"/>
              <w:rPr>
                <w:sz w:val="20"/>
                <w:szCs w:val="20"/>
                <w:color w:val="auto"/>
              </w:rPr>
            </w:pPr>
            <w:r>
              <w:rPr>
                <w:rFonts w:ascii="Arial" w:cs="Arial" w:eastAsia="Arial" w:hAnsi="Arial"/>
                <w:sz w:val="14"/>
                <w:szCs w:val="14"/>
                <w:b w:val="1"/>
                <w:bCs w:val="1"/>
                <w:color w:val="auto"/>
              </w:rPr>
              <w:t>Actual</w:t>
            </w:r>
          </w:p>
        </w:tc>
        <w:tc>
          <w:tcPr>
            <w:tcW w:w="1440" w:type="dxa"/>
            <w:vAlign w:val="bottom"/>
          </w:tcPr>
          <w:p>
            <w:pPr>
              <w:spacing w:after="0"/>
              <w:rPr>
                <w:sz w:val="15"/>
                <w:szCs w:val="15"/>
                <w:color w:val="auto"/>
              </w:rPr>
            </w:pPr>
          </w:p>
        </w:tc>
        <w:tc>
          <w:tcPr>
            <w:tcW w:w="1360" w:type="dxa"/>
            <w:vAlign w:val="bottom"/>
          </w:tcPr>
          <w:p>
            <w:pPr>
              <w:jc w:val="right"/>
              <w:ind w:right="88"/>
              <w:spacing w:after="0"/>
              <w:rPr>
                <w:sz w:val="20"/>
                <w:szCs w:val="20"/>
                <w:color w:val="auto"/>
              </w:rPr>
            </w:pPr>
            <w:r>
              <w:rPr>
                <w:rFonts w:ascii="Arial" w:cs="Arial" w:eastAsia="Arial" w:hAnsi="Arial"/>
                <w:sz w:val="14"/>
                <w:szCs w:val="14"/>
                <w:b w:val="1"/>
                <w:bCs w:val="1"/>
                <w:color w:val="auto"/>
              </w:rPr>
              <w:t>Weighted</w:t>
            </w:r>
          </w:p>
        </w:tc>
      </w:tr>
      <w:tr>
        <w:trPr>
          <w:trHeight w:val="205"/>
        </w:trPr>
        <w:tc>
          <w:tcPr>
            <w:tcW w:w="40" w:type="dxa"/>
            <w:vAlign w:val="bottom"/>
            <w:tcBorders>
              <w:bottom w:val="single" w:sz="8" w:color="404040"/>
            </w:tcBorders>
          </w:tcPr>
          <w:p>
            <w:pPr>
              <w:spacing w:after="0"/>
              <w:rPr>
                <w:sz w:val="17"/>
                <w:szCs w:val="17"/>
                <w:color w:val="auto"/>
              </w:rPr>
            </w:pPr>
          </w:p>
        </w:tc>
        <w:tc>
          <w:tcPr>
            <w:tcW w:w="900" w:type="dxa"/>
            <w:vAlign w:val="bottom"/>
            <w:tcBorders>
              <w:bottom w:val="single" w:sz="8" w:color="404040"/>
            </w:tcBorders>
          </w:tcPr>
          <w:p>
            <w:pPr>
              <w:ind w:left="20"/>
              <w:spacing w:after="0"/>
              <w:rPr>
                <w:sz w:val="20"/>
                <w:szCs w:val="20"/>
                <w:color w:val="auto"/>
              </w:rPr>
            </w:pPr>
            <w:r>
              <w:rPr>
                <w:rFonts w:ascii="Arial" w:cs="Arial" w:eastAsia="Arial" w:hAnsi="Arial"/>
                <w:sz w:val="14"/>
                <w:szCs w:val="14"/>
                <w:b w:val="1"/>
                <w:bCs w:val="1"/>
                <w:color w:val="auto"/>
              </w:rPr>
              <w:t>50% Payout</w:t>
            </w:r>
          </w:p>
        </w:tc>
        <w:tc>
          <w:tcPr>
            <w:tcW w:w="2020" w:type="dxa"/>
            <w:vAlign w:val="bottom"/>
            <w:tcBorders>
              <w:bottom w:val="single" w:sz="8" w:color="404040"/>
            </w:tcBorders>
          </w:tcPr>
          <w:p>
            <w:pPr>
              <w:jc w:val="right"/>
              <w:ind w:right="368"/>
              <w:spacing w:after="0"/>
              <w:rPr>
                <w:sz w:val="20"/>
                <w:szCs w:val="20"/>
                <w:color w:val="auto"/>
              </w:rPr>
            </w:pPr>
            <w:r>
              <w:rPr>
                <w:rFonts w:ascii="Arial" w:cs="Arial" w:eastAsia="Arial" w:hAnsi="Arial"/>
                <w:sz w:val="14"/>
                <w:szCs w:val="14"/>
                <w:b w:val="1"/>
                <w:bCs w:val="1"/>
                <w:color w:val="auto"/>
              </w:rPr>
              <w:t>100% Payout</w:t>
            </w:r>
          </w:p>
        </w:tc>
        <w:tc>
          <w:tcPr>
            <w:tcW w:w="1220" w:type="dxa"/>
            <w:vAlign w:val="bottom"/>
            <w:tcBorders>
              <w:bottom w:val="single" w:sz="8" w:color="404040"/>
            </w:tcBorders>
            <w:gridSpan w:val="3"/>
          </w:tcPr>
          <w:p>
            <w:pPr>
              <w:ind w:left="80"/>
              <w:spacing w:after="0"/>
              <w:rPr>
                <w:sz w:val="20"/>
                <w:szCs w:val="20"/>
                <w:color w:val="auto"/>
              </w:rPr>
            </w:pPr>
            <w:r>
              <w:rPr>
                <w:rFonts w:ascii="Arial" w:cs="Arial" w:eastAsia="Arial" w:hAnsi="Arial"/>
                <w:sz w:val="14"/>
                <w:szCs w:val="14"/>
                <w:b w:val="1"/>
                <w:bCs w:val="1"/>
                <w:color w:val="auto"/>
              </w:rPr>
              <w:t>150% Payout</w:t>
            </w:r>
          </w:p>
        </w:tc>
        <w:tc>
          <w:tcPr>
            <w:tcW w:w="1440" w:type="dxa"/>
            <w:vAlign w:val="bottom"/>
            <w:tcBorders>
              <w:bottom w:val="single" w:sz="8" w:color="404040"/>
            </w:tcBorders>
          </w:tcPr>
          <w:p>
            <w:pPr>
              <w:ind w:left="280"/>
              <w:spacing w:after="0"/>
              <w:rPr>
                <w:sz w:val="20"/>
                <w:szCs w:val="20"/>
                <w:color w:val="auto"/>
              </w:rPr>
            </w:pPr>
            <w:r>
              <w:rPr>
                <w:rFonts w:ascii="Arial" w:cs="Arial" w:eastAsia="Arial" w:hAnsi="Arial"/>
                <w:sz w:val="14"/>
                <w:szCs w:val="14"/>
                <w:b w:val="1"/>
                <w:bCs w:val="1"/>
                <w:color w:val="auto"/>
              </w:rPr>
              <w:t>Achievement</w:t>
            </w:r>
          </w:p>
        </w:tc>
        <w:tc>
          <w:tcPr>
            <w:tcW w:w="144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b w:val="1"/>
                <w:bCs w:val="1"/>
                <w:color w:val="auto"/>
              </w:rPr>
              <w:t>Payout Factor</w:t>
            </w:r>
          </w:p>
        </w:tc>
        <w:tc>
          <w:tcPr>
            <w:tcW w:w="13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Payout Factor</w:t>
            </w:r>
          </w:p>
        </w:tc>
      </w:tr>
      <w:tr>
        <w:trPr>
          <w:trHeight w:val="208"/>
        </w:trPr>
        <w:tc>
          <w:tcPr>
            <w:tcW w:w="40" w:type="dxa"/>
            <w:vAlign w:val="bottom"/>
          </w:tcPr>
          <w:p>
            <w:pPr>
              <w:spacing w:after="0"/>
              <w:rPr>
                <w:sz w:val="18"/>
                <w:szCs w:val="18"/>
                <w:color w:val="auto"/>
              </w:rPr>
            </w:pPr>
          </w:p>
        </w:tc>
        <w:tc>
          <w:tcPr>
            <w:tcW w:w="900" w:type="dxa"/>
            <w:vAlign w:val="bottom"/>
          </w:tcPr>
          <w:p>
            <w:pPr>
              <w:ind w:left="20"/>
              <w:spacing w:after="0"/>
              <w:rPr>
                <w:sz w:val="20"/>
                <w:szCs w:val="20"/>
                <w:color w:val="auto"/>
              </w:rPr>
            </w:pPr>
            <w:r>
              <w:rPr>
                <w:rFonts w:ascii="Arial" w:cs="Arial" w:eastAsia="Arial" w:hAnsi="Arial"/>
                <w:sz w:val="14"/>
                <w:szCs w:val="14"/>
                <w:color w:val="auto"/>
              </w:rPr>
              <w:t>-4.8%</w:t>
            </w:r>
          </w:p>
        </w:tc>
        <w:tc>
          <w:tcPr>
            <w:tcW w:w="2020" w:type="dxa"/>
            <w:vAlign w:val="bottom"/>
          </w:tcPr>
          <w:p>
            <w:pPr>
              <w:jc w:val="right"/>
              <w:ind w:right="388"/>
              <w:spacing w:after="0"/>
              <w:rPr>
                <w:sz w:val="20"/>
                <w:szCs w:val="20"/>
                <w:color w:val="auto"/>
              </w:rPr>
            </w:pPr>
            <w:r>
              <w:rPr>
                <w:rFonts w:ascii="Arial" w:cs="Arial" w:eastAsia="Arial" w:hAnsi="Arial"/>
                <w:sz w:val="14"/>
                <w:szCs w:val="14"/>
                <w:color w:val="auto"/>
              </w:rPr>
              <w:t>-1.6%</w:t>
            </w: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8"/>
                <w:szCs w:val="18"/>
                <w:color w:val="auto"/>
              </w:rPr>
            </w:pPr>
          </w:p>
        </w:tc>
        <w:tc>
          <w:tcPr>
            <w:tcW w:w="1440" w:type="dxa"/>
            <w:vAlign w:val="bottom"/>
          </w:tcPr>
          <w:p>
            <w:pPr>
              <w:ind w:left="840"/>
              <w:spacing w:after="0"/>
              <w:rPr>
                <w:sz w:val="20"/>
                <w:szCs w:val="20"/>
                <w:color w:val="auto"/>
              </w:rPr>
            </w:pPr>
            <w:r>
              <w:rPr>
                <w:rFonts w:ascii="Arial" w:cs="Arial" w:eastAsia="Arial" w:hAnsi="Arial"/>
                <w:sz w:val="14"/>
                <w:szCs w:val="14"/>
                <w:color w:val="auto"/>
              </w:rPr>
              <w:t>3.6%</w:t>
            </w:r>
          </w:p>
        </w:tc>
        <w:tc>
          <w:tcPr>
            <w:tcW w:w="1440" w:type="dxa"/>
            <w:vAlign w:val="bottom"/>
          </w:tcPr>
          <w:p>
            <w:pPr>
              <w:jc w:val="right"/>
              <w:ind w:right="168"/>
              <w:spacing w:after="0"/>
              <w:rPr>
                <w:sz w:val="20"/>
                <w:szCs w:val="20"/>
                <w:color w:val="auto"/>
              </w:rPr>
            </w:pPr>
            <w:r>
              <w:rPr>
                <w:rFonts w:ascii="Arial" w:cs="Arial" w:eastAsia="Arial" w:hAnsi="Arial"/>
                <w:sz w:val="14"/>
                <w:szCs w:val="14"/>
                <w:color w:val="auto"/>
              </w:rPr>
              <w:t>150.0%</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50.0% of Target</w:t>
            </w:r>
          </w:p>
        </w:tc>
      </w:tr>
      <w:tr>
        <w:trPr>
          <w:trHeight w:val="22"/>
        </w:trPr>
        <w:tc>
          <w:tcPr>
            <w:tcW w:w="40" w:type="dxa"/>
            <w:vAlign w:val="bottom"/>
            <w:tcBorders>
              <w:bottom w:val="single" w:sz="8" w:color="404040"/>
            </w:tcBorders>
          </w:tcPr>
          <w:p>
            <w:pPr>
              <w:spacing w:after="0" w:line="20" w:lineRule="exact"/>
              <w:rPr>
                <w:sz w:val="1"/>
                <w:szCs w:val="1"/>
                <w:color w:val="auto"/>
              </w:rPr>
            </w:pPr>
          </w:p>
        </w:tc>
        <w:tc>
          <w:tcPr>
            <w:tcW w:w="900" w:type="dxa"/>
            <w:vAlign w:val="bottom"/>
            <w:tcBorders>
              <w:bottom w:val="single" w:sz="8" w:color="404040"/>
            </w:tcBorders>
          </w:tcPr>
          <w:p>
            <w:pPr>
              <w:spacing w:after="0" w:line="20" w:lineRule="exact"/>
              <w:rPr>
                <w:sz w:val="1"/>
                <w:szCs w:val="1"/>
                <w:color w:val="auto"/>
              </w:rPr>
            </w:pPr>
          </w:p>
        </w:tc>
        <w:tc>
          <w:tcPr>
            <w:tcW w:w="202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4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1440" w:type="dxa"/>
            <w:vAlign w:val="bottom"/>
            <w:tcBorders>
              <w:bottom w:val="single" w:sz="8" w:color="404040"/>
            </w:tcBorders>
          </w:tcPr>
          <w:p>
            <w:pPr>
              <w:spacing w:after="0" w:line="20" w:lineRule="exact"/>
              <w:rPr>
                <w:sz w:val="1"/>
                <w:szCs w:val="1"/>
                <w:color w:val="auto"/>
              </w:rPr>
            </w:pPr>
          </w:p>
        </w:tc>
        <w:tc>
          <w:tcPr>
            <w:tcW w:w="1440" w:type="dxa"/>
            <w:vAlign w:val="bottom"/>
            <w:tcBorders>
              <w:bottom w:val="single" w:sz="8" w:color="404040"/>
            </w:tcBorders>
          </w:tcPr>
          <w:p>
            <w:pPr>
              <w:spacing w:after="0" w:line="20" w:lineRule="exact"/>
              <w:rPr>
                <w:sz w:val="1"/>
                <w:szCs w:val="1"/>
                <w:color w:val="auto"/>
              </w:rPr>
            </w:pPr>
          </w:p>
        </w:tc>
        <w:tc>
          <w:tcPr>
            <w:tcW w:w="1360" w:type="dxa"/>
            <w:vAlign w:val="bottom"/>
            <w:tcBorders>
              <w:bottom w:val="single" w:sz="8" w:color="404040"/>
            </w:tcBorders>
          </w:tcPr>
          <w:p>
            <w:pPr>
              <w:spacing w:after="0" w:line="20" w:lineRule="exact"/>
              <w:rPr>
                <w:sz w:val="1"/>
                <w:szCs w:val="1"/>
                <w:color w:val="auto"/>
              </w:rPr>
            </w:pPr>
          </w:p>
        </w:tc>
      </w:tr>
    </w:tbl>
    <w:p>
      <w:pPr>
        <w:spacing w:after="0" w:line="134" w:lineRule="exact"/>
        <w:rPr>
          <w:sz w:val="20"/>
          <w:szCs w:val="20"/>
          <w:color w:val="auto"/>
        </w:rPr>
      </w:pPr>
    </w:p>
    <w:p>
      <w:pPr>
        <w:jc w:val="both"/>
        <w:ind w:left="1300" w:right="1300"/>
        <w:spacing w:after="0" w:line="250" w:lineRule="auto"/>
        <w:rPr>
          <w:sz w:val="20"/>
          <w:szCs w:val="20"/>
          <w:color w:val="auto"/>
        </w:rPr>
      </w:pPr>
      <w:r>
        <w:rPr>
          <w:rFonts w:ascii="Arial" w:cs="Arial" w:eastAsia="Arial" w:hAnsi="Arial"/>
          <w:sz w:val="16"/>
          <w:szCs w:val="16"/>
          <w:color w:val="auto"/>
        </w:rPr>
        <w:t>In February 2026, our Compensation Committee determined that, based on our actual achievement of the 2025 Objectives, the Company achieved payout factors of 128.2% (between threshold and maximum) on its revenue metric and achieved 150.0% (the maximum) on its non-GAAP operating loss as a percentage of revenue metric. After applying a 66.7% weighting to the revenue payout factor of 128.2%, and a 33.3% weighting to the non-GAAP operating loss as a percentage of revenue payout factor of 150.0%, Messrs. Compton, Bergman, and Wong were eligible to receive 135.4% of their respective Target Bonuses, as prorated for Mr. Compton and Mr. Wong. Please see the 2025 Summary Compensation Table below for the actual amounts paid to our Named Executive Officers in the form of fully-vested RSUs. Mr. Kisling did not receive any fully vested RSUs under the 2025 Bonus Plan, but as described in Employment Arrangements—Ronald Kisling, below, Mr. Kisling received a lump sum cash severance payment in the amount of 75% of his Target Bonus under the 2025 Bonus Program and 9 months of his base salary as set forth in the Kisling Separation Agreement. Please see the 2025 Summary Compensation Table below for the actual amounts paid to our Named Executive Officers in the form of fully-vested RSUs.</w:t>
      </w:r>
    </w:p>
    <w:p>
      <w:pPr>
        <w:sectPr>
          <w:pgSz w:w="11900" w:h="16838" w:orient="portrait"/>
          <w:cols w:equalWidth="0" w:num="1">
            <w:col w:w="11020"/>
          </w:cols>
          <w:pgMar w:left="440" w:top="114" w:right="439" w:bottom="1440" w:gutter="0" w:footer="0" w:header="0"/>
        </w:sectPr>
      </w:pPr>
    </w:p>
    <w:p>
      <w:pPr>
        <w:spacing w:after="0" w:line="114"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EE3434"/>
        </w:rPr>
        <w:t>Commission Plan</w:t>
      </w:r>
    </w:p>
    <w:p>
      <w:pPr>
        <w:spacing w:after="0" w:line="106" w:lineRule="exact"/>
        <w:rPr>
          <w:sz w:val="20"/>
          <w:szCs w:val="20"/>
          <w:color w:val="auto"/>
        </w:rPr>
      </w:pPr>
    </w:p>
    <w:p>
      <w:pPr>
        <w:jc w:val="both"/>
        <w:ind w:left="1300"/>
        <w:spacing w:after="0" w:line="249" w:lineRule="auto"/>
        <w:rPr>
          <w:sz w:val="20"/>
          <w:szCs w:val="20"/>
          <w:color w:val="auto"/>
        </w:rPr>
      </w:pPr>
      <w:r>
        <w:rPr>
          <w:rFonts w:ascii="Arial" w:cs="Arial" w:eastAsia="Arial" w:hAnsi="Arial"/>
          <w:sz w:val="16"/>
          <w:szCs w:val="16"/>
          <w:color w:val="auto"/>
        </w:rPr>
        <w:t>Mr. Lovett participated in our FY25 Global Sales Compensation Plan (the “Commission Plan”), which is designed to individually compensate employees who are engaged in sales activities for sales performance during the plan year and reward contributions to our long-term revenue growth. Mr. Lovett’s target incentive for fiscal year 2025 was based on specified target quotas weighted equally between (i) revenue and (ii) incremental commit bookings. The Commission Plan included acceleration tiers that provided for increased commission payout rates for performance exceeding the established target quotas. We do not publicly disclose bookings information as we believe it would cause competitive harm. The quotas set for Mr. Lovett were determined in a manner intended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both"/>
        <w:ind w:right="1300"/>
        <w:spacing w:after="0" w:line="254" w:lineRule="auto"/>
        <w:rPr>
          <w:sz w:val="20"/>
          <w:szCs w:val="20"/>
          <w:color w:val="auto"/>
        </w:rPr>
      </w:pPr>
      <w:r>
        <w:rPr>
          <w:rFonts w:ascii="Arial" w:cs="Arial" w:eastAsia="Arial" w:hAnsi="Arial"/>
          <w:sz w:val="16"/>
          <w:szCs w:val="16"/>
          <w:color w:val="auto"/>
        </w:rPr>
        <w:t>be difficult to achieve and would not be achieved with average or below average performance. For 2025, Mr. Lovett’s total commission target was $450,000, which remained consistent throughout fiscal year 2025, including following his promotion to President, Go to Market in August 2025.</w:t>
      </w:r>
    </w:p>
    <w:p>
      <w:pPr>
        <w:spacing w:after="0" w:line="101" w:lineRule="exact"/>
        <w:rPr>
          <w:sz w:val="20"/>
          <w:szCs w:val="20"/>
          <w:color w:val="auto"/>
        </w:rPr>
      </w:pPr>
    </w:p>
    <w:p>
      <w:pPr>
        <w:jc w:val="both"/>
        <w:ind w:right="1300"/>
        <w:spacing w:after="0" w:line="252" w:lineRule="auto"/>
        <w:rPr>
          <w:sz w:val="20"/>
          <w:szCs w:val="20"/>
          <w:color w:val="auto"/>
        </w:rPr>
      </w:pPr>
      <w:r>
        <w:rPr>
          <w:rFonts w:ascii="Arial" w:cs="Arial" w:eastAsia="Arial" w:hAnsi="Arial"/>
          <w:sz w:val="16"/>
          <w:szCs w:val="16"/>
          <w:color w:val="auto"/>
        </w:rPr>
        <w:t>Under the Commission Plan, commissions are paid the month after the close of the fiscal quarter and are deemed earned after, among other requirements, we receive customer revenue from the sale. For the year ended December 31, 2025, Mr. Lovett earned $606,584 under the Commission Plan. The target quotas and actual performance outcomes from Mr. Lovett’s Commission plan were as follows:</w:t>
      </w:r>
    </w:p>
    <w:p>
      <w:pPr>
        <w:spacing w:after="0" w:line="241" w:lineRule="exact"/>
        <w:rPr>
          <w:sz w:val="20"/>
          <w:szCs w:val="20"/>
          <w:color w:val="auto"/>
        </w:rPr>
      </w:pPr>
    </w:p>
    <w:p>
      <w:pPr>
        <w:sectPr>
          <w:pgSz w:w="11900" w:h="16838" w:orient="portrait"/>
          <w:cols w:equalWidth="0" w:num="2">
            <w:col w:w="5300" w:space="400"/>
            <w:col w:w="5320"/>
          </w:cols>
          <w:pgMar w:left="440" w:top="114" w:right="43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b w:val="1"/>
                <w:bCs w:val="1"/>
                <w:color w:val="auto"/>
              </w:rPr>
              <w:t>Component</w:t>
            </w: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Target</w:t>
            </w:r>
          </w:p>
        </w:tc>
        <w:tc>
          <w:tcPr>
            <w:tcW w:w="26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5"/>
        </w:trPr>
        <w:tc>
          <w:tcPr>
            <w:tcW w:w="1300" w:type="dxa"/>
            <w:vAlign w:val="bottom"/>
          </w:tcPr>
          <w:p>
            <w:pPr>
              <w:spacing w:after="0"/>
              <w:rPr>
                <w:sz w:val="17"/>
                <w:szCs w:val="17"/>
                <w:color w:val="auto"/>
              </w:rPr>
            </w:pPr>
          </w:p>
        </w:tc>
        <w:tc>
          <w:tcPr>
            <w:tcW w:w="2220" w:type="dxa"/>
            <w:vAlign w:val="bottom"/>
          </w:tcPr>
          <w:p>
            <w:pPr>
              <w:ind w:left="60"/>
              <w:spacing w:after="0"/>
              <w:rPr>
                <w:sz w:val="20"/>
                <w:szCs w:val="20"/>
                <w:color w:val="auto"/>
              </w:rPr>
            </w:pPr>
            <w:r>
              <w:rPr>
                <w:rFonts w:ascii="Arial" w:cs="Arial" w:eastAsia="Arial" w:hAnsi="Arial"/>
                <w:sz w:val="14"/>
                <w:szCs w:val="14"/>
                <w:b w:val="1"/>
                <w:bCs w:val="1"/>
                <w:color w:val="auto"/>
              </w:rPr>
              <w:t>Component</w:t>
            </w:r>
          </w:p>
        </w:tc>
        <w:tc>
          <w:tcPr>
            <w:tcW w:w="1260" w:type="dxa"/>
            <w:vAlign w:val="bottom"/>
          </w:tcPr>
          <w:p>
            <w:pPr>
              <w:jc w:val="right"/>
              <w:ind w:right="88"/>
              <w:spacing w:after="0"/>
              <w:rPr>
                <w:sz w:val="20"/>
                <w:szCs w:val="20"/>
                <w:color w:val="auto"/>
              </w:rPr>
            </w:pPr>
            <w:r>
              <w:rPr>
                <w:rFonts w:ascii="Arial" w:cs="Arial" w:eastAsia="Arial" w:hAnsi="Arial"/>
                <w:sz w:val="14"/>
                <w:szCs w:val="14"/>
                <w:b w:val="1"/>
                <w:bCs w:val="1"/>
                <w:color w:val="auto"/>
              </w:rPr>
              <w:t>Weight</w:t>
            </w:r>
          </w:p>
        </w:tc>
        <w:tc>
          <w:tcPr>
            <w:tcW w:w="960" w:type="dxa"/>
            <w:vAlign w:val="bottom"/>
          </w:tcPr>
          <w:p>
            <w:pPr>
              <w:jc w:val="right"/>
              <w:ind w:right="88"/>
              <w:spacing w:after="0"/>
              <w:rPr>
                <w:sz w:val="20"/>
                <w:szCs w:val="20"/>
                <w:color w:val="auto"/>
              </w:rPr>
            </w:pPr>
            <w:r>
              <w:rPr>
                <w:rFonts w:ascii="Arial" w:cs="Arial" w:eastAsia="Arial" w:hAnsi="Arial"/>
                <w:sz w:val="14"/>
                <w:szCs w:val="14"/>
                <w:b w:val="1"/>
                <w:bCs w:val="1"/>
                <w:color w:val="auto"/>
              </w:rPr>
              <w:t>Variable</w:t>
            </w:r>
          </w:p>
        </w:tc>
        <w:tc>
          <w:tcPr>
            <w:tcW w:w="2660" w:type="dxa"/>
            <w:vAlign w:val="bottom"/>
          </w:tcPr>
          <w:p>
            <w:pPr>
              <w:ind w:left="160"/>
              <w:spacing w:after="0"/>
              <w:rPr>
                <w:sz w:val="20"/>
                <w:szCs w:val="20"/>
                <w:color w:val="auto"/>
              </w:rPr>
            </w:pPr>
            <w:r>
              <w:rPr>
                <w:rFonts w:ascii="Arial" w:cs="Arial" w:eastAsia="Arial" w:hAnsi="Arial"/>
                <w:sz w:val="14"/>
                <w:szCs w:val="14"/>
                <w:b w:val="1"/>
                <w:bCs w:val="1"/>
                <w:color w:val="auto"/>
              </w:rPr>
              <w:t>Quota</w:t>
            </w:r>
          </w:p>
        </w:tc>
        <w:tc>
          <w:tcPr>
            <w:tcW w:w="2620" w:type="dxa"/>
            <w:vAlign w:val="bottom"/>
            <w:gridSpan w:val="2"/>
          </w:tcPr>
          <w:p>
            <w:pPr>
              <w:ind w:left="460"/>
              <w:spacing w:after="0"/>
              <w:rPr>
                <w:sz w:val="20"/>
                <w:szCs w:val="20"/>
                <w:color w:val="auto"/>
              </w:rPr>
            </w:pPr>
            <w:r>
              <w:rPr>
                <w:rFonts w:ascii="Arial" w:cs="Arial" w:eastAsia="Arial" w:hAnsi="Arial"/>
                <w:sz w:val="14"/>
                <w:szCs w:val="14"/>
                <w:b w:val="1"/>
                <w:bCs w:val="1"/>
                <w:color w:val="auto"/>
              </w:rPr>
              <w:t>Attainment</w:t>
            </w:r>
          </w:p>
        </w:tc>
      </w:tr>
      <w:tr>
        <w:trPr>
          <w:trHeight w:val="180"/>
        </w:trPr>
        <w:tc>
          <w:tcPr>
            <w:tcW w:w="1300" w:type="dxa"/>
            <w:vAlign w:val="bottom"/>
          </w:tcPr>
          <w:p>
            <w:pPr>
              <w:spacing w:after="0"/>
              <w:rPr>
                <w:sz w:val="15"/>
                <w:szCs w:val="15"/>
                <w:color w:val="auto"/>
              </w:rPr>
            </w:pPr>
          </w:p>
        </w:tc>
        <w:tc>
          <w:tcPr>
            <w:tcW w:w="2220" w:type="dxa"/>
            <w:vAlign w:val="bottom"/>
            <w:tcBorders>
              <w:top w:val="single" w:sz="8" w:color="404040"/>
            </w:tcBorders>
          </w:tcPr>
          <w:p>
            <w:pPr>
              <w:ind w:left="60"/>
              <w:spacing w:after="0"/>
              <w:rPr>
                <w:sz w:val="20"/>
                <w:szCs w:val="20"/>
                <w:color w:val="auto"/>
              </w:rPr>
            </w:pPr>
            <w:r>
              <w:rPr>
                <w:rFonts w:ascii="Arial" w:cs="Arial" w:eastAsia="Arial" w:hAnsi="Arial"/>
                <w:sz w:val="14"/>
                <w:szCs w:val="14"/>
                <w:color w:val="auto"/>
              </w:rPr>
              <w:t>Revenue</w:t>
            </w:r>
          </w:p>
        </w:tc>
        <w:tc>
          <w:tcPr>
            <w:tcW w:w="1260" w:type="dxa"/>
            <w:vAlign w:val="bottom"/>
            <w:tcBorders>
              <w:top w:val="single" w:sz="8" w:color="404040"/>
            </w:tcBorders>
          </w:tcPr>
          <w:p>
            <w:pPr>
              <w:jc w:val="right"/>
              <w:ind w:right="108"/>
              <w:spacing w:after="0"/>
              <w:rPr>
                <w:sz w:val="20"/>
                <w:szCs w:val="20"/>
                <w:color w:val="auto"/>
              </w:rPr>
            </w:pPr>
            <w:r>
              <w:rPr>
                <w:rFonts w:ascii="Arial" w:cs="Arial" w:eastAsia="Arial" w:hAnsi="Arial"/>
                <w:sz w:val="14"/>
                <w:szCs w:val="14"/>
                <w:color w:val="auto"/>
              </w:rPr>
              <w:t>50%</w:t>
            </w:r>
          </w:p>
        </w:tc>
        <w:tc>
          <w:tcPr>
            <w:tcW w:w="960" w:type="dxa"/>
            <w:vAlign w:val="bottom"/>
            <w:tcBorders>
              <w:top w:val="single" w:sz="8" w:color="404040"/>
            </w:tcBorders>
          </w:tcPr>
          <w:p>
            <w:pPr>
              <w:jc w:val="right"/>
              <w:ind w:right="108"/>
              <w:spacing w:after="0"/>
              <w:rPr>
                <w:sz w:val="20"/>
                <w:szCs w:val="20"/>
                <w:color w:val="auto"/>
              </w:rPr>
            </w:pPr>
            <w:r>
              <w:rPr>
                <w:rFonts w:ascii="Arial" w:cs="Arial" w:eastAsia="Arial" w:hAnsi="Arial"/>
                <w:sz w:val="14"/>
                <w:szCs w:val="14"/>
                <w:color w:val="auto"/>
              </w:rPr>
              <w:t>$225,000</w:t>
            </w:r>
          </w:p>
        </w:tc>
        <w:tc>
          <w:tcPr>
            <w:tcW w:w="2660" w:type="dxa"/>
            <w:vAlign w:val="bottom"/>
            <w:tcBorders>
              <w:top w:val="single" w:sz="8" w:color="404040"/>
            </w:tcBorders>
          </w:tcPr>
          <w:p>
            <w:pPr>
              <w:ind w:left="160"/>
              <w:spacing w:after="0"/>
              <w:rPr>
                <w:sz w:val="20"/>
                <w:szCs w:val="20"/>
                <w:color w:val="auto"/>
              </w:rPr>
            </w:pPr>
            <w:r>
              <w:rPr>
                <w:rFonts w:ascii="Arial" w:cs="Arial" w:eastAsia="Arial" w:hAnsi="Arial"/>
                <w:sz w:val="14"/>
                <w:szCs w:val="14"/>
                <w:color w:val="auto"/>
              </w:rPr>
              <w:t>YTD-QTR-1: $148.5 million</w:t>
            </w:r>
          </w:p>
        </w:tc>
        <w:tc>
          <w:tcPr>
            <w:tcW w:w="1320" w:type="dxa"/>
            <w:vAlign w:val="bottom"/>
            <w:tcBorders>
              <w:top w:val="single" w:sz="8" w:color="404040"/>
            </w:tcBorders>
          </w:tcPr>
          <w:p>
            <w:pPr>
              <w:jc w:val="right"/>
              <w:ind w:right="50"/>
              <w:spacing w:after="0"/>
              <w:rPr>
                <w:sz w:val="20"/>
                <w:szCs w:val="20"/>
                <w:color w:val="auto"/>
              </w:rPr>
            </w:pPr>
            <w:r>
              <w:rPr>
                <w:rFonts w:ascii="Arial" w:cs="Arial" w:eastAsia="Arial" w:hAnsi="Arial"/>
                <w:sz w:val="14"/>
                <w:szCs w:val="14"/>
                <w:color w:val="auto"/>
              </w:rPr>
              <w:t>100.7%</w:t>
            </w:r>
          </w:p>
        </w:tc>
        <w:tc>
          <w:tcPr>
            <w:tcW w:w="1300" w:type="dxa"/>
            <w:vAlign w:val="bottom"/>
          </w:tcPr>
          <w:p>
            <w:pPr>
              <w:spacing w:after="0"/>
              <w:rPr>
                <w:sz w:val="15"/>
                <w:szCs w:val="15"/>
                <w:color w:val="auto"/>
              </w:rPr>
            </w:pPr>
          </w:p>
        </w:tc>
      </w:tr>
      <w:tr>
        <w:trPr>
          <w:trHeight w:val="162"/>
        </w:trPr>
        <w:tc>
          <w:tcPr>
            <w:tcW w:w="1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60" w:type="dxa"/>
            <w:vAlign w:val="bottom"/>
          </w:tcPr>
          <w:p>
            <w:pPr>
              <w:ind w:left="160"/>
              <w:spacing w:after="0"/>
              <w:rPr>
                <w:sz w:val="20"/>
                <w:szCs w:val="20"/>
                <w:color w:val="auto"/>
              </w:rPr>
            </w:pPr>
            <w:r>
              <w:rPr>
                <w:rFonts w:ascii="Arial" w:cs="Arial" w:eastAsia="Arial" w:hAnsi="Arial"/>
                <w:sz w:val="14"/>
                <w:szCs w:val="14"/>
                <w:color w:val="auto"/>
              </w:rPr>
              <w:t>YTD-QTR-2: $299.8 million</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2"/>
        </w:trPr>
        <w:tc>
          <w:tcPr>
            <w:tcW w:w="1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60" w:type="dxa"/>
            <w:vAlign w:val="bottom"/>
          </w:tcPr>
          <w:p>
            <w:pPr>
              <w:ind w:left="160"/>
              <w:spacing w:after="0"/>
              <w:rPr>
                <w:sz w:val="20"/>
                <w:szCs w:val="20"/>
                <w:color w:val="auto"/>
              </w:rPr>
            </w:pPr>
            <w:r>
              <w:rPr>
                <w:rFonts w:ascii="Arial" w:cs="Arial" w:eastAsia="Arial" w:hAnsi="Arial"/>
                <w:sz w:val="14"/>
                <w:szCs w:val="14"/>
                <w:color w:val="auto"/>
              </w:rPr>
              <w:t>YTD-QTR-3: $457.6 million</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0"/>
        </w:trPr>
        <w:tc>
          <w:tcPr>
            <w:tcW w:w="13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60" w:type="dxa"/>
            <w:vAlign w:val="bottom"/>
          </w:tcPr>
          <w:p>
            <w:pPr>
              <w:ind w:left="160"/>
              <w:spacing w:after="0"/>
              <w:rPr>
                <w:sz w:val="20"/>
                <w:szCs w:val="20"/>
                <w:color w:val="auto"/>
              </w:rPr>
            </w:pPr>
            <w:r>
              <w:rPr>
                <w:rFonts w:ascii="Arial" w:cs="Arial" w:eastAsia="Arial" w:hAnsi="Arial"/>
                <w:sz w:val="14"/>
                <w:szCs w:val="14"/>
                <w:color w:val="auto"/>
              </w:rPr>
              <w:t>YTD-QTR-4: $621.8 million</w:t>
            </w:r>
          </w:p>
        </w:tc>
        <w:tc>
          <w:tcPr>
            <w:tcW w:w="13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
        </w:trPr>
        <w:tc>
          <w:tcPr>
            <w:tcW w:w="1300" w:type="dxa"/>
            <w:vAlign w:val="bottom"/>
          </w:tcPr>
          <w:p>
            <w:pPr>
              <w:spacing w:after="0" w:line="20" w:lineRule="exact"/>
              <w:rPr>
                <w:sz w:val="1"/>
                <w:szCs w:val="1"/>
                <w:color w:val="auto"/>
              </w:rPr>
            </w:pPr>
          </w:p>
        </w:tc>
        <w:tc>
          <w:tcPr>
            <w:tcW w:w="2220" w:type="dxa"/>
            <w:vAlign w:val="bottom"/>
            <w:tcBorders>
              <w:bottom w:val="single" w:sz="8" w:color="404040"/>
            </w:tcBorders>
          </w:tcPr>
          <w:p>
            <w:pPr>
              <w:spacing w:after="0" w:line="20" w:lineRule="exact"/>
              <w:rPr>
                <w:sz w:val="1"/>
                <w:szCs w:val="1"/>
                <w:color w:val="auto"/>
              </w:rPr>
            </w:pPr>
          </w:p>
        </w:tc>
        <w:tc>
          <w:tcPr>
            <w:tcW w:w="1260" w:type="dxa"/>
            <w:vAlign w:val="bottom"/>
            <w:tcBorders>
              <w:bottom w:val="single" w:sz="8" w:color="404040"/>
            </w:tcBorders>
          </w:tcPr>
          <w:p>
            <w:pPr>
              <w:spacing w:after="0" w:line="20" w:lineRule="exact"/>
              <w:rPr>
                <w:sz w:val="1"/>
                <w:szCs w:val="1"/>
                <w:color w:val="auto"/>
              </w:rPr>
            </w:pPr>
          </w:p>
        </w:tc>
        <w:tc>
          <w:tcPr>
            <w:tcW w:w="960" w:type="dxa"/>
            <w:vAlign w:val="bottom"/>
            <w:tcBorders>
              <w:bottom w:val="single" w:sz="8" w:color="404040"/>
            </w:tcBorders>
          </w:tcPr>
          <w:p>
            <w:pPr>
              <w:spacing w:after="0" w:line="20" w:lineRule="exact"/>
              <w:rPr>
                <w:sz w:val="1"/>
                <w:szCs w:val="1"/>
                <w:color w:val="auto"/>
              </w:rPr>
            </w:pPr>
          </w:p>
        </w:tc>
        <w:tc>
          <w:tcPr>
            <w:tcW w:w="2660" w:type="dxa"/>
            <w:vAlign w:val="bottom"/>
            <w:tcBorders>
              <w:bottom w:val="single" w:sz="8" w:color="404040"/>
            </w:tcBorders>
          </w:tcPr>
          <w:p>
            <w:pPr>
              <w:spacing w:after="0" w:line="20" w:lineRule="exact"/>
              <w:rPr>
                <w:sz w:val="1"/>
                <w:szCs w:val="1"/>
                <w:color w:val="auto"/>
              </w:rPr>
            </w:pPr>
          </w:p>
        </w:tc>
        <w:tc>
          <w:tcPr>
            <w:tcW w:w="1320" w:type="dxa"/>
            <w:vAlign w:val="bottom"/>
            <w:tcBorders>
              <w:bottom w:val="single" w:sz="8" w:color="404040"/>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73"/>
        </w:trPr>
        <w:tc>
          <w:tcPr>
            <w:tcW w:w="1300" w:type="dxa"/>
            <w:vAlign w:val="bottom"/>
          </w:tcPr>
          <w:p>
            <w:pPr>
              <w:spacing w:after="0"/>
              <w:rPr>
                <w:sz w:val="15"/>
                <w:szCs w:val="15"/>
                <w:color w:val="auto"/>
              </w:rPr>
            </w:pPr>
          </w:p>
        </w:tc>
        <w:tc>
          <w:tcPr>
            <w:tcW w:w="2220" w:type="dxa"/>
            <w:vAlign w:val="bottom"/>
          </w:tcPr>
          <w:p>
            <w:pPr>
              <w:ind w:left="60"/>
              <w:spacing w:after="0"/>
              <w:rPr>
                <w:sz w:val="20"/>
                <w:szCs w:val="20"/>
                <w:color w:val="auto"/>
              </w:rPr>
            </w:pPr>
            <w:r>
              <w:rPr>
                <w:rFonts w:ascii="Arial" w:cs="Arial" w:eastAsia="Arial" w:hAnsi="Arial"/>
                <w:sz w:val="14"/>
                <w:szCs w:val="14"/>
                <w:color w:val="auto"/>
              </w:rPr>
              <w:t>Incremental Commit Bookings</w:t>
            </w:r>
          </w:p>
        </w:tc>
        <w:tc>
          <w:tcPr>
            <w:tcW w:w="1260" w:type="dxa"/>
            <w:vAlign w:val="bottom"/>
          </w:tcPr>
          <w:p>
            <w:pPr>
              <w:jc w:val="right"/>
              <w:ind w:right="108"/>
              <w:spacing w:after="0"/>
              <w:rPr>
                <w:sz w:val="20"/>
                <w:szCs w:val="20"/>
                <w:color w:val="auto"/>
              </w:rPr>
            </w:pPr>
            <w:r>
              <w:rPr>
                <w:rFonts w:ascii="Arial" w:cs="Arial" w:eastAsia="Arial" w:hAnsi="Arial"/>
                <w:sz w:val="14"/>
                <w:szCs w:val="14"/>
                <w:color w:val="auto"/>
              </w:rPr>
              <w:t>50%</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$225,000</w:t>
            </w:r>
          </w:p>
        </w:tc>
        <w:tc>
          <w:tcPr>
            <w:tcW w:w="2660" w:type="dxa"/>
            <w:vAlign w:val="bottom"/>
          </w:tcPr>
          <w:p>
            <w:pPr>
              <w:ind w:left="160"/>
              <w:spacing w:after="0"/>
              <w:rPr>
                <w:sz w:val="20"/>
                <w:szCs w:val="20"/>
                <w:color w:val="auto"/>
              </w:rPr>
            </w:pPr>
            <w:r>
              <w:rPr>
                <w:rFonts w:ascii="Arial" w:cs="Arial" w:eastAsia="Arial" w:hAnsi="Arial"/>
                <w:sz w:val="14"/>
                <w:szCs w:val="14"/>
                <w:color w:val="auto"/>
              </w:rPr>
              <w:t>We do not publicly disclose bookings</w:t>
            </w:r>
          </w:p>
        </w:tc>
        <w:tc>
          <w:tcPr>
            <w:tcW w:w="1320" w:type="dxa"/>
            <w:vAlign w:val="bottom"/>
          </w:tcPr>
          <w:p>
            <w:pPr>
              <w:jc w:val="right"/>
              <w:ind w:right="50"/>
              <w:spacing w:after="0"/>
              <w:rPr>
                <w:sz w:val="20"/>
                <w:szCs w:val="20"/>
                <w:color w:val="auto"/>
              </w:rPr>
            </w:pPr>
            <w:r>
              <w:rPr>
                <w:rFonts w:ascii="Arial" w:cs="Arial" w:eastAsia="Arial" w:hAnsi="Arial"/>
                <w:sz w:val="14"/>
                <w:szCs w:val="14"/>
                <w:color w:val="auto"/>
              </w:rPr>
              <w:t>132.1%</w:t>
            </w:r>
          </w:p>
        </w:tc>
        <w:tc>
          <w:tcPr>
            <w:tcW w:w="1300" w:type="dxa"/>
            <w:vAlign w:val="bottom"/>
          </w:tcPr>
          <w:p>
            <w:pPr>
              <w:spacing w:after="0"/>
              <w:rPr>
                <w:sz w:val="15"/>
                <w:szCs w:val="15"/>
                <w:color w:val="auto"/>
              </w:rPr>
            </w:pPr>
          </w:p>
        </w:tc>
      </w:tr>
      <w:tr>
        <w:trPr>
          <w:trHeight w:val="162"/>
        </w:trPr>
        <w:tc>
          <w:tcPr>
            <w:tcW w:w="13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60" w:type="dxa"/>
            <w:vAlign w:val="bottom"/>
          </w:tcPr>
          <w:p>
            <w:pPr>
              <w:ind w:left="160"/>
              <w:spacing w:after="0"/>
              <w:rPr>
                <w:sz w:val="20"/>
                <w:szCs w:val="20"/>
                <w:color w:val="auto"/>
              </w:rPr>
            </w:pPr>
            <w:r>
              <w:rPr>
                <w:rFonts w:ascii="Arial" w:cs="Arial" w:eastAsia="Arial" w:hAnsi="Arial"/>
                <w:sz w:val="14"/>
                <w:szCs w:val="14"/>
                <w:color w:val="auto"/>
              </w:rPr>
              <w:t>information as we believe it would</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1300" w:type="dxa"/>
            <w:vAlign w:val="bottom"/>
          </w:tcPr>
          <w:p>
            <w:pPr>
              <w:spacing w:after="0"/>
              <w:rPr>
                <w:sz w:val="14"/>
                <w:szCs w:val="14"/>
                <w:color w:val="auto"/>
              </w:rPr>
            </w:pPr>
          </w:p>
        </w:tc>
        <w:tc>
          <w:tcPr>
            <w:tcW w:w="2220" w:type="dxa"/>
            <w:vAlign w:val="bottom"/>
            <w:tcBorders>
              <w:bottom w:val="single" w:sz="8" w:color="404040"/>
            </w:tcBorders>
          </w:tcPr>
          <w:p>
            <w:pPr>
              <w:spacing w:after="0"/>
              <w:rPr>
                <w:sz w:val="14"/>
                <w:szCs w:val="14"/>
                <w:color w:val="auto"/>
              </w:rPr>
            </w:pPr>
          </w:p>
        </w:tc>
        <w:tc>
          <w:tcPr>
            <w:tcW w:w="1260" w:type="dxa"/>
            <w:vAlign w:val="bottom"/>
            <w:tcBorders>
              <w:bottom w:val="single" w:sz="8" w:color="404040"/>
            </w:tcBorders>
          </w:tcPr>
          <w:p>
            <w:pPr>
              <w:spacing w:after="0"/>
              <w:rPr>
                <w:sz w:val="14"/>
                <w:szCs w:val="14"/>
                <w:color w:val="auto"/>
              </w:rPr>
            </w:pPr>
          </w:p>
        </w:tc>
        <w:tc>
          <w:tcPr>
            <w:tcW w:w="960" w:type="dxa"/>
            <w:vAlign w:val="bottom"/>
            <w:tcBorders>
              <w:bottom w:val="single" w:sz="8" w:color="404040"/>
            </w:tcBorders>
          </w:tcPr>
          <w:p>
            <w:pPr>
              <w:spacing w:after="0"/>
              <w:rPr>
                <w:sz w:val="14"/>
                <w:szCs w:val="14"/>
                <w:color w:val="auto"/>
              </w:rPr>
            </w:pPr>
          </w:p>
        </w:tc>
        <w:tc>
          <w:tcPr>
            <w:tcW w:w="2660" w:type="dxa"/>
            <w:vAlign w:val="bottom"/>
            <w:tcBorders>
              <w:bottom w:val="single" w:sz="8" w:color="404040"/>
            </w:tcBorders>
          </w:tcPr>
          <w:p>
            <w:pPr>
              <w:ind w:left="160"/>
              <w:spacing w:after="0"/>
              <w:rPr>
                <w:sz w:val="20"/>
                <w:szCs w:val="20"/>
                <w:color w:val="auto"/>
              </w:rPr>
            </w:pPr>
            <w:r>
              <w:rPr>
                <w:rFonts w:ascii="Arial" w:cs="Arial" w:eastAsia="Arial" w:hAnsi="Arial"/>
                <w:sz w:val="14"/>
                <w:szCs w:val="14"/>
                <w:color w:val="auto"/>
              </w:rPr>
              <w:t>cause competitive harm.</w:t>
            </w:r>
          </w:p>
        </w:tc>
        <w:tc>
          <w:tcPr>
            <w:tcW w:w="1320" w:type="dxa"/>
            <w:vAlign w:val="bottom"/>
            <w:tcBorders>
              <w:bottom w:val="single" w:sz="8" w:color="404040"/>
            </w:tcBorders>
          </w:tcPr>
          <w:p>
            <w:pPr>
              <w:spacing w:after="0"/>
              <w:rPr>
                <w:sz w:val="14"/>
                <w:szCs w:val="14"/>
                <w:color w:val="auto"/>
              </w:rPr>
            </w:pPr>
          </w:p>
        </w:tc>
        <w:tc>
          <w:tcPr>
            <w:tcW w:w="1300" w:type="dxa"/>
            <w:vAlign w:val="bottom"/>
          </w:tcPr>
          <w:p>
            <w:pPr>
              <w:spacing w:after="0"/>
              <w:rPr>
                <w:sz w:val="14"/>
                <w:szCs w:val="14"/>
                <w:color w:val="auto"/>
              </w:rPr>
            </w:pPr>
          </w:p>
        </w:tc>
      </w:tr>
      <w:tr>
        <w:trPr>
          <w:trHeight w:val="358"/>
        </w:trPr>
        <w:tc>
          <w:tcPr>
            <w:tcW w:w="1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20" w:type="dxa"/>
            <w:vAlign w:val="bottom"/>
            <w:gridSpan w:val="2"/>
          </w:tcPr>
          <w:p>
            <w:pPr>
              <w:ind w:left="160"/>
              <w:spacing w:after="0"/>
              <w:rPr>
                <w:sz w:val="20"/>
                <w:szCs w:val="20"/>
                <w:color w:val="auto"/>
              </w:rPr>
            </w:pPr>
            <w:r>
              <w:rPr>
                <w:rFonts w:ascii="Arial" w:cs="Arial" w:eastAsia="Arial" w:hAnsi="Arial"/>
                <w:sz w:val="13"/>
                <w:szCs w:val="13"/>
                <w:color w:val="auto"/>
              </w:rPr>
              <w:t>2026 PROXY STATEMENT  |  39</w:t>
            </w:r>
          </w:p>
        </w:tc>
      </w:tr>
      <w:tr>
        <w:trPr>
          <w:trHeight w:val="170"/>
        </w:trPr>
        <w:tc>
          <w:tcPr>
            <w:tcW w:w="13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r>
    </w:tbl>
    <w:p>
      <w:pPr>
        <w:sectPr>
          <w:pgSz w:w="11900" w:h="16838" w:orient="portrait"/>
          <w:cols w:equalWidth="0" w:num="1">
            <w:col w:w="11020"/>
          </w:cols>
          <w:pgMar w:left="440" w:top="114" w:right="43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EE3434"/>
        </w:rPr>
        <w:t>Equity Compensation</w:t>
      </w:r>
    </w:p>
    <w:p>
      <w:pPr>
        <w:spacing w:after="0" w:line="133" w:lineRule="exact"/>
        <w:rPr>
          <w:sz w:val="20"/>
          <w:szCs w:val="20"/>
          <w:color w:val="auto"/>
        </w:rPr>
      </w:pPr>
    </w:p>
    <w:p>
      <w:pPr>
        <w:jc w:val="both"/>
        <w:ind w:left="660" w:right="299"/>
        <w:spacing w:after="0" w:line="254" w:lineRule="auto"/>
        <w:rPr>
          <w:sz w:val="20"/>
          <w:szCs w:val="20"/>
          <w:color w:val="auto"/>
        </w:rPr>
      </w:pPr>
      <w:r>
        <w:rPr>
          <w:rFonts w:ascii="Arial" w:cs="Arial" w:eastAsia="Arial" w:hAnsi="Arial"/>
          <w:sz w:val="16"/>
          <w:szCs w:val="16"/>
          <w:color w:val="auto"/>
        </w:rPr>
        <w:t>As a high-growth company in a dynamic market sector, we believe that stock awards with multi-year vesting are an effective tool for motivating our Named Executive Officers to drive long-term stockholder value. A majority of the target total direct compensation opportunity provided to our Named Executive Officers was awarded in RSUs with multi-year vesting requirements and PSUs tied to the achievement of certain corporate objectives. This program reflects the Compensation Committee’s goal of maintaining strong alignment between pay and performance for our most senior leaders.</w:t>
      </w:r>
    </w:p>
    <w:p>
      <w:pPr>
        <w:spacing w:after="0" w:line="114"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6"/>
          <w:szCs w:val="16"/>
          <w:color w:val="auto"/>
        </w:rPr>
        <w:t>As further described in “Employment Arrangements–Artur Bergman” below, Mr. Bergman may make an election to receive his annual equity refresh in the form of (i) a stock option grant or (ii) restricted stock units (which may include RSUs and PSUs) on the same terms as generally applicable to other senior Fastly executives for such year.</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Fiscal Year 2025 Annual Long-Term Incentive Equity</w:t>
      </w:r>
    </w:p>
    <w:p>
      <w:pPr>
        <w:spacing w:after="0" w:line="153" w:lineRule="exact"/>
        <w:rPr>
          <w:sz w:val="20"/>
          <w:szCs w:val="20"/>
          <w:color w:val="auto"/>
        </w:rPr>
      </w:pPr>
    </w:p>
    <w:p>
      <w:pPr>
        <w:jc w:val="both"/>
        <w:ind w:left="660" w:right="299"/>
        <w:spacing w:after="0" w:line="256" w:lineRule="auto"/>
        <w:rPr>
          <w:sz w:val="20"/>
          <w:szCs w:val="20"/>
          <w:color w:val="auto"/>
        </w:rPr>
      </w:pPr>
      <w:r>
        <w:rPr>
          <w:rFonts w:ascii="Arial" w:cs="Arial" w:eastAsia="Arial" w:hAnsi="Arial"/>
          <w:sz w:val="16"/>
          <w:szCs w:val="16"/>
          <w:color w:val="auto"/>
        </w:rPr>
        <w:t>In February and March 2025, we granted annual long-term incentive equity awards with multi-year vesting requirements to incentivize and reward our Named Executive Officers for long-term corporate performance. The annual equity awards granted to our Named Executive Officers were determined by our Compensation Committee after reviewing data from competitive market analyses prepared by Semler Brossy. In addition, our Compensation Committee considers the input of our CEO regarding the individual performance and pay levels for his direct reports.</w:t>
      </w:r>
    </w:p>
    <w:p>
      <w:pPr>
        <w:spacing w:after="0" w:line="112" w:lineRule="exact"/>
        <w:rPr>
          <w:sz w:val="20"/>
          <w:szCs w:val="20"/>
          <w:color w:val="auto"/>
        </w:rPr>
      </w:pPr>
    </w:p>
    <w:p>
      <w:pPr>
        <w:jc w:val="both"/>
        <w:ind w:left="660" w:right="299"/>
        <w:spacing w:after="0" w:line="249" w:lineRule="auto"/>
        <w:rPr>
          <w:sz w:val="20"/>
          <w:szCs w:val="20"/>
          <w:color w:val="auto"/>
        </w:rPr>
      </w:pPr>
      <w:r>
        <w:rPr>
          <w:rFonts w:ascii="Arial" w:cs="Arial" w:eastAsia="Arial" w:hAnsi="Arial"/>
          <w:sz w:val="16"/>
          <w:szCs w:val="16"/>
          <w:color w:val="auto"/>
        </w:rPr>
        <w:t>For fiscal year 2025 annual grants, approximately 40% of the target annual equity value awarded to Messrs. Bergman, Kisling, and Lovett was granted in the form of PSUs, which included Financial PSUs (25% of target value) and rTSR PSUs (15% of target value). The remaining 60% of the target annual equity value was granted in the form of time-vesting RSUs. For Mr. Compton (prior to his promotion as CEO, in his role as Chief Product Officer), approximately 30% of his target annual equity value award was granted in the form of Financial PSUs and the remaining in the form of time-vesting RSUs. Mr. Compton did not receive any rTSR PSUs while he served as Chief Product Officer. Mr. Nightingale was granted approximately 50% of the target annual equity value in the form of PSUs, which included Financial PSUs (35% of target value) and rTSR PSUs (15% of target value), and the remaining 50% in the form of time-vesting RSUs. The target dollar value of annual equity approved by the Compensation Committee for Messrs. Compton, Bergman, Kisling, and Nightingale was converted into a number of RSUs and PSUs based on the average closing share price of our common stock for the 30 calendar days prior to February 26, 2025, subject to a $9.00 per share floor as further described below. The target values of the fiscal year 2025 annual grants differ from the grant date fair value of the equity awards determined for accounting purposes. The grant date fair value of the equity awards is reported in the table below, in our 2025 Summary Compensation Table, and in the 2025 Grants of Plan-Based Awards Table.</w:t>
      </w:r>
    </w:p>
    <w:p>
      <w:pPr>
        <w:spacing w:after="0" w:line="107" w:lineRule="exact"/>
        <w:rPr>
          <w:sz w:val="20"/>
          <w:szCs w:val="20"/>
          <w:color w:val="auto"/>
        </w:rPr>
      </w:pPr>
    </w:p>
    <w:p>
      <w:pPr>
        <w:jc w:val="both"/>
        <w:ind w:left="660" w:right="299"/>
        <w:spacing w:after="0" w:line="286" w:lineRule="auto"/>
        <w:rPr>
          <w:sz w:val="20"/>
          <w:szCs w:val="20"/>
          <w:color w:val="auto"/>
        </w:rPr>
      </w:pPr>
      <w:r>
        <w:rPr>
          <w:rFonts w:ascii="Arial" w:cs="Arial" w:eastAsia="Arial" w:hAnsi="Arial"/>
          <w:sz w:val="16"/>
          <w:szCs w:val="16"/>
          <w:color w:val="auto"/>
        </w:rPr>
        <w:t>As indicated above, in February and March 2025, we made our annual equity grants to all Named Executive Officers except Mr. Wong, who was not employed by us at the time.</w:t>
      </w:r>
    </w:p>
    <w:p>
      <w:pPr>
        <w:spacing w:after="0" w:line="88" w:lineRule="exact"/>
        <w:rPr>
          <w:sz w:val="20"/>
          <w:szCs w:val="20"/>
          <w:color w:val="auto"/>
        </w:rPr>
      </w:pPr>
    </w:p>
    <w:p>
      <w:pPr>
        <w:jc w:val="both"/>
        <w:ind w:left="660" w:right="319"/>
        <w:spacing w:after="0" w:line="266" w:lineRule="auto"/>
        <w:rPr>
          <w:sz w:val="20"/>
          <w:szCs w:val="20"/>
          <w:color w:val="auto"/>
        </w:rPr>
      </w:pPr>
      <w:r>
        <w:rPr>
          <w:rFonts w:ascii="Arial" w:cs="Arial" w:eastAsia="Arial" w:hAnsi="Arial"/>
          <w:sz w:val="16"/>
          <w:szCs w:val="16"/>
          <w:color w:val="auto"/>
        </w:rPr>
        <w:t>Also, Mr. Compton and Mr. Lovett were granted additional LTI equity in connection with their promotions to CEO and President, Go to Market, respectively. Messrs. Compton’s and Lovett’s additional equity compensation is described separately below – August 2025 CEO and President, Go to Market Promotional Equity Awards.</w:t>
      </w:r>
    </w:p>
    <w:p>
      <w:pPr>
        <w:spacing w:after="0" w:line="217"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Annual Equity Grants</w:t>
      </w:r>
    </w:p>
    <w:p>
      <w:pPr>
        <w:spacing w:after="0" w:line="24" w:lineRule="exact"/>
        <w:rPr>
          <w:sz w:val="20"/>
          <w:szCs w:val="20"/>
          <w:color w:val="auto"/>
        </w:rPr>
      </w:pPr>
    </w:p>
    <w:tbl>
      <w:tblPr>
        <w:tblLayout w:type="fixed"/>
        <w:tblInd w:w="660" w:type="dxa"/>
        <w:tblCellMar>
          <w:top w:w="0" w:type="dxa"/>
          <w:left w:w="0" w:type="dxa"/>
          <w:bottom w:w="0" w:type="dxa"/>
          <w:right w:w="0" w:type="dxa"/>
        </w:tblCellMar>
      </w:tblPr>
      <w:tr>
        <w:trPr>
          <w:trHeight w:val="146"/>
        </w:trPr>
        <w:tc>
          <w:tcPr>
            <w:tcW w:w="1840" w:type="dxa"/>
            <w:vAlign w:val="bottom"/>
            <w:tcBorders>
              <w:top w:val="single" w:sz="8" w:color="404040"/>
            </w:tcBorders>
          </w:tcPr>
          <w:p>
            <w:pPr>
              <w:spacing w:after="0"/>
              <w:rPr>
                <w:sz w:val="12"/>
                <w:szCs w:val="12"/>
                <w:color w:val="auto"/>
              </w:rPr>
            </w:pPr>
          </w:p>
        </w:tc>
        <w:tc>
          <w:tcPr>
            <w:tcW w:w="1340" w:type="dxa"/>
            <w:vAlign w:val="bottom"/>
            <w:tcBorders>
              <w:top w:val="single" w:sz="8" w:color="404040"/>
            </w:tcBorders>
          </w:tcPr>
          <w:p>
            <w:pPr>
              <w:spacing w:after="0"/>
              <w:rPr>
                <w:sz w:val="12"/>
                <w:szCs w:val="12"/>
                <w:color w:val="auto"/>
              </w:rPr>
            </w:pPr>
          </w:p>
        </w:tc>
        <w:tc>
          <w:tcPr>
            <w:tcW w:w="1100" w:type="dxa"/>
            <w:vAlign w:val="bottom"/>
            <w:tcBorders>
              <w:top w:val="single" w:sz="8" w:color="404040"/>
            </w:tcBorders>
            <w:gridSpan w:val="2"/>
          </w:tcPr>
          <w:p>
            <w:pPr>
              <w:jc w:val="right"/>
              <w:ind w:right="148"/>
              <w:spacing w:after="0" w:line="147" w:lineRule="exact"/>
              <w:rPr>
                <w:sz w:val="20"/>
                <w:szCs w:val="20"/>
                <w:color w:val="auto"/>
              </w:rPr>
            </w:pPr>
            <w:r>
              <w:rPr>
                <w:rFonts w:ascii="Arial" w:cs="Arial" w:eastAsia="Arial" w:hAnsi="Arial"/>
                <w:sz w:val="14"/>
                <w:szCs w:val="14"/>
                <w:b w:val="1"/>
                <w:bCs w:val="1"/>
                <w:color w:val="auto"/>
              </w:rPr>
              <w:t>Financial</w:t>
            </w:r>
          </w:p>
        </w:tc>
        <w:tc>
          <w:tcPr>
            <w:tcW w:w="1120" w:type="dxa"/>
            <w:vAlign w:val="bottom"/>
            <w:tcBorders>
              <w:top w:val="single" w:sz="8" w:color="404040"/>
            </w:tcBorders>
          </w:tcPr>
          <w:p>
            <w:pPr>
              <w:spacing w:after="0"/>
              <w:rPr>
                <w:sz w:val="12"/>
                <w:szCs w:val="12"/>
                <w:color w:val="auto"/>
              </w:rPr>
            </w:pPr>
          </w:p>
        </w:tc>
        <w:tc>
          <w:tcPr>
            <w:tcW w:w="1160" w:type="dxa"/>
            <w:vAlign w:val="bottom"/>
            <w:tcBorders>
              <w:top w:val="single" w:sz="8" w:color="404040"/>
            </w:tcBorders>
          </w:tcPr>
          <w:p>
            <w:pPr>
              <w:spacing w:after="0"/>
              <w:rPr>
                <w:sz w:val="12"/>
                <w:szCs w:val="12"/>
                <w:color w:val="auto"/>
              </w:rPr>
            </w:pPr>
          </w:p>
        </w:tc>
        <w:tc>
          <w:tcPr>
            <w:tcW w:w="820" w:type="dxa"/>
            <w:vAlign w:val="bottom"/>
            <w:tcBorders>
              <w:top w:val="single" w:sz="8" w:color="404040"/>
            </w:tcBorders>
          </w:tcPr>
          <w:p>
            <w:pPr>
              <w:spacing w:after="0"/>
              <w:rPr>
                <w:sz w:val="12"/>
                <w:szCs w:val="12"/>
                <w:color w:val="auto"/>
              </w:rPr>
            </w:pPr>
          </w:p>
        </w:tc>
        <w:tc>
          <w:tcPr>
            <w:tcW w:w="1040" w:type="dxa"/>
            <w:vAlign w:val="bottom"/>
            <w:tcBorders>
              <w:top w:val="single" w:sz="8" w:color="404040"/>
            </w:tcBorders>
          </w:tcPr>
          <w:p>
            <w:pPr>
              <w:spacing w:after="0"/>
              <w:rPr>
                <w:sz w:val="12"/>
                <w:szCs w:val="12"/>
                <w:color w:val="auto"/>
              </w:rPr>
            </w:pPr>
          </w:p>
        </w:tc>
      </w:tr>
      <w:tr>
        <w:trPr>
          <w:trHeight w:val="171"/>
        </w:trPr>
        <w:tc>
          <w:tcPr>
            <w:tcW w:w="1840" w:type="dxa"/>
            <w:vAlign w:val="bottom"/>
          </w:tcPr>
          <w:p>
            <w:pPr>
              <w:spacing w:after="0"/>
              <w:rPr>
                <w:sz w:val="14"/>
                <w:szCs w:val="14"/>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b w:val="1"/>
                <w:bCs w:val="1"/>
                <w:color w:val="auto"/>
              </w:rPr>
              <w:t>Financial</w:t>
            </w:r>
          </w:p>
        </w:tc>
        <w:tc>
          <w:tcPr>
            <w:tcW w:w="11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PSU Grant</w:t>
            </w:r>
          </w:p>
        </w:tc>
        <w:tc>
          <w:tcPr>
            <w:tcW w:w="1120" w:type="dxa"/>
            <w:vAlign w:val="bottom"/>
          </w:tcPr>
          <w:p>
            <w:pPr>
              <w:spacing w:after="0"/>
              <w:rPr>
                <w:sz w:val="14"/>
                <w:szCs w:val="14"/>
                <w:color w:val="auto"/>
              </w:rPr>
            </w:pP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rTSR PSU</w:t>
            </w:r>
          </w:p>
        </w:tc>
        <w:tc>
          <w:tcPr>
            <w:tcW w:w="82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RSU Grant</w:t>
            </w:r>
          </w:p>
        </w:tc>
      </w:tr>
      <w:tr>
        <w:trPr>
          <w:trHeight w:val="162"/>
        </w:trPr>
        <w:tc>
          <w:tcPr>
            <w:tcW w:w="1840" w:type="dxa"/>
            <w:vAlign w:val="bottom"/>
          </w:tcPr>
          <w:p>
            <w:pPr>
              <w:spacing w:after="0"/>
              <w:rPr>
                <w:sz w:val="14"/>
                <w:szCs w:val="14"/>
                <w:color w:val="auto"/>
              </w:rPr>
            </w:pPr>
          </w:p>
        </w:tc>
        <w:tc>
          <w:tcPr>
            <w:tcW w:w="1340" w:type="dxa"/>
            <w:vAlign w:val="bottom"/>
          </w:tcPr>
          <w:p>
            <w:pPr>
              <w:jc w:val="right"/>
              <w:ind w:right="128"/>
              <w:spacing w:after="0"/>
              <w:rPr>
                <w:sz w:val="20"/>
                <w:szCs w:val="20"/>
                <w:color w:val="auto"/>
              </w:rPr>
            </w:pPr>
            <w:r>
              <w:rPr>
                <w:rFonts w:ascii="Arial" w:cs="Arial" w:eastAsia="Arial" w:hAnsi="Arial"/>
                <w:sz w:val="14"/>
                <w:szCs w:val="14"/>
                <w:b w:val="1"/>
                <w:bCs w:val="1"/>
                <w:color w:val="auto"/>
              </w:rPr>
              <w:t>PSUs at</w:t>
            </w:r>
          </w:p>
        </w:tc>
        <w:tc>
          <w:tcPr>
            <w:tcW w:w="2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Date Fair</w:t>
            </w:r>
          </w:p>
        </w:tc>
        <w:tc>
          <w:tcPr>
            <w:tcW w:w="1120" w:type="dxa"/>
            <w:vAlign w:val="bottom"/>
          </w:tcPr>
          <w:p>
            <w:pPr>
              <w:jc w:val="right"/>
              <w:ind w:right="128"/>
              <w:spacing w:after="0"/>
              <w:rPr>
                <w:sz w:val="20"/>
                <w:szCs w:val="20"/>
                <w:color w:val="auto"/>
              </w:rPr>
            </w:pPr>
            <w:r>
              <w:rPr>
                <w:rFonts w:ascii="Arial" w:cs="Arial" w:eastAsia="Arial" w:hAnsi="Arial"/>
                <w:sz w:val="14"/>
                <w:szCs w:val="14"/>
                <w:b w:val="1"/>
                <w:bCs w:val="1"/>
                <w:color w:val="auto"/>
              </w:rPr>
              <w:t>rTSR PSUs</w:t>
            </w:r>
          </w:p>
        </w:tc>
        <w:tc>
          <w:tcPr>
            <w:tcW w:w="1160" w:type="dxa"/>
            <w:vAlign w:val="bottom"/>
          </w:tcPr>
          <w:p>
            <w:pPr>
              <w:jc w:val="right"/>
              <w:ind w:right="128"/>
              <w:spacing w:after="0"/>
              <w:rPr>
                <w:sz w:val="20"/>
                <w:szCs w:val="20"/>
                <w:color w:val="auto"/>
              </w:rPr>
            </w:pPr>
            <w:r>
              <w:rPr>
                <w:rFonts w:ascii="Arial" w:cs="Arial" w:eastAsia="Arial" w:hAnsi="Arial"/>
                <w:sz w:val="14"/>
                <w:szCs w:val="14"/>
                <w:b w:val="1"/>
                <w:bCs w:val="1"/>
                <w:color w:val="auto"/>
              </w:rPr>
              <w:t>Grant Date</w:t>
            </w: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rPr>
              <w:t>RSU</w:t>
            </w: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Date Fair</w:t>
            </w:r>
          </w:p>
        </w:tc>
      </w:tr>
      <w:tr>
        <w:trPr>
          <w:trHeight w:val="203"/>
        </w:trPr>
        <w:tc>
          <w:tcPr>
            <w:tcW w:w="184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Executive</w:t>
            </w:r>
          </w:p>
        </w:tc>
        <w:tc>
          <w:tcPr>
            <w:tcW w:w="1340" w:type="dxa"/>
            <w:vAlign w:val="bottom"/>
            <w:tcBorders>
              <w:bottom w:val="single" w:sz="8" w:color="404040"/>
            </w:tcBorders>
          </w:tcPr>
          <w:p>
            <w:pPr>
              <w:jc w:val="right"/>
              <w:ind w:right="88"/>
              <w:spacing w:after="0"/>
              <w:rPr>
                <w:sz w:val="20"/>
                <w:szCs w:val="20"/>
                <w:color w:val="auto"/>
              </w:rPr>
            </w:pPr>
            <w:r>
              <w:rPr>
                <w:rFonts w:ascii="Arial" w:cs="Arial" w:eastAsia="Arial" w:hAnsi="Arial"/>
                <w:sz w:val="14"/>
                <w:szCs w:val="14"/>
                <w:b w:val="1"/>
                <w:bCs w:val="1"/>
                <w:color w:val="auto"/>
              </w:rPr>
              <w:t>Target</w:t>
            </w:r>
          </w:p>
        </w:tc>
        <w:tc>
          <w:tcPr>
            <w:tcW w:w="280" w:type="dxa"/>
            <w:vAlign w:val="bottom"/>
            <w:tcBorders>
              <w:bottom w:val="single" w:sz="8" w:color="404040"/>
            </w:tcBorders>
          </w:tcPr>
          <w:p>
            <w:pPr>
              <w:spacing w:after="0"/>
              <w:rPr>
                <w:sz w:val="17"/>
                <w:szCs w:val="17"/>
                <w:color w:val="auto"/>
              </w:rPr>
            </w:pPr>
          </w:p>
        </w:tc>
        <w:tc>
          <w:tcPr>
            <w:tcW w:w="820" w:type="dxa"/>
            <w:vAlign w:val="bottom"/>
            <w:tcBorders>
              <w:bottom w:val="single" w:sz="8" w:color="404040"/>
            </w:tcBorders>
          </w:tcPr>
          <w:p>
            <w:pPr>
              <w:jc w:val="right"/>
              <w:ind w:right="108"/>
              <w:spacing w:after="0" w:line="202"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b w:val="1"/>
                <w:bCs w:val="1"/>
                <w:color w:val="auto"/>
                <w:vertAlign w:val="superscript"/>
              </w:rPr>
              <w:t>(1)</w:t>
            </w:r>
          </w:p>
        </w:tc>
        <w:tc>
          <w:tcPr>
            <w:tcW w:w="112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b w:val="1"/>
                <w:bCs w:val="1"/>
                <w:color w:val="auto"/>
              </w:rPr>
              <w:t>at Target</w:t>
            </w:r>
          </w:p>
        </w:tc>
        <w:tc>
          <w:tcPr>
            <w:tcW w:w="1160" w:type="dxa"/>
            <w:vAlign w:val="bottom"/>
            <w:tcBorders>
              <w:bottom w:val="single" w:sz="8" w:color="404040"/>
            </w:tcBorders>
          </w:tcPr>
          <w:p>
            <w:pPr>
              <w:ind w:left="180"/>
              <w:spacing w:after="0" w:line="202"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(1)</w:t>
            </w:r>
          </w:p>
        </w:tc>
        <w:tc>
          <w:tcPr>
            <w:tcW w:w="820" w:type="dxa"/>
            <w:vAlign w:val="bottom"/>
            <w:tcBorders>
              <w:bottom w:val="single" w:sz="8" w:color="404040"/>
            </w:tcBorders>
          </w:tcPr>
          <w:p>
            <w:pPr>
              <w:ind w:left="280"/>
              <w:spacing w:after="0"/>
              <w:rPr>
                <w:sz w:val="20"/>
                <w:szCs w:val="20"/>
                <w:color w:val="auto"/>
              </w:rPr>
            </w:pPr>
            <w:r>
              <w:rPr>
                <w:rFonts w:ascii="Arial" w:cs="Arial" w:eastAsia="Arial" w:hAnsi="Arial"/>
                <w:sz w:val="14"/>
                <w:szCs w:val="14"/>
                <w:b w:val="1"/>
                <w:bCs w:val="1"/>
                <w:color w:val="auto"/>
              </w:rPr>
              <w:t>Grant</w:t>
            </w:r>
          </w:p>
        </w:tc>
        <w:tc>
          <w:tcPr>
            <w:tcW w:w="1040" w:type="dxa"/>
            <w:vAlign w:val="bottom"/>
            <w:tcBorders>
              <w:bottom w:val="single" w:sz="8" w:color="404040"/>
            </w:tcBorders>
          </w:tcPr>
          <w:p>
            <w:pPr>
              <w:jc w:val="right"/>
              <w:ind w:right="48"/>
              <w:spacing w:after="0" w:line="202"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b w:val="1"/>
                <w:bCs w:val="1"/>
                <w:color w:val="auto"/>
                <w:vertAlign w:val="superscript"/>
              </w:rPr>
              <w:t>(1)</w:t>
            </w:r>
          </w:p>
        </w:tc>
      </w:tr>
      <w:tr>
        <w:trPr>
          <w:trHeight w:val="196"/>
        </w:trPr>
        <w:tc>
          <w:tcPr>
            <w:tcW w:w="1840" w:type="dxa"/>
            <w:vAlign w:val="bottom"/>
            <w:tcBorders>
              <w:bottom w:val="single" w:sz="8" w:color="404040"/>
            </w:tcBorders>
          </w:tcPr>
          <w:p>
            <w:pPr>
              <w:ind w:left="60"/>
              <w:spacing w:after="0" w:line="195" w:lineRule="exact"/>
              <w:rPr>
                <w:sz w:val="20"/>
                <w:szCs w:val="20"/>
                <w:color w:val="auto"/>
              </w:rPr>
            </w:pPr>
            <w:r>
              <w:rPr>
                <w:rFonts w:ascii="Arial" w:cs="Arial" w:eastAsia="Arial" w:hAnsi="Arial"/>
                <w:sz w:val="14"/>
                <w:szCs w:val="14"/>
                <w:color w:val="auto"/>
              </w:rPr>
              <w:t>Charles Compton</w:t>
            </w:r>
            <w:r>
              <w:rPr>
                <w:rFonts w:ascii="Arial" w:cs="Arial" w:eastAsia="Arial" w:hAnsi="Arial"/>
                <w:sz w:val="22"/>
                <w:szCs w:val="22"/>
                <w:color w:val="auto"/>
                <w:vertAlign w:val="superscript"/>
              </w:rPr>
              <w:t>(2)</w:t>
            </w:r>
          </w:p>
        </w:tc>
        <w:tc>
          <w:tcPr>
            <w:tcW w:w="1340" w:type="dxa"/>
            <w:vAlign w:val="bottom"/>
            <w:tcBorders>
              <w:bottom w:val="single" w:sz="8" w:color="404040"/>
            </w:tcBorders>
          </w:tcPr>
          <w:p>
            <w:pPr>
              <w:jc w:val="right"/>
              <w:ind w:right="108"/>
              <w:spacing w:after="0"/>
              <w:rPr>
                <w:sz w:val="20"/>
                <w:szCs w:val="20"/>
                <w:color w:val="auto"/>
              </w:rPr>
            </w:pPr>
            <w:r>
              <w:rPr>
                <w:rFonts w:ascii="Arial" w:cs="Arial" w:eastAsia="Arial" w:hAnsi="Arial"/>
                <w:sz w:val="14"/>
                <w:szCs w:val="14"/>
                <w:color w:val="auto"/>
              </w:rPr>
              <w:t>64,446</w:t>
            </w:r>
          </w:p>
        </w:tc>
        <w:tc>
          <w:tcPr>
            <w:tcW w:w="280" w:type="dxa"/>
            <w:vAlign w:val="bottom"/>
            <w:tcBorders>
              <w:bottom w:val="single" w:sz="8" w:color="404040"/>
            </w:tcBorders>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color w:val="auto"/>
              </w:rPr>
              <w:t>449,833</w:t>
            </w:r>
          </w:p>
        </w:tc>
        <w:tc>
          <w:tcPr>
            <w:tcW w:w="112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404040"/>
            </w:tcBorders>
          </w:tcPr>
          <w:p>
            <w:pPr>
              <w:ind w:left="140"/>
              <w:spacing w:after="0"/>
              <w:rPr>
                <w:sz w:val="20"/>
                <w:szCs w:val="20"/>
                <w:color w:val="auto"/>
              </w:rPr>
            </w:pPr>
            <w:r>
              <w:rPr>
                <w:rFonts w:ascii="Arial" w:cs="Arial" w:eastAsia="Arial" w:hAnsi="Arial"/>
                <w:sz w:val="14"/>
                <w:szCs w:val="14"/>
                <w:color w:val="auto"/>
              </w:rPr>
              <w:t>150,375</w:t>
            </w:r>
          </w:p>
        </w:tc>
        <w:tc>
          <w:tcPr>
            <w:tcW w:w="10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$1,049,618</w:t>
            </w:r>
          </w:p>
        </w:tc>
      </w:tr>
      <w:tr>
        <w:trPr>
          <w:trHeight w:val="169"/>
        </w:trPr>
        <w:tc>
          <w:tcPr>
            <w:tcW w:w="1840" w:type="dxa"/>
            <w:vAlign w:val="bottom"/>
            <w:tcBorders>
              <w:bottom w:val="single" w:sz="8" w:color="404040"/>
            </w:tcBorders>
          </w:tcPr>
          <w:p>
            <w:pPr>
              <w:ind w:left="60"/>
              <w:spacing w:after="0"/>
              <w:rPr>
                <w:sz w:val="20"/>
                <w:szCs w:val="20"/>
                <w:color w:val="auto"/>
              </w:rPr>
            </w:pPr>
            <w:r>
              <w:rPr>
                <w:rFonts w:ascii="Arial" w:cs="Arial" w:eastAsia="Arial" w:hAnsi="Arial"/>
                <w:sz w:val="14"/>
                <w:szCs w:val="14"/>
                <w:color w:val="auto"/>
              </w:rPr>
              <w:t>Artur Bergman</w:t>
            </w:r>
          </w:p>
        </w:tc>
        <w:tc>
          <w:tcPr>
            <w:tcW w:w="1340" w:type="dxa"/>
            <w:vAlign w:val="bottom"/>
            <w:tcBorders>
              <w:bottom w:val="single" w:sz="8" w:color="404040"/>
            </w:tcBorders>
          </w:tcPr>
          <w:p>
            <w:pPr>
              <w:jc w:val="right"/>
              <w:ind w:right="88"/>
              <w:spacing w:after="0"/>
              <w:rPr>
                <w:sz w:val="20"/>
                <w:szCs w:val="20"/>
                <w:color w:val="auto"/>
              </w:rPr>
            </w:pPr>
            <w:r>
              <w:rPr>
                <w:rFonts w:ascii="Arial" w:cs="Arial" w:eastAsia="Arial" w:hAnsi="Arial"/>
                <w:sz w:val="14"/>
                <w:szCs w:val="14"/>
                <w:color w:val="auto"/>
              </w:rPr>
              <w:t>124,462</w:t>
            </w:r>
          </w:p>
        </w:tc>
        <w:tc>
          <w:tcPr>
            <w:tcW w:w="280" w:type="dxa"/>
            <w:vAlign w:val="bottom"/>
            <w:tcBorders>
              <w:bottom w:val="single" w:sz="8" w:color="404040"/>
            </w:tcBorders>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color w:val="auto"/>
              </w:rPr>
              <w:t>868,745</w:t>
            </w:r>
          </w:p>
        </w:tc>
        <w:tc>
          <w:tcPr>
            <w:tcW w:w="112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color w:val="auto"/>
              </w:rPr>
              <w:t>74,677</w:t>
            </w:r>
          </w:p>
        </w:tc>
        <w:tc>
          <w:tcPr>
            <w:tcW w:w="1160" w:type="dxa"/>
            <w:vAlign w:val="bottom"/>
            <w:tcBorders>
              <w:bottom w:val="single" w:sz="8" w:color="404040"/>
            </w:tcBorders>
          </w:tcPr>
          <w:p>
            <w:pPr>
              <w:ind w:left="280"/>
              <w:spacing w:after="0"/>
              <w:rPr>
                <w:sz w:val="20"/>
                <w:szCs w:val="20"/>
                <w:color w:val="auto"/>
              </w:rPr>
            </w:pPr>
            <w:r>
              <w:rPr>
                <w:rFonts w:ascii="Arial" w:cs="Arial" w:eastAsia="Arial" w:hAnsi="Arial"/>
                <w:sz w:val="14"/>
                <w:szCs w:val="14"/>
                <w:color w:val="auto"/>
              </w:rPr>
              <w:t>$1,090,284</w:t>
            </w:r>
          </w:p>
        </w:tc>
        <w:tc>
          <w:tcPr>
            <w:tcW w:w="820" w:type="dxa"/>
            <w:vAlign w:val="bottom"/>
            <w:tcBorders>
              <w:bottom w:val="single" w:sz="8" w:color="404040"/>
            </w:tcBorders>
          </w:tcPr>
          <w:p>
            <w:pPr>
              <w:ind w:left="140"/>
              <w:spacing w:after="0"/>
              <w:rPr>
                <w:sz w:val="20"/>
                <w:szCs w:val="20"/>
                <w:color w:val="auto"/>
              </w:rPr>
            </w:pPr>
            <w:r>
              <w:rPr>
                <w:rFonts w:ascii="Arial" w:cs="Arial" w:eastAsia="Arial" w:hAnsi="Arial"/>
                <w:sz w:val="14"/>
                <w:szCs w:val="14"/>
                <w:color w:val="auto"/>
              </w:rPr>
              <w:t>298,711</w:t>
            </w:r>
          </w:p>
        </w:tc>
        <w:tc>
          <w:tcPr>
            <w:tcW w:w="10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$2,085,003</w:t>
            </w:r>
          </w:p>
        </w:tc>
      </w:tr>
      <w:tr>
        <w:trPr>
          <w:trHeight w:val="196"/>
        </w:trPr>
        <w:tc>
          <w:tcPr>
            <w:tcW w:w="1840" w:type="dxa"/>
            <w:vAlign w:val="bottom"/>
            <w:tcBorders>
              <w:bottom w:val="single" w:sz="8" w:color="404040"/>
            </w:tcBorders>
          </w:tcPr>
          <w:p>
            <w:pPr>
              <w:ind w:left="60"/>
              <w:spacing w:after="0" w:line="195" w:lineRule="exact"/>
              <w:rPr>
                <w:sz w:val="20"/>
                <w:szCs w:val="20"/>
                <w:color w:val="auto"/>
              </w:rPr>
            </w:pPr>
            <w:r>
              <w:rPr>
                <w:rFonts w:ascii="Arial" w:cs="Arial" w:eastAsia="Arial" w:hAnsi="Arial"/>
                <w:sz w:val="14"/>
                <w:szCs w:val="14"/>
                <w:color w:val="auto"/>
              </w:rPr>
              <w:t>Scott Lovett</w:t>
            </w:r>
            <w:r>
              <w:rPr>
                <w:rFonts w:ascii="Arial" w:cs="Arial" w:eastAsia="Arial" w:hAnsi="Arial"/>
                <w:sz w:val="22"/>
                <w:szCs w:val="22"/>
                <w:color w:val="auto"/>
                <w:vertAlign w:val="superscript"/>
              </w:rPr>
              <w:t>(2)</w:t>
            </w:r>
          </w:p>
        </w:tc>
        <w:tc>
          <w:tcPr>
            <w:tcW w:w="1340" w:type="dxa"/>
            <w:vAlign w:val="bottom"/>
            <w:tcBorders>
              <w:bottom w:val="single" w:sz="8" w:color="404040"/>
            </w:tcBorders>
          </w:tcPr>
          <w:p>
            <w:pPr>
              <w:jc w:val="right"/>
              <w:ind w:right="108"/>
              <w:spacing w:after="0"/>
              <w:rPr>
                <w:sz w:val="20"/>
                <w:szCs w:val="20"/>
                <w:color w:val="auto"/>
              </w:rPr>
            </w:pPr>
            <w:r>
              <w:rPr>
                <w:rFonts w:ascii="Arial" w:cs="Arial" w:eastAsia="Arial" w:hAnsi="Arial"/>
                <w:sz w:val="14"/>
                <w:szCs w:val="14"/>
                <w:color w:val="auto"/>
              </w:rPr>
              <w:t>80,558</w:t>
            </w:r>
          </w:p>
        </w:tc>
        <w:tc>
          <w:tcPr>
            <w:tcW w:w="280" w:type="dxa"/>
            <w:vAlign w:val="bottom"/>
            <w:tcBorders>
              <w:bottom w:val="single" w:sz="8" w:color="404040"/>
            </w:tcBorders>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color w:val="auto"/>
              </w:rPr>
              <w:t>562,295</w:t>
            </w:r>
          </w:p>
        </w:tc>
        <w:tc>
          <w:tcPr>
            <w:tcW w:w="112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color w:val="auto"/>
              </w:rPr>
              <w:t>48,335</w:t>
            </w:r>
          </w:p>
        </w:tc>
        <w:tc>
          <w:tcPr>
            <w:tcW w:w="1160" w:type="dxa"/>
            <w:vAlign w:val="bottom"/>
            <w:tcBorders>
              <w:bottom w:val="single" w:sz="8" w:color="404040"/>
            </w:tcBorders>
          </w:tcPr>
          <w:p>
            <w:pPr>
              <w:ind w:left="280"/>
              <w:spacing w:after="0"/>
              <w:rPr>
                <w:sz w:val="20"/>
                <w:szCs w:val="20"/>
                <w:color w:val="auto"/>
              </w:rPr>
            </w:pPr>
            <w:r>
              <w:rPr>
                <w:rFonts w:ascii="Arial" w:cs="Arial" w:eastAsia="Arial" w:hAnsi="Arial"/>
                <w:sz w:val="14"/>
                <w:szCs w:val="14"/>
                <w:color w:val="auto"/>
              </w:rPr>
              <w:t>$ 705,691</w:t>
            </w:r>
          </w:p>
        </w:tc>
        <w:tc>
          <w:tcPr>
            <w:tcW w:w="820" w:type="dxa"/>
            <w:vAlign w:val="bottom"/>
            <w:tcBorders>
              <w:bottom w:val="single" w:sz="8" w:color="404040"/>
            </w:tcBorders>
          </w:tcPr>
          <w:p>
            <w:pPr>
              <w:ind w:left="140"/>
              <w:spacing w:after="0"/>
              <w:rPr>
                <w:sz w:val="20"/>
                <w:szCs w:val="20"/>
                <w:color w:val="auto"/>
              </w:rPr>
            </w:pPr>
            <w:r>
              <w:rPr>
                <w:rFonts w:ascii="Arial" w:cs="Arial" w:eastAsia="Arial" w:hAnsi="Arial"/>
                <w:sz w:val="14"/>
                <w:szCs w:val="14"/>
                <w:color w:val="auto"/>
              </w:rPr>
              <w:t>193,340</w:t>
            </w:r>
          </w:p>
        </w:tc>
        <w:tc>
          <w:tcPr>
            <w:tcW w:w="10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$1,349,513</w:t>
            </w:r>
          </w:p>
        </w:tc>
      </w:tr>
      <w:tr>
        <w:trPr>
          <w:trHeight w:val="196"/>
        </w:trPr>
        <w:tc>
          <w:tcPr>
            <w:tcW w:w="1840" w:type="dxa"/>
            <w:vAlign w:val="bottom"/>
            <w:tcBorders>
              <w:bottom w:val="single" w:sz="8" w:color="404040"/>
            </w:tcBorders>
          </w:tcPr>
          <w:p>
            <w:pPr>
              <w:ind w:left="60"/>
              <w:spacing w:after="0" w:line="195" w:lineRule="exact"/>
              <w:rPr>
                <w:sz w:val="20"/>
                <w:szCs w:val="20"/>
                <w:color w:val="auto"/>
              </w:rPr>
            </w:pPr>
            <w:r>
              <w:rPr>
                <w:rFonts w:ascii="Arial" w:cs="Arial" w:eastAsia="Arial" w:hAnsi="Arial"/>
                <w:sz w:val="14"/>
                <w:szCs w:val="14"/>
                <w:color w:val="auto"/>
              </w:rPr>
              <w:t>Todd Nightingale</w:t>
            </w:r>
            <w:r>
              <w:rPr>
                <w:rFonts w:ascii="Arial" w:cs="Arial" w:eastAsia="Arial" w:hAnsi="Arial"/>
                <w:sz w:val="22"/>
                <w:szCs w:val="22"/>
                <w:color w:val="auto"/>
                <w:vertAlign w:val="superscript"/>
              </w:rPr>
              <w:t>(3)</w:t>
            </w:r>
          </w:p>
        </w:tc>
        <w:tc>
          <w:tcPr>
            <w:tcW w:w="1340" w:type="dxa"/>
            <w:vAlign w:val="bottom"/>
            <w:tcBorders>
              <w:bottom w:val="single" w:sz="8" w:color="404040"/>
            </w:tcBorders>
          </w:tcPr>
          <w:p>
            <w:pPr>
              <w:jc w:val="right"/>
              <w:ind w:right="88"/>
              <w:spacing w:after="0"/>
              <w:rPr>
                <w:sz w:val="20"/>
                <w:szCs w:val="20"/>
                <w:color w:val="auto"/>
              </w:rPr>
            </w:pPr>
            <w:r>
              <w:rPr>
                <w:rFonts w:ascii="Arial" w:cs="Arial" w:eastAsia="Arial" w:hAnsi="Arial"/>
                <w:sz w:val="14"/>
                <w:szCs w:val="14"/>
                <w:color w:val="auto"/>
              </w:rPr>
              <w:t>253,759</w:t>
            </w:r>
          </w:p>
        </w:tc>
        <w:tc>
          <w:tcPr>
            <w:tcW w:w="1100" w:type="dxa"/>
            <w:vAlign w:val="bottom"/>
            <w:tcBorders>
              <w:bottom w:val="single" w:sz="8" w:color="404040"/>
            </w:tcBorders>
            <w:gridSpan w:val="2"/>
          </w:tcPr>
          <w:p>
            <w:pPr>
              <w:ind w:left="200"/>
              <w:spacing w:after="0"/>
              <w:rPr>
                <w:sz w:val="20"/>
                <w:szCs w:val="20"/>
                <w:color w:val="auto"/>
              </w:rPr>
            </w:pPr>
            <w:r>
              <w:rPr>
                <w:rFonts w:ascii="Arial" w:cs="Arial" w:eastAsia="Arial" w:hAnsi="Arial"/>
                <w:sz w:val="14"/>
                <w:szCs w:val="14"/>
                <w:color w:val="auto"/>
              </w:rPr>
              <w:t>$1,649,434</w:t>
            </w:r>
          </w:p>
        </w:tc>
        <w:tc>
          <w:tcPr>
            <w:tcW w:w="112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color w:val="auto"/>
              </w:rPr>
              <w:t>108,754</w:t>
            </w:r>
          </w:p>
        </w:tc>
        <w:tc>
          <w:tcPr>
            <w:tcW w:w="1160" w:type="dxa"/>
            <w:vAlign w:val="bottom"/>
            <w:tcBorders>
              <w:bottom w:val="single" w:sz="8" w:color="404040"/>
            </w:tcBorders>
          </w:tcPr>
          <w:p>
            <w:pPr>
              <w:ind w:left="280"/>
              <w:spacing w:after="0"/>
              <w:rPr>
                <w:sz w:val="20"/>
                <w:szCs w:val="20"/>
                <w:color w:val="auto"/>
              </w:rPr>
            </w:pPr>
            <w:r>
              <w:rPr>
                <w:rFonts w:ascii="Arial" w:cs="Arial" w:eastAsia="Arial" w:hAnsi="Arial"/>
                <w:sz w:val="14"/>
                <w:szCs w:val="14"/>
                <w:color w:val="auto"/>
              </w:rPr>
              <w:t>$1,464,916</w:t>
            </w:r>
          </w:p>
        </w:tc>
        <w:tc>
          <w:tcPr>
            <w:tcW w:w="820" w:type="dxa"/>
            <w:vAlign w:val="bottom"/>
            <w:tcBorders>
              <w:bottom w:val="single" w:sz="8" w:color="404040"/>
            </w:tcBorders>
          </w:tcPr>
          <w:p>
            <w:pPr>
              <w:ind w:left="140"/>
              <w:spacing w:after="0"/>
              <w:rPr>
                <w:sz w:val="20"/>
                <w:szCs w:val="20"/>
                <w:color w:val="auto"/>
              </w:rPr>
            </w:pPr>
            <w:r>
              <w:rPr>
                <w:rFonts w:ascii="Arial" w:cs="Arial" w:eastAsia="Arial" w:hAnsi="Arial"/>
                <w:sz w:val="14"/>
                <w:szCs w:val="14"/>
                <w:color w:val="auto"/>
              </w:rPr>
              <w:t>362,513</w:t>
            </w:r>
          </w:p>
        </w:tc>
        <w:tc>
          <w:tcPr>
            <w:tcW w:w="10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$2,356,335</w:t>
            </w:r>
          </w:p>
        </w:tc>
      </w:tr>
      <w:tr>
        <w:trPr>
          <w:trHeight w:val="183"/>
        </w:trPr>
        <w:tc>
          <w:tcPr>
            <w:tcW w:w="1840" w:type="dxa"/>
            <w:vAlign w:val="bottom"/>
            <w:tcBorders>
              <w:bottom w:val="single" w:sz="8" w:color="404040"/>
            </w:tcBorders>
          </w:tcPr>
          <w:p>
            <w:pPr>
              <w:ind w:left="60"/>
              <w:spacing w:after="0" w:line="183" w:lineRule="exact"/>
              <w:rPr>
                <w:sz w:val="20"/>
                <w:szCs w:val="20"/>
                <w:color w:val="auto"/>
              </w:rPr>
            </w:pPr>
            <w:r>
              <w:rPr>
                <w:rFonts w:ascii="Arial" w:cs="Arial" w:eastAsia="Arial" w:hAnsi="Arial"/>
                <w:sz w:val="13"/>
                <w:szCs w:val="13"/>
                <w:color w:val="auto"/>
              </w:rPr>
              <w:t>Ronald Kisling</w:t>
            </w:r>
            <w:r>
              <w:rPr>
                <w:rFonts w:ascii="Arial" w:cs="Arial" w:eastAsia="Arial" w:hAnsi="Arial"/>
                <w:sz w:val="21"/>
                <w:szCs w:val="21"/>
                <w:color w:val="auto"/>
                <w:vertAlign w:val="superscript"/>
              </w:rPr>
              <w:t>(3)</w:t>
            </w:r>
          </w:p>
        </w:tc>
        <w:tc>
          <w:tcPr>
            <w:tcW w:w="1340" w:type="dxa"/>
            <w:vAlign w:val="bottom"/>
            <w:tcBorders>
              <w:bottom w:val="single" w:sz="8" w:color="404040"/>
            </w:tcBorders>
          </w:tcPr>
          <w:p>
            <w:pPr>
              <w:jc w:val="right"/>
              <w:ind w:right="108"/>
              <w:spacing w:after="0"/>
              <w:rPr>
                <w:sz w:val="20"/>
                <w:szCs w:val="20"/>
                <w:color w:val="auto"/>
              </w:rPr>
            </w:pPr>
            <w:r>
              <w:rPr>
                <w:rFonts w:ascii="Arial" w:cs="Arial" w:eastAsia="Arial" w:hAnsi="Arial"/>
                <w:sz w:val="14"/>
                <w:szCs w:val="14"/>
                <w:color w:val="auto"/>
              </w:rPr>
              <w:t>67,132</w:t>
            </w:r>
          </w:p>
        </w:tc>
        <w:tc>
          <w:tcPr>
            <w:tcW w:w="280" w:type="dxa"/>
            <w:vAlign w:val="bottom"/>
            <w:tcBorders>
              <w:bottom w:val="single" w:sz="8" w:color="404040"/>
            </w:tcBorders>
          </w:tcPr>
          <w:p>
            <w:pPr>
              <w:ind w:left="200"/>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color w:val="auto"/>
              </w:rPr>
              <w:t>468,581</w:t>
            </w:r>
          </w:p>
        </w:tc>
        <w:tc>
          <w:tcPr>
            <w:tcW w:w="112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color w:val="auto"/>
              </w:rPr>
              <w:t>40,279</w:t>
            </w:r>
          </w:p>
        </w:tc>
        <w:tc>
          <w:tcPr>
            <w:tcW w:w="1160" w:type="dxa"/>
            <w:vAlign w:val="bottom"/>
            <w:tcBorders>
              <w:bottom w:val="single" w:sz="8" w:color="404040"/>
            </w:tcBorders>
          </w:tcPr>
          <w:p>
            <w:pPr>
              <w:ind w:left="280"/>
              <w:spacing w:after="0"/>
              <w:rPr>
                <w:sz w:val="20"/>
                <w:szCs w:val="20"/>
                <w:color w:val="auto"/>
              </w:rPr>
            </w:pPr>
            <w:r>
              <w:rPr>
                <w:rFonts w:ascii="Arial" w:cs="Arial" w:eastAsia="Arial" w:hAnsi="Arial"/>
                <w:sz w:val="14"/>
                <w:szCs w:val="14"/>
                <w:color w:val="auto"/>
              </w:rPr>
              <w:t>$  588,073</w:t>
            </w:r>
          </w:p>
        </w:tc>
        <w:tc>
          <w:tcPr>
            <w:tcW w:w="820" w:type="dxa"/>
            <w:vAlign w:val="bottom"/>
            <w:tcBorders>
              <w:bottom w:val="single" w:sz="8" w:color="404040"/>
            </w:tcBorders>
          </w:tcPr>
          <w:p>
            <w:pPr>
              <w:ind w:left="140"/>
              <w:spacing w:after="0"/>
              <w:rPr>
                <w:sz w:val="20"/>
                <w:szCs w:val="20"/>
                <w:color w:val="auto"/>
              </w:rPr>
            </w:pPr>
            <w:r>
              <w:rPr>
                <w:rFonts w:ascii="Arial" w:cs="Arial" w:eastAsia="Arial" w:hAnsi="Arial"/>
                <w:sz w:val="14"/>
                <w:szCs w:val="14"/>
                <w:color w:val="auto"/>
              </w:rPr>
              <w:t>161,117</w:t>
            </w:r>
          </w:p>
        </w:tc>
        <w:tc>
          <w:tcPr>
            <w:tcW w:w="10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$1,124,597</w:t>
            </w:r>
          </w:p>
        </w:tc>
      </w:tr>
    </w:tbl>
    <w:p>
      <w:pPr>
        <w:spacing w:after="0" w:line="252" w:lineRule="exact"/>
        <w:rPr>
          <w:sz w:val="20"/>
          <w:szCs w:val="20"/>
          <w:color w:val="auto"/>
        </w:rPr>
      </w:pPr>
    </w:p>
    <w:p>
      <w:pPr>
        <w:jc w:val="both"/>
        <w:ind w:left="1000" w:right="299" w:hanging="348"/>
        <w:spacing w:after="0" w:line="233" w:lineRule="auto"/>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 grant date fair value of RSUs and PSUs is computed in accordance with Financial Accounting Standard Board Accounting Standards Codification Topic 718 for stock-based compensation transactions (“ASC Topic 718”). Assumptions used in the calculation of these amounts are included in Note 10 to our Consolidated Financial Statements included in our Annual Report, filed with the SEC on February 25, 2026.</w:t>
      </w:r>
    </w:p>
    <w:p>
      <w:pPr>
        <w:ind w:left="1000" w:right="319" w:hanging="348"/>
        <w:spacing w:after="0" w:line="238" w:lineRule="auto"/>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These do not reflect additional equity grants granted to Mr. Compton or Mr. Lovett in connection with their promotions to CEO and President, Go to Market, respectively.</w:t>
      </w:r>
    </w:p>
    <w:p>
      <w:pPr>
        <w:spacing w:after="0" w:line="10" w:lineRule="exact"/>
        <w:rPr>
          <w:rFonts w:ascii="Arial" w:cs="Arial" w:eastAsia="Arial" w:hAnsi="Arial"/>
          <w:sz w:val="13"/>
          <w:szCs w:val="13"/>
          <w:color w:val="auto"/>
        </w:rPr>
      </w:pPr>
    </w:p>
    <w:p>
      <w:pPr>
        <w:ind w:left="1000" w:right="319" w:hanging="348"/>
        <w:spacing w:after="0" w:line="243" w:lineRule="auto"/>
        <w:tabs>
          <w:tab w:leader="none" w:pos="10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As described under “Employment Arrangements,” Mr. Nightingale’s awards were forfeited upon his resignation, and Mr. Kisling’s awards were adjusted as set forth in the Kisling Separation Agreement. The numbers in the table above reflect grant date totals.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40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Time-Based Vesting RSU Grants</w:t>
      </w:r>
    </w:p>
    <w:p>
      <w:pPr>
        <w:spacing w:after="0" w:line="135" w:lineRule="exact"/>
        <w:rPr>
          <w:sz w:val="20"/>
          <w:szCs w:val="20"/>
          <w:color w:val="auto"/>
        </w:rPr>
      </w:pPr>
    </w:p>
    <w:p>
      <w:pPr>
        <w:jc w:val="both"/>
        <w:ind w:left="660" w:right="640"/>
        <w:spacing w:after="0" w:line="248" w:lineRule="auto"/>
        <w:rPr>
          <w:sz w:val="20"/>
          <w:szCs w:val="20"/>
          <w:color w:val="auto"/>
        </w:rPr>
      </w:pPr>
      <w:r>
        <w:rPr>
          <w:rFonts w:ascii="Arial" w:cs="Arial" w:eastAsia="Arial" w:hAnsi="Arial"/>
          <w:sz w:val="16"/>
          <w:szCs w:val="16"/>
          <w:color w:val="auto"/>
        </w:rPr>
        <w:t>Time-based vesting RSUs represent the majority of the compensation awarded to our Named Executive Officers, except for Mr. Nightingale, in 2025. The annual RSUs described in the table above were finalized in February and March 2025, and determined by establishing a target value based on competitive market data for companies in our peer group and the competitive market for talent. The target value established by the Compensation Committee was approved based on the greater of (i) the average share price of our common stock for the 30 calendar days prior to February 26, 2025, the expected grant approval date, or (ii) $9.00. These target values differ from the grant date fair value of the equity awards determined for accounting purposes. The grant date fair value of the equity awards is reported below in our 2025 Summary Compensation Table and 2025 Grants of Plan-Based Awards Table. The time-based vesting RSUs granted to Messrs. Compton, Bergman, Lovett, Nightingale, and Kisling have vesting schedules</w:t>
      </w:r>
    </w:p>
    <w:p>
      <w:pPr>
        <w:spacing w:after="0" w:line="3" w:lineRule="exact"/>
        <w:rPr>
          <w:sz w:val="20"/>
          <w:szCs w:val="20"/>
          <w:color w:val="auto"/>
        </w:rPr>
      </w:pPr>
    </w:p>
    <w:p>
      <w:pPr>
        <w:jc w:val="both"/>
        <w:ind w:left="660" w:right="640"/>
        <w:spacing w:after="0" w:line="214" w:lineRule="auto"/>
        <w:rPr>
          <w:sz w:val="20"/>
          <w:szCs w:val="20"/>
          <w:color w:val="auto"/>
        </w:rPr>
      </w:pPr>
      <w:r>
        <w:rPr>
          <w:rFonts w:ascii="Arial" w:cs="Arial" w:eastAsia="Arial" w:hAnsi="Arial"/>
          <w:sz w:val="16"/>
          <w:szCs w:val="16"/>
          <w:color w:val="auto"/>
        </w:rPr>
        <w:t>such that 1/12</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RSUs vested on May 15, 2025 and the remainder vest in 11 quarterly installments thereafter, for a total 36 month vesting period.</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Performance-Based PSU Grants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Financial PSUs</w:t>
      </w:r>
    </w:p>
    <w:p>
      <w:pPr>
        <w:spacing w:after="0" w:line="149" w:lineRule="exact"/>
        <w:rPr>
          <w:sz w:val="20"/>
          <w:szCs w:val="20"/>
          <w:color w:val="auto"/>
        </w:rPr>
      </w:pPr>
    </w:p>
    <w:p>
      <w:pPr>
        <w:jc w:val="both"/>
        <w:ind w:left="660" w:right="640"/>
        <w:spacing w:after="0" w:line="250" w:lineRule="auto"/>
        <w:rPr>
          <w:sz w:val="20"/>
          <w:szCs w:val="20"/>
          <w:color w:val="auto"/>
        </w:rPr>
      </w:pPr>
      <w:r>
        <w:rPr>
          <w:rFonts w:ascii="Arial" w:cs="Arial" w:eastAsia="Arial" w:hAnsi="Arial"/>
          <w:sz w:val="16"/>
          <w:szCs w:val="16"/>
          <w:color w:val="auto"/>
        </w:rPr>
        <w:t>In February and March 2025, our Compensation Committee approved the grant of Financial PSUs based on the 2025 Objectives for Messrs. Compton (prior to his promotion to CEO), Bergman, Lovett, Nightingale, and Kisling. The target value of the Financial PSUs reflected 25% of the total long-term incentive target value for Messrs. Bergman, Lovett, and Kisling, 30% for Mr. Compton, who was not considered a Named Executive Officer at the time, and 35% of the total long-term incentive target value for Mr. Nightingale, taking into consideration competitive market data for companies in our peer group and the competitive market for talent. The target value established by the Compensation Committee was approved based on the greater of (i) the average share price of our common stock for the 30 calendar days prior to February 26, 2025, the expected grant approval date, or (ii) $9.00. This target value differs from the grant date fair value of the equity awards determined for accounting purposes. The grant date fair value of the equity awards is reported below in our 2025 Summary Compensation Table and 2025 Grants of Plan-Based Awards Table. The table above reflects the target number of shares eligible to be earned by each of Messrs. Compton, Bergman, Lovett, Nightingale, and Kisling, with the maximum payout being equal to 150% of target.</w:t>
      </w:r>
    </w:p>
    <w:p>
      <w:pPr>
        <w:spacing w:after="0" w:line="117" w:lineRule="exact"/>
        <w:rPr>
          <w:sz w:val="20"/>
          <w:szCs w:val="20"/>
          <w:color w:val="auto"/>
        </w:rPr>
      </w:pPr>
    </w:p>
    <w:p>
      <w:pPr>
        <w:jc w:val="both"/>
        <w:ind w:left="660" w:right="640"/>
        <w:spacing w:after="0" w:line="252" w:lineRule="auto"/>
        <w:rPr>
          <w:sz w:val="20"/>
          <w:szCs w:val="20"/>
          <w:color w:val="auto"/>
        </w:rPr>
      </w:pPr>
      <w:r>
        <w:rPr>
          <w:rFonts w:ascii="Arial" w:cs="Arial" w:eastAsia="Arial" w:hAnsi="Arial"/>
          <w:sz w:val="16"/>
          <w:szCs w:val="16"/>
          <w:color w:val="auto"/>
        </w:rPr>
        <w:t>The Compensation Committee approved the 2025 Objectives, with the same weighting as the objectives used in our 2025 Bonus Program and achievement between threshold, target and maximum payout to be determined linearly. The number of Financial PSUs certified as earned by the Compensation Committee is referred to as the “Actual Award.” The Actual Award vested as to 33% of the Financial PSUs subject thereto on February 28, 2026, and will vest as to 8.375% of the PSUs subject thereto in equal quarterly installments thereafter (occurring in May, August, November, and February), with each quarterly vesting date occurring on the same day of the month as the Certification Date (or, if there is no corresponding day of the month, the last day of the month), in each case, subject to the individual’s continuous service through each applicable vesting date.</w:t>
      </w:r>
    </w:p>
    <w:p>
      <w:pPr>
        <w:spacing w:after="0" w:line="102" w:lineRule="exact"/>
        <w:rPr>
          <w:sz w:val="20"/>
          <w:szCs w:val="20"/>
          <w:color w:val="auto"/>
        </w:rPr>
      </w:pPr>
    </w:p>
    <w:p>
      <w:pPr>
        <w:jc w:val="both"/>
        <w:ind w:left="660" w:right="640"/>
        <w:spacing w:after="0" w:line="251" w:lineRule="auto"/>
        <w:rPr>
          <w:sz w:val="20"/>
          <w:szCs w:val="20"/>
          <w:color w:val="auto"/>
        </w:rPr>
      </w:pPr>
      <w:r>
        <w:rPr>
          <w:rFonts w:ascii="Arial" w:cs="Arial" w:eastAsia="Arial" w:hAnsi="Arial"/>
          <w:sz w:val="16"/>
          <w:szCs w:val="16"/>
          <w:color w:val="auto"/>
        </w:rPr>
        <w:t>In February 2026, our Compensation Committee determined that based on our actual achievement of the 2025 Objectives, the Company achieved a payout factor of 128.2% on its revenue metric (between target and maximum) and achieved a payout factor of 150.0% (the maximum) on its non-GAAP operating loss as a percentage of revenue metric (See Appendix A for a reconciliation of non-GAAP operating loss). After applying a 66.7% weighting to the revenue payout factor of 128.2% and a 33.3% weighting to the non-GAAP operating loss as a percentage of revenue payout factor of 150.0%, Messrs. Compton’s, Bergman’s, and Lovett’s 2025 actual award is 135.4% of the Financial PSUs at Target. Mr. Nightingale was ineligible to receive any portion of his Financial PSUs because of his resignation. Mr. Kisling’s Financial PSU award was adjusted pursuant to the Kisling Separation Agreement. See the discussion of – Annual Incentives above for more detailed information on the 2025 Objectives and their achievement.</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1"/>
        </w:trPr>
        <w:tc>
          <w:tcPr>
            <w:tcW w:w="3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12"/>
        </w:trPr>
        <w:tc>
          <w:tcPr>
            <w:tcW w:w="6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9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308"/>
              <w:spacing w:after="0"/>
              <w:rPr>
                <w:sz w:val="20"/>
                <w:szCs w:val="20"/>
                <w:color w:val="auto"/>
              </w:rPr>
            </w:pPr>
            <w:r>
              <w:rPr>
                <w:rFonts w:ascii="Arial" w:cs="Arial" w:eastAsia="Arial" w:hAnsi="Arial"/>
                <w:sz w:val="14"/>
                <w:szCs w:val="14"/>
                <w:b w:val="1"/>
                <w:bCs w:val="1"/>
                <w:color w:val="auto"/>
                <w:w w:val="99"/>
              </w:rPr>
              <w:t>Intended</w:t>
            </w:r>
          </w:p>
        </w:tc>
        <w:tc>
          <w:tcPr>
            <w:tcW w:w="1440" w:type="dxa"/>
            <w:vAlign w:val="bottom"/>
          </w:tcPr>
          <w:p>
            <w:pPr>
              <w:ind w:left="660"/>
              <w:spacing w:after="0"/>
              <w:rPr>
                <w:sz w:val="20"/>
                <w:szCs w:val="20"/>
                <w:color w:val="auto"/>
              </w:rPr>
            </w:pPr>
            <w:r>
              <w:rPr>
                <w:rFonts w:ascii="Arial" w:cs="Arial" w:eastAsia="Arial" w:hAnsi="Arial"/>
                <w:sz w:val="14"/>
                <w:szCs w:val="14"/>
                <w:b w:val="1"/>
                <w:bCs w:val="1"/>
                <w:color w:val="auto"/>
              </w:rPr>
              <w:t>Financial</w:t>
            </w:r>
          </w:p>
        </w:tc>
      </w:tr>
      <w:tr>
        <w:trPr>
          <w:trHeight w:val="162"/>
        </w:trPr>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0" w:type="dxa"/>
            <w:vAlign w:val="bottom"/>
          </w:tcPr>
          <w:p>
            <w:pPr>
              <w:jc w:val="right"/>
              <w:ind w:right="228"/>
              <w:spacing w:after="0"/>
              <w:rPr>
                <w:sz w:val="20"/>
                <w:szCs w:val="20"/>
                <w:color w:val="auto"/>
              </w:rPr>
            </w:pPr>
            <w:r>
              <w:rPr>
                <w:rFonts w:ascii="Arial" w:cs="Arial" w:eastAsia="Arial" w:hAnsi="Arial"/>
                <w:sz w:val="14"/>
                <w:szCs w:val="14"/>
                <w:b w:val="1"/>
                <w:bCs w:val="1"/>
                <w:color w:val="auto"/>
              </w:rPr>
              <w:t>Financial PSUs</w:t>
            </w:r>
          </w:p>
        </w:tc>
        <w:tc>
          <w:tcPr>
            <w:tcW w:w="140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PSU Target</w:t>
            </w:r>
          </w:p>
        </w:tc>
        <w:tc>
          <w:tcPr>
            <w:tcW w:w="1440" w:type="dxa"/>
            <w:vAlign w:val="bottom"/>
          </w:tcPr>
          <w:p>
            <w:pPr>
              <w:ind w:left="320"/>
              <w:spacing w:after="0"/>
              <w:rPr>
                <w:sz w:val="20"/>
                <w:szCs w:val="20"/>
                <w:color w:val="auto"/>
              </w:rPr>
            </w:pPr>
            <w:r>
              <w:rPr>
                <w:rFonts w:ascii="Arial" w:cs="Arial" w:eastAsia="Arial" w:hAnsi="Arial"/>
                <w:sz w:val="14"/>
                <w:szCs w:val="14"/>
                <w:b w:val="1"/>
                <w:bCs w:val="1"/>
                <w:color w:val="auto"/>
              </w:rPr>
              <w:t>PSUs Actually</w:t>
            </w:r>
          </w:p>
        </w:tc>
      </w:tr>
      <w:tr>
        <w:trPr>
          <w:trHeight w:val="230"/>
        </w:trPr>
        <w:tc>
          <w:tcPr>
            <w:tcW w:w="660" w:type="dxa"/>
            <w:vAlign w:val="bottom"/>
          </w:tcPr>
          <w:p>
            <w:pPr>
              <w:spacing w:after="0"/>
              <w:rPr>
                <w:sz w:val="19"/>
                <w:szCs w:val="19"/>
                <w:color w:val="auto"/>
              </w:rPr>
            </w:pPr>
          </w:p>
        </w:tc>
        <w:tc>
          <w:tcPr>
            <w:tcW w:w="2780" w:type="dxa"/>
            <w:vAlign w:val="bottom"/>
            <w:tcBorders>
              <w:bottom w:val="single" w:sz="8" w:color="404040"/>
            </w:tcBorders>
            <w:gridSpan w:val="2"/>
          </w:tcPr>
          <w:p>
            <w:pPr>
              <w:ind w:left="60"/>
              <w:spacing w:after="0"/>
              <w:rPr>
                <w:sz w:val="20"/>
                <w:szCs w:val="20"/>
                <w:color w:val="auto"/>
              </w:rPr>
            </w:pPr>
            <w:r>
              <w:rPr>
                <w:rFonts w:ascii="Arial" w:cs="Arial" w:eastAsia="Arial" w:hAnsi="Arial"/>
                <w:sz w:val="14"/>
                <w:szCs w:val="14"/>
                <w:b w:val="1"/>
                <w:bCs w:val="1"/>
                <w:color w:val="auto"/>
              </w:rPr>
              <w:t>Executive</w:t>
            </w:r>
          </w:p>
        </w:tc>
        <w:tc>
          <w:tcPr>
            <w:tcW w:w="2800" w:type="dxa"/>
            <w:vAlign w:val="bottom"/>
            <w:tcBorders>
              <w:bottom w:val="single" w:sz="8" w:color="404040"/>
            </w:tcBorders>
          </w:tcPr>
          <w:p>
            <w:pPr>
              <w:jc w:val="right"/>
              <w:ind w:right="188"/>
              <w:spacing w:after="0"/>
              <w:rPr>
                <w:sz w:val="20"/>
                <w:szCs w:val="20"/>
                <w:color w:val="auto"/>
              </w:rPr>
            </w:pPr>
            <w:r>
              <w:rPr>
                <w:rFonts w:ascii="Arial" w:cs="Arial" w:eastAsia="Arial" w:hAnsi="Arial"/>
                <w:sz w:val="14"/>
                <w:szCs w:val="14"/>
                <w:b w:val="1"/>
                <w:bCs w:val="1"/>
                <w:color w:val="auto"/>
              </w:rPr>
              <w:t>at Target</w:t>
            </w:r>
          </w:p>
        </w:tc>
        <w:tc>
          <w:tcPr>
            <w:tcW w:w="420" w:type="dxa"/>
            <w:vAlign w:val="bottom"/>
            <w:tcBorders>
              <w:bottom w:val="single" w:sz="8" w:color="404040"/>
            </w:tcBorders>
          </w:tcPr>
          <w:p>
            <w:pPr>
              <w:spacing w:after="0"/>
              <w:rPr>
                <w:sz w:val="19"/>
                <w:szCs w:val="19"/>
                <w:color w:val="auto"/>
              </w:rPr>
            </w:pPr>
          </w:p>
        </w:tc>
        <w:tc>
          <w:tcPr>
            <w:tcW w:w="980" w:type="dxa"/>
            <w:vAlign w:val="bottom"/>
            <w:tcBorders>
              <w:bottom w:val="single" w:sz="8" w:color="404040"/>
            </w:tcBorders>
          </w:tcPr>
          <w:p>
            <w:pPr>
              <w:jc w:val="right"/>
              <w:ind w:right="268"/>
              <w:spacing w:after="0" w:line="230" w:lineRule="exact"/>
              <w:rPr>
                <w:sz w:val="20"/>
                <w:szCs w:val="20"/>
                <w:color w:val="auto"/>
              </w:rPr>
            </w:pPr>
            <w:r>
              <w:rPr>
                <w:rFonts w:ascii="Arial" w:cs="Arial" w:eastAsia="Arial" w:hAnsi="Arial"/>
                <w:sz w:val="14"/>
                <w:szCs w:val="14"/>
                <w:b w:val="1"/>
                <w:bCs w:val="1"/>
                <w:color w:val="auto"/>
              </w:rPr>
              <w:t>Value</w:t>
            </w:r>
            <w:r>
              <w:rPr>
                <w:rFonts w:ascii="Arial" w:cs="Arial" w:eastAsia="Arial" w:hAnsi="Arial"/>
                <w:sz w:val="23"/>
                <w:szCs w:val="23"/>
                <w:b w:val="1"/>
                <w:bCs w:val="1"/>
                <w:color w:val="auto"/>
                <w:vertAlign w:val="superscript"/>
              </w:rPr>
              <w:t>(1)</w:t>
            </w:r>
          </w:p>
        </w:tc>
        <w:tc>
          <w:tcPr>
            <w:tcW w:w="1440" w:type="dxa"/>
            <w:vAlign w:val="bottom"/>
            <w:tcBorders>
              <w:bottom w:val="single" w:sz="8" w:color="404040"/>
            </w:tcBorders>
          </w:tcPr>
          <w:p>
            <w:pPr>
              <w:ind w:left="840"/>
              <w:spacing w:after="0"/>
              <w:rPr>
                <w:sz w:val="20"/>
                <w:szCs w:val="20"/>
                <w:color w:val="auto"/>
              </w:rPr>
            </w:pPr>
            <w:r>
              <w:rPr>
                <w:rFonts w:ascii="Arial" w:cs="Arial" w:eastAsia="Arial" w:hAnsi="Arial"/>
                <w:sz w:val="14"/>
                <w:szCs w:val="14"/>
                <w:b w:val="1"/>
                <w:bCs w:val="1"/>
                <w:color w:val="auto"/>
              </w:rPr>
              <w:t>Earned</w:t>
            </w:r>
          </w:p>
        </w:tc>
      </w:tr>
      <w:tr>
        <w:trPr>
          <w:trHeight w:val="250"/>
        </w:trPr>
        <w:tc>
          <w:tcPr>
            <w:tcW w:w="660" w:type="dxa"/>
            <w:vAlign w:val="bottom"/>
          </w:tcPr>
          <w:p>
            <w:pPr>
              <w:spacing w:after="0"/>
              <w:rPr>
                <w:sz w:val="21"/>
                <w:szCs w:val="21"/>
                <w:color w:val="auto"/>
              </w:rPr>
            </w:pPr>
          </w:p>
        </w:tc>
        <w:tc>
          <w:tcPr>
            <w:tcW w:w="2780" w:type="dxa"/>
            <w:vAlign w:val="bottom"/>
            <w:tcBorders>
              <w:bottom w:val="single" w:sz="8" w:color="404040"/>
            </w:tcBorders>
            <w:gridSpan w:val="2"/>
          </w:tcPr>
          <w:p>
            <w:pPr>
              <w:ind w:left="60"/>
              <w:spacing w:after="0" w:line="250" w:lineRule="exact"/>
              <w:rPr>
                <w:sz w:val="20"/>
                <w:szCs w:val="20"/>
                <w:color w:val="auto"/>
              </w:rPr>
            </w:pPr>
            <w:r>
              <w:rPr>
                <w:rFonts w:ascii="Arial" w:cs="Arial" w:eastAsia="Arial" w:hAnsi="Arial"/>
                <w:sz w:val="14"/>
                <w:szCs w:val="14"/>
                <w:color w:val="auto"/>
              </w:rPr>
              <w:t>Charles Compton</w:t>
            </w:r>
            <w:r>
              <w:rPr>
                <w:rFonts w:ascii="Arial" w:cs="Arial" w:eastAsia="Arial" w:hAnsi="Arial"/>
                <w:sz w:val="23"/>
                <w:szCs w:val="23"/>
                <w:color w:val="auto"/>
                <w:vertAlign w:val="superscript"/>
              </w:rPr>
              <w:t>(2)</w:t>
            </w:r>
          </w:p>
        </w:tc>
        <w:tc>
          <w:tcPr>
            <w:tcW w:w="2800" w:type="dxa"/>
            <w:vAlign w:val="bottom"/>
            <w:tcBorders>
              <w:bottom w:val="single" w:sz="8" w:color="404040"/>
            </w:tcBorders>
          </w:tcPr>
          <w:p>
            <w:pPr>
              <w:jc w:val="right"/>
              <w:ind w:right="228"/>
              <w:spacing w:after="0"/>
              <w:rPr>
                <w:sz w:val="20"/>
                <w:szCs w:val="20"/>
                <w:color w:val="auto"/>
              </w:rPr>
            </w:pPr>
            <w:r>
              <w:rPr>
                <w:rFonts w:ascii="Arial" w:cs="Arial" w:eastAsia="Arial" w:hAnsi="Arial"/>
                <w:sz w:val="14"/>
                <w:szCs w:val="14"/>
                <w:color w:val="auto"/>
              </w:rPr>
              <w:t>64,446</w:t>
            </w:r>
          </w:p>
        </w:tc>
        <w:tc>
          <w:tcPr>
            <w:tcW w:w="420" w:type="dxa"/>
            <w:vAlign w:val="bottom"/>
            <w:tcBorders>
              <w:bottom w:val="single" w:sz="8" w:color="404040"/>
            </w:tcBorders>
          </w:tcPr>
          <w:p>
            <w:pPr>
              <w:ind w:left="34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404040"/>
            </w:tcBorders>
          </w:tcPr>
          <w:p>
            <w:pPr>
              <w:jc w:val="right"/>
              <w:ind w:right="288"/>
              <w:spacing w:after="0"/>
              <w:rPr>
                <w:sz w:val="20"/>
                <w:szCs w:val="20"/>
                <w:color w:val="auto"/>
              </w:rPr>
            </w:pPr>
            <w:r>
              <w:rPr>
                <w:rFonts w:ascii="Arial" w:cs="Arial" w:eastAsia="Arial" w:hAnsi="Arial"/>
                <w:sz w:val="14"/>
                <w:szCs w:val="14"/>
                <w:color w:val="auto"/>
              </w:rPr>
              <w:t>600,000</w:t>
            </w:r>
          </w:p>
        </w:tc>
        <w:tc>
          <w:tcPr>
            <w:tcW w:w="1440" w:type="dxa"/>
            <w:vAlign w:val="bottom"/>
            <w:tcBorders>
              <w:bottom w:val="single" w:sz="8" w:color="404040"/>
            </w:tcBorders>
          </w:tcPr>
          <w:p>
            <w:pPr>
              <w:ind w:left="720"/>
              <w:spacing w:after="0"/>
              <w:rPr>
                <w:sz w:val="20"/>
                <w:szCs w:val="20"/>
                <w:color w:val="auto"/>
              </w:rPr>
            </w:pPr>
            <w:r>
              <w:rPr>
                <w:rFonts w:ascii="Arial" w:cs="Arial" w:eastAsia="Arial" w:hAnsi="Arial"/>
                <w:sz w:val="14"/>
                <w:szCs w:val="14"/>
                <w:color w:val="auto"/>
              </w:rPr>
              <w:t>87,259</w:t>
            </w:r>
          </w:p>
        </w:tc>
      </w:tr>
      <w:tr>
        <w:trPr>
          <w:trHeight w:val="201"/>
        </w:trPr>
        <w:tc>
          <w:tcPr>
            <w:tcW w:w="660" w:type="dxa"/>
            <w:vAlign w:val="bottom"/>
          </w:tcPr>
          <w:p>
            <w:pPr>
              <w:spacing w:after="0"/>
              <w:rPr>
                <w:sz w:val="17"/>
                <w:szCs w:val="17"/>
                <w:color w:val="auto"/>
              </w:rPr>
            </w:pPr>
          </w:p>
        </w:tc>
        <w:tc>
          <w:tcPr>
            <w:tcW w:w="2780" w:type="dxa"/>
            <w:vAlign w:val="bottom"/>
            <w:gridSpan w:val="2"/>
          </w:tcPr>
          <w:p>
            <w:pPr>
              <w:ind w:left="60"/>
              <w:spacing w:after="0"/>
              <w:rPr>
                <w:sz w:val="20"/>
                <w:szCs w:val="20"/>
                <w:color w:val="auto"/>
              </w:rPr>
            </w:pPr>
            <w:r>
              <w:rPr>
                <w:rFonts w:ascii="Arial" w:cs="Arial" w:eastAsia="Arial" w:hAnsi="Arial"/>
                <w:sz w:val="14"/>
                <w:szCs w:val="14"/>
                <w:color w:val="auto"/>
              </w:rPr>
              <w:t>Artur Bergman</w:t>
            </w:r>
          </w:p>
        </w:tc>
        <w:tc>
          <w:tcPr>
            <w:tcW w:w="2800" w:type="dxa"/>
            <w:vAlign w:val="bottom"/>
          </w:tcPr>
          <w:p>
            <w:pPr>
              <w:jc w:val="right"/>
              <w:ind w:right="208"/>
              <w:spacing w:after="0"/>
              <w:rPr>
                <w:sz w:val="20"/>
                <w:szCs w:val="20"/>
                <w:color w:val="auto"/>
              </w:rPr>
            </w:pPr>
            <w:r>
              <w:rPr>
                <w:rFonts w:ascii="Arial" w:cs="Arial" w:eastAsia="Arial" w:hAnsi="Arial"/>
                <w:sz w:val="14"/>
                <w:szCs w:val="14"/>
                <w:color w:val="auto"/>
              </w:rPr>
              <w:t>124,462</w:t>
            </w:r>
          </w:p>
        </w:tc>
        <w:tc>
          <w:tcPr>
            <w:tcW w:w="1400" w:type="dxa"/>
            <w:vAlign w:val="bottom"/>
            <w:gridSpan w:val="2"/>
          </w:tcPr>
          <w:p>
            <w:pPr>
              <w:ind w:left="340"/>
              <w:spacing w:after="0"/>
              <w:rPr>
                <w:sz w:val="20"/>
                <w:szCs w:val="20"/>
                <w:color w:val="auto"/>
              </w:rPr>
            </w:pPr>
            <w:r>
              <w:rPr>
                <w:rFonts w:ascii="Arial" w:cs="Arial" w:eastAsia="Arial" w:hAnsi="Arial"/>
                <w:sz w:val="14"/>
                <w:szCs w:val="14"/>
                <w:color w:val="auto"/>
              </w:rPr>
              <w:t>$1,158,750</w:t>
            </w:r>
          </w:p>
        </w:tc>
        <w:tc>
          <w:tcPr>
            <w:tcW w:w="1440" w:type="dxa"/>
            <w:vAlign w:val="bottom"/>
          </w:tcPr>
          <w:p>
            <w:pPr>
              <w:ind w:left="660"/>
              <w:spacing w:after="0"/>
              <w:rPr>
                <w:sz w:val="20"/>
                <w:szCs w:val="20"/>
                <w:color w:val="auto"/>
              </w:rPr>
            </w:pPr>
            <w:r>
              <w:rPr>
                <w:rFonts w:ascii="Arial" w:cs="Arial" w:eastAsia="Arial" w:hAnsi="Arial"/>
                <w:sz w:val="14"/>
                <w:szCs w:val="14"/>
                <w:color w:val="auto"/>
              </w:rPr>
              <w:t>168,521</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1900" w:type="dxa"/>
            <w:vAlign w:val="bottom"/>
            <w:tcBorders>
              <w:bottom w:val="single" w:sz="8" w:color="404040"/>
            </w:tcBorders>
          </w:tcPr>
          <w:p>
            <w:pPr>
              <w:spacing w:after="0" w:line="20" w:lineRule="exact"/>
              <w:rPr>
                <w:sz w:val="1"/>
                <w:szCs w:val="1"/>
                <w:color w:val="auto"/>
              </w:rPr>
            </w:pPr>
          </w:p>
        </w:tc>
        <w:tc>
          <w:tcPr>
            <w:tcW w:w="2800" w:type="dxa"/>
            <w:vAlign w:val="bottom"/>
            <w:tcBorders>
              <w:bottom w:val="single" w:sz="8" w:color="404040"/>
            </w:tcBorders>
          </w:tcPr>
          <w:p>
            <w:pPr>
              <w:spacing w:after="0" w:line="20" w:lineRule="exact"/>
              <w:rPr>
                <w:sz w:val="1"/>
                <w:szCs w:val="1"/>
                <w:color w:val="auto"/>
              </w:rPr>
            </w:pPr>
          </w:p>
        </w:tc>
        <w:tc>
          <w:tcPr>
            <w:tcW w:w="420" w:type="dxa"/>
            <w:vAlign w:val="bottom"/>
            <w:tcBorders>
              <w:bottom w:val="single" w:sz="8" w:color="404040"/>
            </w:tcBorders>
          </w:tcPr>
          <w:p>
            <w:pPr>
              <w:spacing w:after="0" w:line="20" w:lineRule="exact"/>
              <w:rPr>
                <w:sz w:val="1"/>
                <w:szCs w:val="1"/>
                <w:color w:val="auto"/>
              </w:rPr>
            </w:pPr>
          </w:p>
        </w:tc>
        <w:tc>
          <w:tcPr>
            <w:tcW w:w="980" w:type="dxa"/>
            <w:vAlign w:val="bottom"/>
            <w:tcBorders>
              <w:bottom w:val="single" w:sz="8" w:color="404040"/>
            </w:tcBorders>
          </w:tcPr>
          <w:p>
            <w:pPr>
              <w:spacing w:after="0" w:line="20" w:lineRule="exact"/>
              <w:rPr>
                <w:sz w:val="1"/>
                <w:szCs w:val="1"/>
                <w:color w:val="auto"/>
              </w:rPr>
            </w:pPr>
          </w:p>
        </w:tc>
        <w:tc>
          <w:tcPr>
            <w:tcW w:w="1440" w:type="dxa"/>
            <w:vAlign w:val="bottom"/>
            <w:tcBorders>
              <w:bottom w:val="single" w:sz="8" w:color="404040"/>
            </w:tcBorders>
          </w:tcPr>
          <w:p>
            <w:pPr>
              <w:spacing w:after="0" w:line="20" w:lineRule="exact"/>
              <w:rPr>
                <w:sz w:val="1"/>
                <w:szCs w:val="1"/>
                <w:color w:val="auto"/>
              </w:rPr>
            </w:pPr>
          </w:p>
        </w:tc>
      </w:tr>
      <w:tr>
        <w:trPr>
          <w:trHeight w:val="250"/>
        </w:trPr>
        <w:tc>
          <w:tcPr>
            <w:tcW w:w="660" w:type="dxa"/>
            <w:vAlign w:val="bottom"/>
          </w:tcPr>
          <w:p>
            <w:pPr>
              <w:spacing w:after="0"/>
              <w:rPr>
                <w:sz w:val="21"/>
                <w:szCs w:val="21"/>
                <w:color w:val="auto"/>
              </w:rPr>
            </w:pPr>
          </w:p>
        </w:tc>
        <w:tc>
          <w:tcPr>
            <w:tcW w:w="2780" w:type="dxa"/>
            <w:vAlign w:val="bottom"/>
            <w:tcBorders>
              <w:bottom w:val="single" w:sz="8" w:color="404040"/>
            </w:tcBorders>
            <w:gridSpan w:val="2"/>
          </w:tcPr>
          <w:p>
            <w:pPr>
              <w:ind w:left="60"/>
              <w:spacing w:after="0" w:line="250" w:lineRule="exact"/>
              <w:rPr>
                <w:sz w:val="20"/>
                <w:szCs w:val="20"/>
                <w:color w:val="auto"/>
              </w:rPr>
            </w:pPr>
            <w:r>
              <w:rPr>
                <w:rFonts w:ascii="Arial" w:cs="Arial" w:eastAsia="Arial" w:hAnsi="Arial"/>
                <w:sz w:val="14"/>
                <w:szCs w:val="14"/>
                <w:color w:val="auto"/>
              </w:rPr>
              <w:t>Scott Lovett</w:t>
            </w:r>
            <w:r>
              <w:rPr>
                <w:rFonts w:ascii="Arial" w:cs="Arial" w:eastAsia="Arial" w:hAnsi="Arial"/>
                <w:sz w:val="23"/>
                <w:szCs w:val="23"/>
                <w:color w:val="auto"/>
                <w:vertAlign w:val="superscript"/>
              </w:rPr>
              <w:t>(2)</w:t>
            </w:r>
          </w:p>
        </w:tc>
        <w:tc>
          <w:tcPr>
            <w:tcW w:w="2800" w:type="dxa"/>
            <w:vAlign w:val="bottom"/>
            <w:tcBorders>
              <w:bottom w:val="single" w:sz="8" w:color="404040"/>
            </w:tcBorders>
          </w:tcPr>
          <w:p>
            <w:pPr>
              <w:jc w:val="right"/>
              <w:ind w:right="228"/>
              <w:spacing w:after="0"/>
              <w:rPr>
                <w:sz w:val="20"/>
                <w:szCs w:val="20"/>
                <w:color w:val="auto"/>
              </w:rPr>
            </w:pPr>
            <w:r>
              <w:rPr>
                <w:rFonts w:ascii="Arial" w:cs="Arial" w:eastAsia="Arial" w:hAnsi="Arial"/>
                <w:sz w:val="14"/>
                <w:szCs w:val="14"/>
                <w:color w:val="auto"/>
              </w:rPr>
              <w:t>80,558</w:t>
            </w:r>
          </w:p>
        </w:tc>
        <w:tc>
          <w:tcPr>
            <w:tcW w:w="420" w:type="dxa"/>
            <w:vAlign w:val="bottom"/>
            <w:tcBorders>
              <w:bottom w:val="single" w:sz="8" w:color="404040"/>
            </w:tcBorders>
          </w:tcPr>
          <w:p>
            <w:pPr>
              <w:ind w:left="34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404040"/>
            </w:tcBorders>
          </w:tcPr>
          <w:p>
            <w:pPr>
              <w:jc w:val="right"/>
              <w:ind w:right="288"/>
              <w:spacing w:after="0"/>
              <w:rPr>
                <w:sz w:val="20"/>
                <w:szCs w:val="20"/>
                <w:color w:val="auto"/>
              </w:rPr>
            </w:pPr>
            <w:r>
              <w:rPr>
                <w:rFonts w:ascii="Arial" w:cs="Arial" w:eastAsia="Arial" w:hAnsi="Arial"/>
                <w:sz w:val="14"/>
                <w:szCs w:val="14"/>
                <w:color w:val="auto"/>
              </w:rPr>
              <w:t>750,000</w:t>
            </w:r>
          </w:p>
        </w:tc>
        <w:tc>
          <w:tcPr>
            <w:tcW w:w="1440" w:type="dxa"/>
            <w:vAlign w:val="bottom"/>
            <w:tcBorders>
              <w:bottom w:val="single" w:sz="8" w:color="404040"/>
            </w:tcBorders>
          </w:tcPr>
          <w:p>
            <w:pPr>
              <w:ind w:left="660"/>
              <w:spacing w:after="0"/>
              <w:rPr>
                <w:sz w:val="20"/>
                <w:szCs w:val="20"/>
                <w:color w:val="auto"/>
              </w:rPr>
            </w:pPr>
            <w:r>
              <w:rPr>
                <w:rFonts w:ascii="Arial" w:cs="Arial" w:eastAsia="Arial" w:hAnsi="Arial"/>
                <w:sz w:val="14"/>
                <w:szCs w:val="14"/>
                <w:color w:val="auto"/>
              </w:rPr>
              <w:t>109,075</w:t>
            </w:r>
          </w:p>
        </w:tc>
      </w:tr>
      <w:tr>
        <w:trPr>
          <w:trHeight w:val="210"/>
        </w:trPr>
        <w:tc>
          <w:tcPr>
            <w:tcW w:w="660" w:type="dxa"/>
            <w:vAlign w:val="bottom"/>
          </w:tcPr>
          <w:p>
            <w:pPr>
              <w:spacing w:after="0"/>
              <w:rPr>
                <w:sz w:val="18"/>
                <w:szCs w:val="18"/>
                <w:color w:val="auto"/>
              </w:rPr>
            </w:pPr>
          </w:p>
        </w:tc>
        <w:tc>
          <w:tcPr>
            <w:tcW w:w="2780" w:type="dxa"/>
            <w:vAlign w:val="bottom"/>
            <w:tcBorders>
              <w:bottom w:val="single" w:sz="8" w:color="404040"/>
            </w:tcBorders>
            <w:gridSpan w:val="2"/>
          </w:tcPr>
          <w:p>
            <w:pPr>
              <w:ind w:left="60"/>
              <w:spacing w:after="0"/>
              <w:rPr>
                <w:sz w:val="20"/>
                <w:szCs w:val="20"/>
                <w:color w:val="auto"/>
              </w:rPr>
            </w:pPr>
            <w:r>
              <w:rPr>
                <w:rFonts w:ascii="Arial" w:cs="Arial" w:eastAsia="Arial" w:hAnsi="Arial"/>
                <w:sz w:val="14"/>
                <w:szCs w:val="14"/>
                <w:color w:val="auto"/>
              </w:rPr>
              <w:t>Ronald Kisling</w:t>
            </w:r>
          </w:p>
        </w:tc>
        <w:tc>
          <w:tcPr>
            <w:tcW w:w="2800" w:type="dxa"/>
            <w:vAlign w:val="bottom"/>
            <w:tcBorders>
              <w:bottom w:val="single" w:sz="8" w:color="404040"/>
            </w:tcBorders>
          </w:tcPr>
          <w:p>
            <w:pPr>
              <w:jc w:val="right"/>
              <w:ind w:right="228"/>
              <w:spacing w:after="0"/>
              <w:rPr>
                <w:sz w:val="20"/>
                <w:szCs w:val="20"/>
                <w:color w:val="auto"/>
              </w:rPr>
            </w:pPr>
            <w:r>
              <w:rPr>
                <w:rFonts w:ascii="Arial" w:cs="Arial" w:eastAsia="Arial" w:hAnsi="Arial"/>
                <w:sz w:val="14"/>
                <w:szCs w:val="14"/>
                <w:color w:val="auto"/>
              </w:rPr>
              <w:t>67,132</w:t>
            </w:r>
          </w:p>
        </w:tc>
        <w:tc>
          <w:tcPr>
            <w:tcW w:w="420" w:type="dxa"/>
            <w:vAlign w:val="bottom"/>
            <w:tcBorders>
              <w:bottom w:val="single" w:sz="8" w:color="404040"/>
            </w:tcBorders>
          </w:tcPr>
          <w:p>
            <w:pPr>
              <w:ind w:left="340"/>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404040"/>
            </w:tcBorders>
          </w:tcPr>
          <w:p>
            <w:pPr>
              <w:jc w:val="right"/>
              <w:ind w:right="288"/>
              <w:spacing w:after="0"/>
              <w:rPr>
                <w:sz w:val="20"/>
                <w:szCs w:val="20"/>
                <w:color w:val="auto"/>
              </w:rPr>
            </w:pPr>
            <w:r>
              <w:rPr>
                <w:rFonts w:ascii="Arial" w:cs="Arial" w:eastAsia="Arial" w:hAnsi="Arial"/>
                <w:sz w:val="14"/>
                <w:szCs w:val="14"/>
                <w:color w:val="auto"/>
              </w:rPr>
              <w:t>625,000</w:t>
            </w:r>
          </w:p>
        </w:tc>
        <w:tc>
          <w:tcPr>
            <w:tcW w:w="1440" w:type="dxa"/>
            <w:vAlign w:val="bottom"/>
            <w:tcBorders>
              <w:bottom w:val="single" w:sz="8" w:color="404040"/>
            </w:tcBorders>
          </w:tcPr>
          <w:p>
            <w:pPr>
              <w:ind w:left="720"/>
              <w:spacing w:after="0" w:line="210" w:lineRule="exact"/>
              <w:rPr>
                <w:sz w:val="20"/>
                <w:szCs w:val="20"/>
                <w:color w:val="auto"/>
              </w:rPr>
            </w:pPr>
            <w:r>
              <w:rPr>
                <w:rFonts w:ascii="Arial" w:cs="Arial" w:eastAsia="Arial" w:hAnsi="Arial"/>
                <w:sz w:val="14"/>
                <w:szCs w:val="14"/>
                <w:color w:val="auto"/>
              </w:rPr>
              <w:t>45,448</w:t>
            </w:r>
            <w:r>
              <w:rPr>
                <w:rFonts w:ascii="Arial" w:cs="Arial" w:eastAsia="Arial" w:hAnsi="Arial"/>
                <w:sz w:val="23"/>
                <w:szCs w:val="23"/>
                <w:color w:val="auto"/>
                <w:vertAlign w:val="superscript"/>
              </w:rPr>
              <w:t>(3)</w:t>
            </w:r>
          </w:p>
        </w:tc>
      </w:tr>
    </w:tbl>
    <w:p>
      <w:pPr>
        <w:spacing w:after="0" w:line="252" w:lineRule="exact"/>
        <w:rPr>
          <w:sz w:val="20"/>
          <w:szCs w:val="20"/>
          <w:color w:val="auto"/>
        </w:rPr>
      </w:pPr>
    </w:p>
    <w:p>
      <w:pPr>
        <w:jc w:val="both"/>
        <w:ind w:left="1000" w:right="299" w:hanging="348"/>
        <w:spacing w:after="0" w:line="233"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We determine the number of PSUs at target by dividing the Intended PSU Target Value by the average closing trading price of a share of our common stock over the 30 calendar days ending one day prior to the expected date of grant. The grant date fair value of the PSUs is reported in the Grants of Plan-Based Awards Table below.</w:t>
      </w:r>
    </w:p>
    <w:p>
      <w:pPr>
        <w:ind w:left="1000" w:right="319" w:hanging="348"/>
        <w:spacing w:after="0" w:line="238" w:lineRule="auto"/>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These do not reflect additional Financial PSUs granted to Mr. Compton or Mr. Lovett in connection with their promotions to CEO and President, Go to Market, respectively.</w:t>
      </w:r>
    </w:p>
    <w:p>
      <w:pPr>
        <w:spacing w:after="0" w:line="10" w:lineRule="exact"/>
        <w:rPr>
          <w:rFonts w:ascii="Arial" w:cs="Arial" w:eastAsia="Arial" w:hAnsi="Arial"/>
          <w:sz w:val="13"/>
          <w:szCs w:val="13"/>
          <w:color w:val="auto"/>
        </w:rPr>
      </w:pPr>
    </w:p>
    <w:p>
      <w:pPr>
        <w:ind w:left="1000" w:hanging="348"/>
        <w:spacing w:after="0"/>
        <w:tabs>
          <w:tab w:leader="none" w:pos="1000" w:val="left"/>
        </w:tabs>
        <w:numPr>
          <w:ilvl w:val="0"/>
          <w:numId w:val="39"/>
        </w:numPr>
        <w:rPr>
          <w:rFonts w:ascii="Arial" w:cs="Arial" w:eastAsia="Arial" w:hAnsi="Arial"/>
          <w:sz w:val="13"/>
          <w:szCs w:val="13"/>
          <w:color w:val="auto"/>
        </w:rPr>
      </w:pPr>
      <w:r>
        <w:rPr>
          <w:rFonts w:ascii="Arial" w:cs="Arial" w:eastAsia="Arial" w:hAnsi="Arial"/>
          <w:sz w:val="13"/>
          <w:szCs w:val="13"/>
          <w:color w:val="auto"/>
        </w:rPr>
        <w:t>Fully vested. As adjusted pursuant to the Kisling Separation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rTSR PSUs</w:t>
      </w:r>
    </w:p>
    <w:p>
      <w:pPr>
        <w:spacing w:after="0" w:line="149" w:lineRule="exact"/>
        <w:rPr>
          <w:sz w:val="20"/>
          <w:szCs w:val="20"/>
          <w:color w:val="auto"/>
        </w:rPr>
      </w:pPr>
    </w:p>
    <w:p>
      <w:pPr>
        <w:jc w:val="both"/>
        <w:ind w:left="660" w:right="299"/>
        <w:spacing w:after="0" w:line="250" w:lineRule="auto"/>
        <w:rPr>
          <w:sz w:val="20"/>
          <w:szCs w:val="20"/>
          <w:color w:val="auto"/>
        </w:rPr>
      </w:pPr>
      <w:r>
        <w:rPr>
          <w:rFonts w:ascii="Arial" w:cs="Arial" w:eastAsia="Arial" w:hAnsi="Arial"/>
          <w:sz w:val="16"/>
          <w:szCs w:val="16"/>
          <w:color w:val="auto"/>
        </w:rPr>
        <w:t>In February and March 2025, our Compensation Committee approved the grant of rTSR PSUs for Messrs. Bergman, Lovett, Nightingale, and Kisling. The target value of rTSR PSUs reflected 15% of the total long-term incentive target value for Messrs. Bergman, Lovett, Nightingale, and Kisling, taking into consideration competitive market data for companies in our peer group and the competitive market for talent. The target value established by the Compensation Committee was approved based on the greater of (i) the average share price of our common stock for the 30 calendar days prior to February 26, 2025, the expected grant approval date and (ii) $9.00. This target value differs from the grant date fair value of the equity awards determined for accounting purposes. The grant date fair value of the equity awards is reported below in our 2025 Summary Compensation Table and 2025 Grants of Plan-Based Awards Table. The table above reflects the target number of shares eligible to be earned by each of Messrs. Bergman, Lovett, Nightingale, and Kisling, with the maximum payout being equal to 300% of target.</w:t>
      </w:r>
    </w:p>
    <w:p>
      <w:pPr>
        <w:spacing w:after="0" w:line="122" w:lineRule="exact"/>
        <w:rPr>
          <w:sz w:val="20"/>
          <w:szCs w:val="20"/>
          <w:color w:val="auto"/>
        </w:rPr>
      </w:pPr>
    </w:p>
    <w:p>
      <w:pPr>
        <w:jc w:val="both"/>
        <w:ind w:left="660" w:right="299"/>
        <w:spacing w:after="0" w:line="256" w:lineRule="auto"/>
        <w:rPr>
          <w:sz w:val="20"/>
          <w:szCs w:val="20"/>
          <w:color w:val="auto"/>
        </w:rPr>
      </w:pPr>
      <w:r>
        <w:rPr>
          <w:rFonts w:ascii="Arial" w:cs="Arial" w:eastAsia="Arial" w:hAnsi="Arial"/>
          <w:sz w:val="16"/>
          <w:szCs w:val="16"/>
          <w:color w:val="auto"/>
        </w:rPr>
        <w:t>The rTSR PSUs are subject to a Relative Total Shareholder Return (rTSR) performance condition. The number of shares eligible to be earned is determined by the Company’s TSR relative to the companies comprising the Russell 2000 Index over a three-year performance period commencing on February 26, 2025. The Compensation Committee determined that the Russell 2000 Index provides a robust, useful comparison source that is reflective of broader market performance and representative of other potential investment choices for stockholders.</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Payouts are determined based on an “Achievement Factor” ranging from 0.5 to 3.0, with the maximum payout being</w:t>
      </w:r>
    </w:p>
    <w:p>
      <w:pPr>
        <w:spacing w:after="0" w:line="18" w:lineRule="exact"/>
        <w:rPr>
          <w:sz w:val="20"/>
          <w:szCs w:val="20"/>
          <w:color w:val="auto"/>
        </w:rPr>
      </w:pPr>
    </w:p>
    <w:p>
      <w:pPr>
        <w:jc w:val="both"/>
        <w:ind w:left="660" w:right="299"/>
        <w:spacing w:after="0" w:line="214" w:lineRule="auto"/>
        <w:rPr>
          <w:sz w:val="20"/>
          <w:szCs w:val="20"/>
          <w:color w:val="auto"/>
        </w:rPr>
      </w:pPr>
      <w:r>
        <w:rPr>
          <w:rFonts w:ascii="Arial" w:cs="Arial" w:eastAsia="Arial" w:hAnsi="Arial"/>
          <w:sz w:val="16"/>
          <w:szCs w:val="16"/>
          <w:color w:val="auto"/>
        </w:rPr>
        <w:t>equal to 300% of target for performance at or above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The table below indicates the relationship between performance attainment and payout for the rTSR PSUs:</w:t>
      </w:r>
    </w:p>
    <w:p>
      <w:pPr>
        <w:spacing w:after="0" w:line="236"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2980" w:type="dxa"/>
            <w:vAlign w:val="bottom"/>
            <w:tcBorders>
              <w:bottom w:val="single" w:sz="8" w:color="404040"/>
            </w:tcBorders>
          </w:tcPr>
          <w:p>
            <w:pPr>
              <w:spacing w:after="0"/>
              <w:rPr>
                <w:sz w:val="17"/>
                <w:szCs w:val="17"/>
                <w:color w:val="auto"/>
              </w:rPr>
            </w:pPr>
          </w:p>
        </w:tc>
        <w:tc>
          <w:tcPr>
            <w:tcW w:w="1380" w:type="dxa"/>
            <w:vAlign w:val="bottom"/>
            <w:tcBorders>
              <w:bottom w:val="single" w:sz="8" w:color="404040"/>
            </w:tcBorders>
          </w:tcPr>
          <w:p>
            <w:pPr>
              <w:jc w:val="center"/>
              <w:ind w:left="128"/>
              <w:spacing w:after="0"/>
              <w:rPr>
                <w:sz w:val="20"/>
                <w:szCs w:val="20"/>
                <w:color w:val="auto"/>
              </w:rPr>
            </w:pPr>
            <w:r>
              <w:rPr>
                <w:rFonts w:ascii="Arial" w:cs="Arial" w:eastAsia="Arial" w:hAnsi="Arial"/>
                <w:sz w:val="14"/>
                <w:szCs w:val="14"/>
                <w:b w:val="1"/>
                <w:bCs w:val="1"/>
                <w:color w:val="auto"/>
              </w:rPr>
              <w:t>Threshold</w:t>
            </w:r>
          </w:p>
        </w:tc>
        <w:tc>
          <w:tcPr>
            <w:tcW w:w="1200" w:type="dxa"/>
            <w:vAlign w:val="bottom"/>
            <w:tcBorders>
              <w:bottom w:val="single" w:sz="8" w:color="404040"/>
            </w:tcBorders>
          </w:tcPr>
          <w:p>
            <w:pPr>
              <w:jc w:val="center"/>
              <w:spacing w:after="0"/>
              <w:rPr>
                <w:sz w:val="20"/>
                <w:szCs w:val="20"/>
                <w:color w:val="auto"/>
              </w:rPr>
            </w:pPr>
            <w:r>
              <w:rPr>
                <w:rFonts w:ascii="Arial" w:cs="Arial" w:eastAsia="Arial" w:hAnsi="Arial"/>
                <w:sz w:val="14"/>
                <w:szCs w:val="14"/>
                <w:b w:val="1"/>
                <w:bCs w:val="1"/>
                <w:color w:val="auto"/>
              </w:rPr>
              <w:t>Target</w:t>
            </w:r>
          </w:p>
        </w:tc>
        <w:tc>
          <w:tcPr>
            <w:tcW w:w="1580" w:type="dxa"/>
            <w:vAlign w:val="bottom"/>
            <w:tcBorders>
              <w:bottom w:val="single" w:sz="8" w:color="404040"/>
            </w:tcBorders>
          </w:tcPr>
          <w:p>
            <w:pPr>
              <w:jc w:val="center"/>
              <w:spacing w:after="0"/>
              <w:rPr>
                <w:sz w:val="20"/>
                <w:szCs w:val="20"/>
                <w:color w:val="auto"/>
              </w:rPr>
            </w:pPr>
            <w:r>
              <w:rPr>
                <w:rFonts w:ascii="Arial" w:cs="Arial" w:eastAsia="Arial" w:hAnsi="Arial"/>
                <w:sz w:val="14"/>
                <w:szCs w:val="14"/>
                <w:b w:val="1"/>
                <w:bCs w:val="1"/>
                <w:color w:val="auto"/>
              </w:rPr>
              <w:t>Target to Maximum</w:t>
            </w:r>
          </w:p>
        </w:tc>
        <w:tc>
          <w:tcPr>
            <w:tcW w:w="1280" w:type="dxa"/>
            <w:vAlign w:val="bottom"/>
            <w:tcBorders>
              <w:bottom w:val="single" w:sz="8" w:color="404040"/>
            </w:tcBorders>
          </w:tcPr>
          <w:p>
            <w:pPr>
              <w:jc w:val="center"/>
              <w:spacing w:after="0"/>
              <w:rPr>
                <w:sz w:val="20"/>
                <w:szCs w:val="20"/>
                <w:color w:val="auto"/>
              </w:rPr>
            </w:pPr>
            <w:r>
              <w:rPr>
                <w:rFonts w:ascii="Arial" w:cs="Arial" w:eastAsia="Arial" w:hAnsi="Arial"/>
                <w:sz w:val="14"/>
                <w:szCs w:val="14"/>
                <w:b w:val="1"/>
                <w:bCs w:val="1"/>
                <w:color w:val="auto"/>
              </w:rPr>
              <w:t>Maximum</w:t>
            </w:r>
          </w:p>
        </w:tc>
      </w:tr>
      <w:tr>
        <w:trPr>
          <w:trHeight w:val="208"/>
        </w:trPr>
        <w:tc>
          <w:tcPr>
            <w:tcW w:w="2980" w:type="dxa"/>
            <w:vAlign w:val="bottom"/>
          </w:tcPr>
          <w:p>
            <w:pPr>
              <w:ind w:left="60"/>
              <w:spacing w:after="0"/>
              <w:rPr>
                <w:sz w:val="20"/>
                <w:szCs w:val="20"/>
                <w:color w:val="auto"/>
              </w:rPr>
            </w:pPr>
            <w:r>
              <w:rPr>
                <w:rFonts w:ascii="Arial" w:cs="Arial" w:eastAsia="Arial" w:hAnsi="Arial"/>
                <w:sz w:val="14"/>
                <w:szCs w:val="14"/>
                <w:color w:val="auto"/>
              </w:rPr>
              <w:t>rTSR vs. Russell 2000 Index (Percentile)</w:t>
            </w:r>
          </w:p>
        </w:tc>
        <w:tc>
          <w:tcPr>
            <w:tcW w:w="1380" w:type="dxa"/>
            <w:vAlign w:val="bottom"/>
          </w:tcPr>
          <w:p>
            <w:pPr>
              <w:jc w:val="center"/>
              <w:ind w:left="128"/>
              <w:spacing w:after="0"/>
              <w:rPr>
                <w:sz w:val="20"/>
                <w:szCs w:val="20"/>
                <w:color w:val="auto"/>
              </w:rPr>
            </w:pPr>
            <w:r>
              <w:rPr>
                <w:rFonts w:ascii="Arial" w:cs="Arial" w:eastAsia="Arial" w:hAnsi="Arial"/>
                <w:sz w:val="14"/>
                <w:szCs w:val="14"/>
                <w:color w:val="auto"/>
              </w:rPr>
              <w:t>25th percentile</w:t>
            </w:r>
          </w:p>
        </w:tc>
        <w:tc>
          <w:tcPr>
            <w:tcW w:w="1200" w:type="dxa"/>
            <w:vAlign w:val="bottom"/>
          </w:tcPr>
          <w:p>
            <w:pPr>
              <w:jc w:val="center"/>
              <w:spacing w:after="0"/>
              <w:rPr>
                <w:sz w:val="20"/>
                <w:szCs w:val="20"/>
                <w:color w:val="auto"/>
              </w:rPr>
            </w:pPr>
            <w:r>
              <w:rPr>
                <w:rFonts w:ascii="Arial" w:cs="Arial" w:eastAsia="Arial" w:hAnsi="Arial"/>
                <w:sz w:val="14"/>
                <w:szCs w:val="14"/>
                <w:color w:val="auto"/>
              </w:rPr>
              <w:t>50th percentile</w:t>
            </w:r>
          </w:p>
        </w:tc>
        <w:tc>
          <w:tcPr>
            <w:tcW w:w="1580" w:type="dxa"/>
            <w:vAlign w:val="bottom"/>
          </w:tcPr>
          <w:p>
            <w:pPr>
              <w:jc w:val="center"/>
              <w:spacing w:after="0"/>
              <w:rPr>
                <w:sz w:val="20"/>
                <w:szCs w:val="20"/>
                <w:color w:val="auto"/>
              </w:rPr>
            </w:pPr>
            <w:r>
              <w:rPr>
                <w:rFonts w:ascii="Arial" w:cs="Arial" w:eastAsia="Arial" w:hAnsi="Arial"/>
                <w:sz w:val="14"/>
                <w:szCs w:val="14"/>
                <w:color w:val="auto"/>
              </w:rPr>
              <w:t>75th percentile</w:t>
            </w:r>
          </w:p>
        </w:tc>
        <w:tc>
          <w:tcPr>
            <w:tcW w:w="1280" w:type="dxa"/>
            <w:vAlign w:val="bottom"/>
          </w:tcPr>
          <w:p>
            <w:pPr>
              <w:jc w:val="center"/>
              <w:spacing w:after="0"/>
              <w:rPr>
                <w:sz w:val="20"/>
                <w:szCs w:val="20"/>
                <w:color w:val="auto"/>
              </w:rPr>
            </w:pPr>
            <w:r>
              <w:rPr>
                <w:rFonts w:ascii="Arial" w:cs="Arial" w:eastAsia="Arial" w:hAnsi="Arial"/>
                <w:sz w:val="14"/>
                <w:szCs w:val="14"/>
                <w:color w:val="auto"/>
              </w:rPr>
              <w:t>≥90th percentile</w:t>
            </w:r>
          </w:p>
        </w:tc>
      </w:tr>
      <w:tr>
        <w:trPr>
          <w:trHeight w:val="22"/>
        </w:trPr>
        <w:tc>
          <w:tcPr>
            <w:tcW w:w="2980" w:type="dxa"/>
            <w:vAlign w:val="bottom"/>
            <w:tcBorders>
              <w:bottom w:val="single" w:sz="8" w:color="404040"/>
            </w:tcBorders>
          </w:tcPr>
          <w:p>
            <w:pPr>
              <w:spacing w:after="0" w:line="20" w:lineRule="exact"/>
              <w:rPr>
                <w:sz w:val="1"/>
                <w:szCs w:val="1"/>
                <w:color w:val="auto"/>
              </w:rPr>
            </w:pPr>
          </w:p>
        </w:tc>
        <w:tc>
          <w:tcPr>
            <w:tcW w:w="1380" w:type="dxa"/>
            <w:vAlign w:val="bottom"/>
            <w:tcBorders>
              <w:bottom w:val="single" w:sz="8" w:color="404040"/>
            </w:tcBorders>
          </w:tcPr>
          <w:p>
            <w:pPr>
              <w:spacing w:after="0" w:line="20" w:lineRule="exact"/>
              <w:rPr>
                <w:sz w:val="1"/>
                <w:szCs w:val="1"/>
                <w:color w:val="auto"/>
              </w:rPr>
            </w:pPr>
          </w:p>
        </w:tc>
        <w:tc>
          <w:tcPr>
            <w:tcW w:w="1200" w:type="dxa"/>
            <w:vAlign w:val="bottom"/>
            <w:tcBorders>
              <w:bottom w:val="single" w:sz="8" w:color="404040"/>
            </w:tcBorders>
          </w:tcPr>
          <w:p>
            <w:pPr>
              <w:spacing w:after="0" w:line="20" w:lineRule="exact"/>
              <w:rPr>
                <w:sz w:val="1"/>
                <w:szCs w:val="1"/>
                <w:color w:val="auto"/>
              </w:rPr>
            </w:pPr>
          </w:p>
        </w:tc>
        <w:tc>
          <w:tcPr>
            <w:tcW w:w="1580" w:type="dxa"/>
            <w:vAlign w:val="bottom"/>
            <w:tcBorders>
              <w:bottom w:val="single" w:sz="8" w:color="404040"/>
            </w:tcBorders>
          </w:tcPr>
          <w:p>
            <w:pPr>
              <w:spacing w:after="0" w:line="20" w:lineRule="exact"/>
              <w:rPr>
                <w:sz w:val="1"/>
                <w:szCs w:val="1"/>
                <w:color w:val="auto"/>
              </w:rPr>
            </w:pPr>
          </w:p>
        </w:tc>
        <w:tc>
          <w:tcPr>
            <w:tcW w:w="1280" w:type="dxa"/>
            <w:vAlign w:val="bottom"/>
            <w:tcBorders>
              <w:bottom w:val="single" w:sz="8" w:color="404040"/>
            </w:tcBorders>
          </w:tcPr>
          <w:p>
            <w:pPr>
              <w:spacing w:after="0" w:line="20" w:lineRule="exact"/>
              <w:rPr>
                <w:sz w:val="1"/>
                <w:szCs w:val="1"/>
                <w:color w:val="auto"/>
              </w:rPr>
            </w:pPr>
          </w:p>
        </w:tc>
      </w:tr>
      <w:tr>
        <w:trPr>
          <w:trHeight w:val="183"/>
        </w:trPr>
        <w:tc>
          <w:tcPr>
            <w:tcW w:w="2980" w:type="dxa"/>
            <w:vAlign w:val="bottom"/>
            <w:tcBorders>
              <w:bottom w:val="single" w:sz="8" w:color="404040"/>
            </w:tcBorders>
          </w:tcPr>
          <w:p>
            <w:pPr>
              <w:ind w:left="60"/>
              <w:spacing w:after="0"/>
              <w:rPr>
                <w:sz w:val="20"/>
                <w:szCs w:val="20"/>
                <w:color w:val="auto"/>
              </w:rPr>
            </w:pPr>
            <w:r>
              <w:rPr>
                <w:rFonts w:ascii="Arial" w:cs="Arial" w:eastAsia="Arial" w:hAnsi="Arial"/>
                <w:sz w:val="14"/>
                <w:szCs w:val="14"/>
                <w:color w:val="auto"/>
              </w:rPr>
              <w:t>Achievement Factor (as % of target)</w:t>
            </w:r>
          </w:p>
        </w:tc>
        <w:tc>
          <w:tcPr>
            <w:tcW w:w="1380" w:type="dxa"/>
            <w:vAlign w:val="bottom"/>
            <w:tcBorders>
              <w:bottom w:val="single" w:sz="8" w:color="404040"/>
            </w:tcBorders>
          </w:tcPr>
          <w:p>
            <w:pPr>
              <w:jc w:val="center"/>
              <w:ind w:left="128"/>
              <w:spacing w:after="0"/>
              <w:rPr>
                <w:sz w:val="20"/>
                <w:szCs w:val="20"/>
                <w:color w:val="auto"/>
              </w:rPr>
            </w:pPr>
            <w:r>
              <w:rPr>
                <w:rFonts w:ascii="Arial" w:cs="Arial" w:eastAsia="Arial" w:hAnsi="Arial"/>
                <w:sz w:val="14"/>
                <w:szCs w:val="14"/>
                <w:color w:val="auto"/>
              </w:rPr>
              <w:t>50%</w:t>
            </w:r>
          </w:p>
        </w:tc>
        <w:tc>
          <w:tcPr>
            <w:tcW w:w="1200" w:type="dxa"/>
            <w:vAlign w:val="bottom"/>
            <w:tcBorders>
              <w:bottom w:val="single" w:sz="8" w:color="404040"/>
            </w:tcBorders>
          </w:tcPr>
          <w:p>
            <w:pPr>
              <w:jc w:val="center"/>
              <w:spacing w:after="0"/>
              <w:rPr>
                <w:sz w:val="20"/>
                <w:szCs w:val="20"/>
                <w:color w:val="auto"/>
              </w:rPr>
            </w:pPr>
            <w:r>
              <w:rPr>
                <w:rFonts w:ascii="Arial" w:cs="Arial" w:eastAsia="Arial" w:hAnsi="Arial"/>
                <w:sz w:val="14"/>
                <w:szCs w:val="14"/>
                <w:color w:val="auto"/>
              </w:rPr>
              <w:t>100%</w:t>
            </w:r>
          </w:p>
        </w:tc>
        <w:tc>
          <w:tcPr>
            <w:tcW w:w="1580" w:type="dxa"/>
            <w:vAlign w:val="bottom"/>
            <w:tcBorders>
              <w:bottom w:val="single" w:sz="8" w:color="404040"/>
            </w:tcBorders>
          </w:tcPr>
          <w:p>
            <w:pPr>
              <w:jc w:val="center"/>
              <w:spacing w:after="0"/>
              <w:rPr>
                <w:sz w:val="20"/>
                <w:szCs w:val="20"/>
                <w:color w:val="auto"/>
              </w:rPr>
            </w:pPr>
            <w:r>
              <w:rPr>
                <w:rFonts w:ascii="Arial" w:cs="Arial" w:eastAsia="Arial" w:hAnsi="Arial"/>
                <w:sz w:val="14"/>
                <w:szCs w:val="14"/>
                <w:color w:val="auto"/>
              </w:rPr>
              <w:t>200%</w:t>
            </w:r>
          </w:p>
        </w:tc>
        <w:tc>
          <w:tcPr>
            <w:tcW w:w="1280" w:type="dxa"/>
            <w:vAlign w:val="bottom"/>
            <w:tcBorders>
              <w:bottom w:val="single" w:sz="8" w:color="404040"/>
            </w:tcBorders>
          </w:tcPr>
          <w:p>
            <w:pPr>
              <w:jc w:val="center"/>
              <w:spacing w:after="0"/>
              <w:rPr>
                <w:sz w:val="20"/>
                <w:szCs w:val="20"/>
                <w:color w:val="auto"/>
              </w:rPr>
            </w:pPr>
            <w:r>
              <w:rPr>
                <w:rFonts w:ascii="Arial" w:cs="Arial" w:eastAsia="Arial" w:hAnsi="Arial"/>
                <w:sz w:val="14"/>
                <w:szCs w:val="14"/>
                <w:color w:val="auto"/>
              </w:rPr>
              <w:t>300%</w:t>
            </w:r>
          </w:p>
        </w:tc>
      </w:tr>
    </w:tbl>
    <w:p>
      <w:pPr>
        <w:spacing w:after="0" w:line="134"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6"/>
          <w:szCs w:val="16"/>
          <w:color w:val="auto"/>
        </w:rPr>
        <w:t>If the rTSR percentile achieved at the end of the performance period is between two of the levels above, the Achievement Factor will be determined using linear interpolation. If the percentile achieved falls below the threshold, the achievement factor will be 0%.</w:t>
      </w:r>
    </w:p>
    <w:p>
      <w:pPr>
        <w:spacing w:after="0" w:line="90" w:lineRule="exact"/>
        <w:rPr>
          <w:sz w:val="20"/>
          <w:szCs w:val="20"/>
          <w:color w:val="auto"/>
        </w:rPr>
      </w:pPr>
    </w:p>
    <w:p>
      <w:pPr>
        <w:jc w:val="both"/>
        <w:ind w:left="660" w:right="299"/>
        <w:spacing w:after="0" w:line="253" w:lineRule="auto"/>
        <w:rPr>
          <w:sz w:val="20"/>
          <w:szCs w:val="20"/>
          <w:color w:val="auto"/>
        </w:rPr>
      </w:pPr>
      <w:r>
        <w:rPr>
          <w:rFonts w:ascii="Arial" w:cs="Arial" w:eastAsia="Arial" w:hAnsi="Arial"/>
          <w:sz w:val="16"/>
          <w:szCs w:val="16"/>
          <w:color w:val="auto"/>
        </w:rPr>
        <w:t>The Compensation Committee will determine the Achievement Factor as soon as administratively practicable following the end of the performance period, which is February 26, 2028. The performance will only end before the originally scheduled end date of February 26, 2028 in the case of a Change in Control (as defined in the Executive Change in Control and Severance Benefit Plan or the 2022 Change in Control and Severance Benefit Plan, as applicable). In the event of a Change in Control where the awards are assumed, the rTSR PSUs will convert into time-based RSUs at the then-calculated Achievement Factor and vest on the original scheduled end date of February 26, 2028, subject to continued service or qualifying accelerated termination.</w:t>
      </w:r>
    </w:p>
    <w:p>
      <w:pPr>
        <w:spacing w:after="0" w:line="114" w:lineRule="exact"/>
        <w:rPr>
          <w:sz w:val="20"/>
          <w:szCs w:val="20"/>
          <w:color w:val="auto"/>
        </w:rPr>
      </w:pPr>
    </w:p>
    <w:p>
      <w:pPr>
        <w:jc w:val="both"/>
        <w:ind w:left="660" w:right="319"/>
        <w:spacing w:after="0" w:line="286" w:lineRule="auto"/>
        <w:rPr>
          <w:sz w:val="20"/>
          <w:szCs w:val="20"/>
          <w:color w:val="auto"/>
        </w:rPr>
      </w:pPr>
      <w:r>
        <w:rPr>
          <w:rFonts w:ascii="Arial" w:cs="Arial" w:eastAsia="Arial" w:hAnsi="Arial"/>
          <w:sz w:val="16"/>
          <w:szCs w:val="16"/>
          <w:color w:val="auto"/>
        </w:rPr>
        <w:t>Mr. Nightingale is ineligible to receive any portion of his rTSR PSUs because of his resignation. Mr. Kisling’s rTSR PSU award was adjusted pursuant to the Kisling Separation Agreement.</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42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August 2025 CEO and President, Go to Market Promotional Equity Awards</w:t>
      </w:r>
    </w:p>
    <w:p>
      <w:pPr>
        <w:spacing w:after="0" w:line="135" w:lineRule="exact"/>
        <w:rPr>
          <w:sz w:val="20"/>
          <w:szCs w:val="20"/>
          <w:color w:val="auto"/>
        </w:rPr>
      </w:pPr>
    </w:p>
    <w:p>
      <w:pPr>
        <w:jc w:val="both"/>
        <w:ind w:left="660" w:right="640"/>
        <w:spacing w:after="0" w:line="259" w:lineRule="auto"/>
        <w:rPr>
          <w:sz w:val="20"/>
          <w:szCs w:val="20"/>
          <w:color w:val="auto"/>
        </w:rPr>
      </w:pPr>
      <w:r>
        <w:rPr>
          <w:rFonts w:ascii="Arial" w:cs="Arial" w:eastAsia="Arial" w:hAnsi="Arial"/>
          <w:sz w:val="16"/>
          <w:szCs w:val="16"/>
          <w:color w:val="auto"/>
        </w:rPr>
        <w:t>In August 2025, following the appointment of Mr. Compton as our Chief Executive Officer, effective June 16, 2025 and Mr. Lovett’s promotion to President, Go to Market, effective August 6, 2025, the Compensation Committee approved additional equity awards to Messrs. Compton and Lovett to align their compensation with their new roles and the competitive market for talent.</w:t>
      </w:r>
    </w:p>
    <w:p>
      <w:pPr>
        <w:spacing w:after="0" w:line="110" w:lineRule="exact"/>
        <w:rPr>
          <w:sz w:val="20"/>
          <w:szCs w:val="20"/>
          <w:color w:val="auto"/>
        </w:rPr>
      </w:pPr>
    </w:p>
    <w:p>
      <w:pPr>
        <w:jc w:val="both"/>
        <w:ind w:left="660" w:right="640"/>
        <w:spacing w:after="0" w:line="256" w:lineRule="auto"/>
        <w:rPr>
          <w:sz w:val="20"/>
          <w:szCs w:val="20"/>
          <w:color w:val="auto"/>
        </w:rPr>
      </w:pPr>
      <w:r>
        <w:rPr>
          <w:rFonts w:ascii="Arial" w:cs="Arial" w:eastAsia="Arial" w:hAnsi="Arial"/>
          <w:sz w:val="16"/>
          <w:szCs w:val="16"/>
          <w:color w:val="auto"/>
        </w:rPr>
        <w:t>As described above – “2025 Chief Executive Officer and Leadership Transitions,” Mr. Compton was promoted to the role of CEO, effective June 16, 2025, and the Compensation Committee, after reviewing competitive market data in consultation with Semler Brossy, approved a $5.0 million promotional equity grant. Mr. Compton was granted approximately 50% of the target promotional equity value in the form of PSUs, which included Financial PSUs (35%) and rTSR PSUs (15%), and the remaining 50% in the form of time-vesting RSUs.</w:t>
      </w:r>
    </w:p>
    <w:p>
      <w:pPr>
        <w:spacing w:after="0" w:line="112" w:lineRule="exact"/>
        <w:rPr>
          <w:sz w:val="20"/>
          <w:szCs w:val="20"/>
          <w:color w:val="auto"/>
        </w:rPr>
      </w:pPr>
    </w:p>
    <w:p>
      <w:pPr>
        <w:jc w:val="both"/>
        <w:ind w:left="660" w:right="640"/>
        <w:spacing w:after="0" w:line="249" w:lineRule="auto"/>
        <w:rPr>
          <w:sz w:val="20"/>
          <w:szCs w:val="20"/>
          <w:color w:val="auto"/>
        </w:rPr>
      </w:pPr>
      <w:r>
        <w:rPr>
          <w:rFonts w:ascii="Arial" w:cs="Arial" w:eastAsia="Arial" w:hAnsi="Arial"/>
          <w:sz w:val="16"/>
          <w:szCs w:val="16"/>
          <w:color w:val="auto"/>
        </w:rPr>
        <w:t>Mr. Lovett was promoted to the role of President, Go to Market effective August 6, 2025. He had previously served as Chief Revenue Officer since joining Fastly in August 2024. In awarding Mr. Lovett equity awards upon promotion, our Compensation Committee, advised by Semler Brossy, sought to deliver a competitive level of compensation that aligns his yearly equity grant levels with the competitive market for comparable executives among our peer companies. Our Compensation Committee reviewed, with input from Semler Brossy, market data among companies in our compensation peer group. The Compensation Committee also considered Mr. Lovett’s critical role in our go-forward strategy and the importance of retaining him during this period of leadership transition. Based on these considerations, the Compensation Committee approved equity awards with an aggregate target value of $3.5 million. His $1.0 million promotional award was composed of approximately 40% PSUs, which included Financial PSUs (25%) and rTSR PSUs (15%), and the remaining 60% in the form of time-vesting RSUs. In addition, Mr. Lovett was granted an additional Financial PSU grant with a target value of $2.5 million, to act as a retention grant during this period of transition for the Company and to increase the performance orientation of his total pay package. The entirety of this additional PSU grant was tied to the 2025 Objectives, consistent with the revenue and profitability goals used for other Financial PSUs granted to our Named Executive Officers in 2025.</w:t>
      </w:r>
    </w:p>
    <w:p>
      <w:pPr>
        <w:spacing w:after="0" w:line="109" w:lineRule="exact"/>
        <w:rPr>
          <w:sz w:val="20"/>
          <w:szCs w:val="20"/>
          <w:color w:val="auto"/>
        </w:rPr>
      </w:pPr>
    </w:p>
    <w:p>
      <w:pPr>
        <w:jc w:val="both"/>
        <w:ind w:left="660" w:right="640"/>
        <w:spacing w:after="0" w:line="254" w:lineRule="auto"/>
        <w:rPr>
          <w:sz w:val="20"/>
          <w:szCs w:val="20"/>
          <w:color w:val="auto"/>
        </w:rPr>
      </w:pPr>
      <w:r>
        <w:rPr>
          <w:rFonts w:ascii="Arial" w:cs="Arial" w:eastAsia="Arial" w:hAnsi="Arial"/>
          <w:sz w:val="16"/>
          <w:szCs w:val="16"/>
          <w:color w:val="auto"/>
        </w:rPr>
        <w:t>The target values established by the Compensation Committee were approved based on $9.00, which was greater than the 30-calendar day trailing average closing trading price of our common stock at the time of each of these promotions and consistent with the methodology used in the Company’s annual long-term incentive equity awards granted in February and March 2025. This target value differs from the grant date fair value of the equity awards determined for accounting purposes. The grant date fair value of the equity awards is reported below in our 2025 Summary Compensation Table and 2025 Grants of Plan-Based Awards Table.</w:t>
      </w:r>
    </w:p>
    <w:p>
      <w:pPr>
        <w:spacing w:after="0" w:line="227"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August 2025 CEO and President, Go to Market Promotional 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32385</wp:posOffset>
            </wp:positionV>
            <wp:extent cx="53492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Financial PSU</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PSUs</w:t>
            </w:r>
          </w:p>
        </w:tc>
        <w:tc>
          <w:tcPr>
            <w:tcW w:w="98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rTSR PSU</w:t>
            </w:r>
          </w:p>
        </w:tc>
        <w:tc>
          <w:tcPr>
            <w:tcW w:w="720" w:type="dxa"/>
            <w:vAlign w:val="bottom"/>
          </w:tcPr>
          <w:p>
            <w:pPr>
              <w:spacing w:after="0"/>
              <w:rPr>
                <w:sz w:val="14"/>
                <w:szCs w:val="14"/>
                <w:color w:val="auto"/>
              </w:rPr>
            </w:pPr>
          </w:p>
        </w:tc>
        <w:tc>
          <w:tcPr>
            <w:tcW w:w="980" w:type="dxa"/>
            <w:vAlign w:val="bottom"/>
          </w:tcPr>
          <w:p>
            <w:pPr>
              <w:jc w:val="right"/>
              <w:ind w:right="91"/>
              <w:spacing w:after="0"/>
              <w:rPr>
                <w:sz w:val="20"/>
                <w:szCs w:val="20"/>
                <w:color w:val="auto"/>
              </w:rPr>
            </w:pPr>
            <w:r>
              <w:rPr>
                <w:rFonts w:ascii="Arial" w:cs="Arial" w:eastAsia="Arial" w:hAnsi="Arial"/>
                <w:sz w:val="14"/>
                <w:szCs w:val="14"/>
                <w:b w:val="1"/>
                <w:bCs w:val="1"/>
                <w:color w:val="auto"/>
              </w:rPr>
              <w:t>RSU Grant</w:t>
            </w:r>
          </w:p>
        </w:tc>
      </w:tr>
      <w:tr>
        <w:trPr>
          <w:trHeight w:val="162"/>
        </w:trPr>
        <w:tc>
          <w:tcPr>
            <w:tcW w:w="128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Financial PSUs</w:t>
            </w:r>
          </w:p>
        </w:tc>
        <w:tc>
          <w:tcPr>
            <w:tcW w:w="1200" w:type="dxa"/>
            <w:vAlign w:val="bottom"/>
          </w:tcPr>
          <w:p>
            <w:pPr>
              <w:jc w:val="right"/>
              <w:ind w:right="48"/>
              <w:spacing w:after="0"/>
              <w:rPr>
                <w:sz w:val="20"/>
                <w:szCs w:val="20"/>
                <w:color w:val="auto"/>
              </w:rPr>
            </w:pPr>
            <w:r>
              <w:rPr>
                <w:rFonts w:ascii="Arial" w:cs="Arial" w:eastAsia="Arial" w:hAnsi="Arial"/>
                <w:sz w:val="14"/>
                <w:szCs w:val="14"/>
                <w:b w:val="1"/>
                <w:bCs w:val="1"/>
                <w:color w:val="auto"/>
              </w:rPr>
              <w:t>Grant Date</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Actually</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rTSR PSUs</w:t>
            </w:r>
          </w:p>
        </w:tc>
        <w:tc>
          <w:tcPr>
            <w:tcW w:w="1180" w:type="dxa"/>
            <w:vAlign w:val="bottom"/>
          </w:tcPr>
          <w:p>
            <w:pPr>
              <w:jc w:val="right"/>
              <w:ind w:right="48"/>
              <w:spacing w:after="0"/>
              <w:rPr>
                <w:sz w:val="20"/>
                <w:szCs w:val="20"/>
                <w:color w:val="auto"/>
              </w:rPr>
            </w:pPr>
            <w:r>
              <w:rPr>
                <w:rFonts w:ascii="Arial" w:cs="Arial" w:eastAsia="Arial" w:hAnsi="Arial"/>
                <w:sz w:val="14"/>
                <w:szCs w:val="14"/>
                <w:b w:val="1"/>
                <w:bCs w:val="1"/>
                <w:color w:val="auto"/>
              </w:rPr>
              <w:t>Grant Date</w:t>
            </w:r>
          </w:p>
        </w:tc>
        <w:tc>
          <w:tcPr>
            <w:tcW w:w="720" w:type="dxa"/>
            <w:vAlign w:val="bottom"/>
          </w:tcPr>
          <w:p>
            <w:pPr>
              <w:jc w:val="right"/>
              <w:ind w:right="68"/>
              <w:spacing w:after="0"/>
              <w:rPr>
                <w:sz w:val="20"/>
                <w:szCs w:val="20"/>
                <w:color w:val="auto"/>
              </w:rPr>
            </w:pPr>
            <w:r>
              <w:rPr>
                <w:rFonts w:ascii="Arial" w:cs="Arial" w:eastAsia="Arial" w:hAnsi="Arial"/>
                <w:sz w:val="14"/>
                <w:szCs w:val="14"/>
                <w:b w:val="1"/>
                <w:bCs w:val="1"/>
                <w:color w:val="auto"/>
              </w:rPr>
              <w:t>RSU</w:t>
            </w:r>
          </w:p>
        </w:tc>
        <w:tc>
          <w:tcPr>
            <w:tcW w:w="980" w:type="dxa"/>
            <w:vAlign w:val="bottom"/>
          </w:tcPr>
          <w:p>
            <w:pPr>
              <w:jc w:val="right"/>
              <w:ind w:right="91"/>
              <w:spacing w:after="0"/>
              <w:rPr>
                <w:sz w:val="20"/>
                <w:szCs w:val="20"/>
                <w:color w:val="auto"/>
              </w:rPr>
            </w:pPr>
            <w:r>
              <w:rPr>
                <w:rFonts w:ascii="Arial" w:cs="Arial" w:eastAsia="Arial" w:hAnsi="Arial"/>
                <w:sz w:val="14"/>
                <w:szCs w:val="14"/>
                <w:b w:val="1"/>
                <w:bCs w:val="1"/>
                <w:color w:val="auto"/>
              </w:rPr>
              <w:t>Date Fair</w:t>
            </w:r>
          </w:p>
        </w:tc>
      </w:tr>
      <w:tr>
        <w:trPr>
          <w:trHeight w:val="230"/>
        </w:trPr>
        <w:tc>
          <w:tcPr>
            <w:tcW w:w="128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Executive</w:t>
            </w:r>
          </w:p>
        </w:tc>
        <w:tc>
          <w:tcPr>
            <w:tcW w:w="1300" w:type="dxa"/>
            <w:vAlign w:val="bottom"/>
            <w:tcBorders>
              <w:bottom w:val="single" w:sz="8" w:color="404040"/>
            </w:tcBorders>
          </w:tcPr>
          <w:p>
            <w:pPr>
              <w:jc w:val="right"/>
              <w:ind w:right="28"/>
              <w:spacing w:after="0"/>
              <w:rPr>
                <w:sz w:val="20"/>
                <w:szCs w:val="20"/>
                <w:color w:val="auto"/>
              </w:rPr>
            </w:pPr>
            <w:r>
              <w:rPr>
                <w:rFonts w:ascii="Arial" w:cs="Arial" w:eastAsia="Arial" w:hAnsi="Arial"/>
                <w:sz w:val="14"/>
                <w:szCs w:val="14"/>
                <w:b w:val="1"/>
                <w:bCs w:val="1"/>
                <w:color w:val="auto"/>
              </w:rPr>
              <w:t>at Target</w:t>
            </w:r>
          </w:p>
        </w:tc>
        <w:tc>
          <w:tcPr>
            <w:tcW w:w="1200" w:type="dxa"/>
            <w:vAlign w:val="bottom"/>
            <w:tcBorders>
              <w:bottom w:val="single" w:sz="8" w:color="404040"/>
            </w:tcBorders>
          </w:tcPr>
          <w:p>
            <w:pPr>
              <w:ind w:left="140"/>
              <w:spacing w:after="0" w:line="230" w:lineRule="exact"/>
              <w:rPr>
                <w:sz w:val="20"/>
                <w:szCs w:val="20"/>
                <w:color w:val="auto"/>
              </w:rPr>
            </w:pPr>
            <w:r>
              <w:rPr>
                <w:rFonts w:ascii="Arial" w:cs="Arial" w:eastAsia="Arial" w:hAnsi="Arial"/>
                <w:sz w:val="14"/>
                <w:szCs w:val="14"/>
                <w:b w:val="1"/>
                <w:bCs w:val="1"/>
                <w:color w:val="auto"/>
                <w:w w:val="99"/>
              </w:rPr>
              <w:t>Fair Value</w:t>
            </w:r>
            <w:r>
              <w:rPr>
                <w:rFonts w:ascii="Arial" w:cs="Arial" w:eastAsia="Arial" w:hAnsi="Arial"/>
                <w:sz w:val="23"/>
                <w:szCs w:val="23"/>
                <w:b w:val="1"/>
                <w:bCs w:val="1"/>
                <w:color w:val="auto"/>
                <w:w w:val="99"/>
                <w:vertAlign w:val="superscript"/>
              </w:rPr>
              <w:t>(1)(2)</w:t>
            </w:r>
          </w:p>
        </w:tc>
        <w:tc>
          <w:tcPr>
            <w:tcW w:w="780" w:type="dxa"/>
            <w:vAlign w:val="bottom"/>
            <w:tcBorders>
              <w:bottom w:val="single" w:sz="8" w:color="404040"/>
            </w:tcBorders>
          </w:tcPr>
          <w:p>
            <w:pPr>
              <w:jc w:val="right"/>
              <w:ind w:right="8"/>
              <w:spacing w:after="0"/>
              <w:rPr>
                <w:sz w:val="20"/>
                <w:szCs w:val="20"/>
                <w:color w:val="auto"/>
              </w:rPr>
            </w:pPr>
            <w:r>
              <w:rPr>
                <w:rFonts w:ascii="Arial" w:cs="Arial" w:eastAsia="Arial" w:hAnsi="Arial"/>
                <w:sz w:val="14"/>
                <w:szCs w:val="14"/>
                <w:b w:val="1"/>
                <w:bCs w:val="1"/>
                <w:color w:val="auto"/>
              </w:rPr>
              <w:t>Earned</w:t>
            </w:r>
          </w:p>
        </w:tc>
        <w:tc>
          <w:tcPr>
            <w:tcW w:w="98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at Target</w:t>
            </w:r>
          </w:p>
        </w:tc>
        <w:tc>
          <w:tcPr>
            <w:tcW w:w="1180" w:type="dxa"/>
            <w:vAlign w:val="bottom"/>
            <w:tcBorders>
              <w:bottom w:val="single" w:sz="8" w:color="404040"/>
            </w:tcBorders>
          </w:tcPr>
          <w:p>
            <w:pPr>
              <w:jc w:val="right"/>
              <w:ind w:right="8"/>
              <w:spacing w:after="0" w:line="230" w:lineRule="exact"/>
              <w:rPr>
                <w:sz w:val="20"/>
                <w:szCs w:val="20"/>
                <w:color w:val="auto"/>
              </w:rPr>
            </w:pPr>
            <w:r>
              <w:rPr>
                <w:rFonts w:ascii="Arial" w:cs="Arial" w:eastAsia="Arial" w:hAnsi="Arial"/>
                <w:sz w:val="14"/>
                <w:szCs w:val="14"/>
                <w:b w:val="1"/>
                <w:bCs w:val="1"/>
                <w:color w:val="auto"/>
              </w:rPr>
              <w:t>Fair Value</w:t>
            </w:r>
            <w:r>
              <w:rPr>
                <w:rFonts w:ascii="Arial" w:cs="Arial" w:eastAsia="Arial" w:hAnsi="Arial"/>
                <w:sz w:val="23"/>
                <w:szCs w:val="23"/>
                <w:b w:val="1"/>
                <w:bCs w:val="1"/>
                <w:color w:val="auto"/>
                <w:vertAlign w:val="superscript"/>
              </w:rPr>
              <w:t>(1)(3)</w:t>
            </w:r>
          </w:p>
        </w:tc>
        <w:tc>
          <w:tcPr>
            <w:tcW w:w="720" w:type="dxa"/>
            <w:vAlign w:val="bottom"/>
            <w:tcBorders>
              <w:bottom w:val="single" w:sz="8" w:color="404040"/>
            </w:tcBorders>
          </w:tcPr>
          <w:p>
            <w:pPr>
              <w:jc w:val="right"/>
              <w:ind w:right="28"/>
              <w:spacing w:after="0"/>
              <w:rPr>
                <w:sz w:val="20"/>
                <w:szCs w:val="20"/>
                <w:color w:val="auto"/>
              </w:rPr>
            </w:pPr>
            <w:r>
              <w:rPr>
                <w:rFonts w:ascii="Arial" w:cs="Arial" w:eastAsia="Arial" w:hAnsi="Arial"/>
                <w:sz w:val="14"/>
                <w:szCs w:val="14"/>
                <w:b w:val="1"/>
                <w:bCs w:val="1"/>
                <w:color w:val="auto"/>
              </w:rPr>
              <w:t>Grant</w:t>
            </w:r>
          </w:p>
        </w:tc>
        <w:tc>
          <w:tcPr>
            <w:tcW w:w="980" w:type="dxa"/>
            <w:vAlign w:val="bottom"/>
            <w:tcBorders>
              <w:bottom w:val="single" w:sz="8" w:color="404040"/>
            </w:tcBorders>
          </w:tcPr>
          <w:p>
            <w:pPr>
              <w:jc w:val="right"/>
              <w:ind w:right="51"/>
              <w:spacing w:after="0" w:line="230" w:lineRule="exact"/>
              <w:rPr>
                <w:sz w:val="20"/>
                <w:szCs w:val="20"/>
                <w:color w:val="auto"/>
              </w:rPr>
            </w:pPr>
            <w:r>
              <w:rPr>
                <w:rFonts w:ascii="Arial" w:cs="Arial" w:eastAsia="Arial" w:hAnsi="Arial"/>
                <w:sz w:val="26"/>
                <w:szCs w:val="26"/>
                <w:b w:val="1"/>
                <w:bCs w:val="1"/>
                <w:color w:val="auto"/>
                <w:vertAlign w:val="subscript"/>
              </w:rPr>
              <w:t>Value</w:t>
            </w:r>
            <w:r>
              <w:rPr>
                <w:rFonts w:ascii="Arial" w:cs="Arial" w:eastAsia="Arial" w:hAnsi="Arial"/>
                <w:sz w:val="11"/>
                <w:szCs w:val="11"/>
                <w:b w:val="1"/>
                <w:bCs w:val="1"/>
                <w:color w:val="auto"/>
              </w:rPr>
              <w:t>(1)(4)</w:t>
            </w:r>
          </w:p>
        </w:tc>
      </w:tr>
      <w:tr>
        <w:trPr>
          <w:trHeight w:val="201"/>
        </w:trPr>
        <w:tc>
          <w:tcPr>
            <w:tcW w:w="1280" w:type="dxa"/>
            <w:vAlign w:val="bottom"/>
          </w:tcPr>
          <w:p>
            <w:pPr>
              <w:ind w:left="60"/>
              <w:spacing w:after="0"/>
              <w:rPr>
                <w:sz w:val="20"/>
                <w:szCs w:val="20"/>
                <w:color w:val="auto"/>
              </w:rPr>
            </w:pPr>
            <w:r>
              <w:rPr>
                <w:rFonts w:ascii="Arial" w:cs="Arial" w:eastAsia="Arial" w:hAnsi="Arial"/>
                <w:sz w:val="14"/>
                <w:szCs w:val="14"/>
                <w:color w:val="auto"/>
              </w:rPr>
              <w:t>Charles Compton</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194,444</w:t>
            </w:r>
          </w:p>
        </w:tc>
        <w:tc>
          <w:tcPr>
            <w:tcW w:w="1200" w:type="dxa"/>
            <w:vAlign w:val="bottom"/>
          </w:tcPr>
          <w:p>
            <w:pPr>
              <w:ind w:left="380"/>
              <w:spacing w:after="0"/>
              <w:rPr>
                <w:sz w:val="20"/>
                <w:szCs w:val="20"/>
                <w:color w:val="auto"/>
              </w:rPr>
            </w:pPr>
            <w:r>
              <w:rPr>
                <w:rFonts w:ascii="Arial" w:cs="Arial" w:eastAsia="Arial" w:hAnsi="Arial"/>
                <w:sz w:val="14"/>
                <w:szCs w:val="14"/>
                <w:color w:val="auto"/>
              </w:rPr>
              <w:t>$1,359,164</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263,277</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83,333</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$1,149,995</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277,777</w:t>
            </w:r>
          </w:p>
        </w:tc>
        <w:tc>
          <w:tcPr>
            <w:tcW w:w="980" w:type="dxa"/>
            <w:vAlign w:val="bottom"/>
          </w:tcPr>
          <w:p>
            <w:pPr>
              <w:jc w:val="right"/>
              <w:ind w:right="51"/>
              <w:spacing w:after="0"/>
              <w:rPr>
                <w:sz w:val="20"/>
                <w:szCs w:val="20"/>
                <w:color w:val="auto"/>
              </w:rPr>
            </w:pPr>
            <w:r>
              <w:rPr>
                <w:rFonts w:ascii="Arial" w:cs="Arial" w:eastAsia="Arial" w:hAnsi="Arial"/>
                <w:sz w:val="14"/>
                <w:szCs w:val="14"/>
                <w:color w:val="auto"/>
              </w:rPr>
              <w:t>$1,941,661</w:t>
            </w:r>
          </w:p>
        </w:tc>
      </w:tr>
      <w:tr>
        <w:trPr>
          <w:trHeight w:val="22"/>
        </w:trPr>
        <w:tc>
          <w:tcPr>
            <w:tcW w:w="1280" w:type="dxa"/>
            <w:vAlign w:val="bottom"/>
            <w:tcBorders>
              <w:bottom w:val="single" w:sz="8" w:color="404040"/>
            </w:tcBorders>
          </w:tcPr>
          <w:p>
            <w:pPr>
              <w:spacing w:after="0" w:line="20" w:lineRule="exact"/>
              <w:rPr>
                <w:sz w:val="1"/>
                <w:szCs w:val="1"/>
                <w:color w:val="auto"/>
              </w:rPr>
            </w:pPr>
          </w:p>
        </w:tc>
        <w:tc>
          <w:tcPr>
            <w:tcW w:w="1300" w:type="dxa"/>
            <w:vAlign w:val="bottom"/>
            <w:tcBorders>
              <w:bottom w:val="single" w:sz="8" w:color="404040"/>
            </w:tcBorders>
          </w:tcPr>
          <w:p>
            <w:pPr>
              <w:spacing w:after="0" w:line="20" w:lineRule="exact"/>
              <w:rPr>
                <w:sz w:val="1"/>
                <w:szCs w:val="1"/>
                <w:color w:val="auto"/>
              </w:rPr>
            </w:pPr>
          </w:p>
        </w:tc>
        <w:tc>
          <w:tcPr>
            <w:tcW w:w="1200" w:type="dxa"/>
            <w:vAlign w:val="bottom"/>
            <w:tcBorders>
              <w:bottom w:val="single" w:sz="8" w:color="404040"/>
            </w:tcBorders>
          </w:tcPr>
          <w:p>
            <w:pPr>
              <w:spacing w:after="0" w:line="20" w:lineRule="exact"/>
              <w:rPr>
                <w:sz w:val="1"/>
                <w:szCs w:val="1"/>
                <w:color w:val="auto"/>
              </w:rPr>
            </w:pPr>
          </w:p>
        </w:tc>
        <w:tc>
          <w:tcPr>
            <w:tcW w:w="780" w:type="dxa"/>
            <w:vAlign w:val="bottom"/>
            <w:tcBorders>
              <w:bottom w:val="single" w:sz="8" w:color="404040"/>
            </w:tcBorders>
          </w:tcPr>
          <w:p>
            <w:pPr>
              <w:spacing w:after="0" w:line="20" w:lineRule="exact"/>
              <w:rPr>
                <w:sz w:val="1"/>
                <w:szCs w:val="1"/>
                <w:color w:val="auto"/>
              </w:rPr>
            </w:pPr>
          </w:p>
        </w:tc>
        <w:tc>
          <w:tcPr>
            <w:tcW w:w="980" w:type="dxa"/>
            <w:vAlign w:val="bottom"/>
            <w:tcBorders>
              <w:bottom w:val="single" w:sz="8" w:color="404040"/>
            </w:tcBorders>
          </w:tcPr>
          <w:p>
            <w:pPr>
              <w:spacing w:after="0" w:line="20" w:lineRule="exact"/>
              <w:rPr>
                <w:sz w:val="1"/>
                <w:szCs w:val="1"/>
                <w:color w:val="auto"/>
              </w:rPr>
            </w:pPr>
          </w:p>
        </w:tc>
        <w:tc>
          <w:tcPr>
            <w:tcW w:w="1180" w:type="dxa"/>
            <w:vAlign w:val="bottom"/>
            <w:tcBorders>
              <w:bottom w:val="single" w:sz="8" w:color="404040"/>
            </w:tcBorders>
          </w:tcPr>
          <w:p>
            <w:pPr>
              <w:spacing w:after="0" w:line="20" w:lineRule="exact"/>
              <w:rPr>
                <w:sz w:val="1"/>
                <w:szCs w:val="1"/>
                <w:color w:val="auto"/>
              </w:rPr>
            </w:pPr>
          </w:p>
        </w:tc>
        <w:tc>
          <w:tcPr>
            <w:tcW w:w="720" w:type="dxa"/>
            <w:vAlign w:val="bottom"/>
            <w:tcBorders>
              <w:bottom w:val="single" w:sz="8" w:color="404040"/>
            </w:tcBorders>
          </w:tcPr>
          <w:p>
            <w:pPr>
              <w:spacing w:after="0" w:line="20" w:lineRule="exact"/>
              <w:rPr>
                <w:sz w:val="1"/>
                <w:szCs w:val="1"/>
                <w:color w:val="auto"/>
              </w:rPr>
            </w:pPr>
          </w:p>
        </w:tc>
        <w:tc>
          <w:tcPr>
            <w:tcW w:w="980" w:type="dxa"/>
            <w:vAlign w:val="bottom"/>
            <w:tcBorders>
              <w:bottom w:val="single" w:sz="8" w:color="404040"/>
            </w:tcBorders>
          </w:tcPr>
          <w:p>
            <w:pPr>
              <w:spacing w:after="0" w:line="20" w:lineRule="exact"/>
              <w:rPr>
                <w:sz w:val="1"/>
                <w:szCs w:val="1"/>
                <w:color w:val="auto"/>
              </w:rPr>
            </w:pPr>
          </w:p>
        </w:tc>
      </w:tr>
      <w:tr>
        <w:trPr>
          <w:trHeight w:val="201"/>
        </w:trPr>
        <w:tc>
          <w:tcPr>
            <w:tcW w:w="1280" w:type="dxa"/>
            <w:vAlign w:val="bottom"/>
          </w:tcPr>
          <w:p>
            <w:pPr>
              <w:ind w:left="60"/>
              <w:spacing w:after="0"/>
              <w:rPr>
                <w:sz w:val="20"/>
                <w:szCs w:val="20"/>
                <w:color w:val="auto"/>
              </w:rPr>
            </w:pPr>
            <w:r>
              <w:rPr>
                <w:rFonts w:ascii="Arial" w:cs="Arial" w:eastAsia="Arial" w:hAnsi="Arial"/>
                <w:sz w:val="14"/>
                <w:szCs w:val="14"/>
                <w:color w:val="auto"/>
              </w:rPr>
              <w:t>Scott Lovett</w:t>
            </w:r>
          </w:p>
        </w:tc>
        <w:tc>
          <w:tcPr>
            <w:tcW w:w="1300" w:type="dxa"/>
            <w:vAlign w:val="bottom"/>
          </w:tcPr>
          <w:p>
            <w:pPr>
              <w:jc w:val="right"/>
              <w:ind w:right="48"/>
              <w:spacing w:after="0"/>
              <w:rPr>
                <w:sz w:val="20"/>
                <w:szCs w:val="20"/>
                <w:color w:val="auto"/>
              </w:rPr>
            </w:pPr>
            <w:r>
              <w:rPr>
                <w:rFonts w:ascii="Arial" w:cs="Arial" w:eastAsia="Arial" w:hAnsi="Arial"/>
                <w:sz w:val="14"/>
                <w:szCs w:val="14"/>
                <w:color w:val="auto"/>
              </w:rPr>
              <w:t>27,777</w:t>
            </w:r>
          </w:p>
        </w:tc>
        <w:tc>
          <w:tcPr>
            <w:tcW w:w="1200" w:type="dxa"/>
            <w:vAlign w:val="bottom"/>
          </w:tcPr>
          <w:p>
            <w:pPr>
              <w:ind w:left="380"/>
              <w:spacing w:after="0"/>
              <w:rPr>
                <w:sz w:val="20"/>
                <w:szCs w:val="20"/>
                <w:color w:val="auto"/>
              </w:rPr>
            </w:pPr>
            <w:r>
              <w:rPr>
                <w:rFonts w:ascii="Arial" w:cs="Arial" w:eastAsia="Arial" w:hAnsi="Arial"/>
                <w:sz w:val="14"/>
                <w:szCs w:val="14"/>
                <w:color w:val="auto"/>
              </w:rPr>
              <w:t>$  194,161</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37,610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16,666</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$ 229,991</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66,666</w:t>
            </w:r>
          </w:p>
        </w:tc>
        <w:tc>
          <w:tcPr>
            <w:tcW w:w="980" w:type="dxa"/>
            <w:vAlign w:val="bottom"/>
          </w:tcPr>
          <w:p>
            <w:pPr>
              <w:jc w:val="right"/>
              <w:ind w:right="91"/>
              <w:spacing w:after="0"/>
              <w:rPr>
                <w:sz w:val="20"/>
                <w:szCs w:val="20"/>
                <w:color w:val="auto"/>
              </w:rPr>
            </w:pPr>
            <w:r>
              <w:rPr>
                <w:rFonts w:ascii="Arial" w:cs="Arial" w:eastAsia="Arial" w:hAnsi="Arial"/>
                <w:sz w:val="14"/>
                <w:szCs w:val="14"/>
                <w:color w:val="auto"/>
              </w:rPr>
              <w:t>$ 465,995</w:t>
            </w:r>
          </w:p>
        </w:tc>
      </w:tr>
      <w:tr>
        <w:trPr>
          <w:trHeight w:val="22"/>
        </w:trPr>
        <w:tc>
          <w:tcPr>
            <w:tcW w:w="1280" w:type="dxa"/>
            <w:vAlign w:val="bottom"/>
            <w:tcBorders>
              <w:bottom w:val="single" w:sz="8" w:color="404040"/>
            </w:tcBorders>
          </w:tcPr>
          <w:p>
            <w:pPr>
              <w:spacing w:after="0" w:line="20" w:lineRule="exact"/>
              <w:rPr>
                <w:sz w:val="1"/>
                <w:szCs w:val="1"/>
                <w:color w:val="auto"/>
              </w:rPr>
            </w:pPr>
          </w:p>
        </w:tc>
        <w:tc>
          <w:tcPr>
            <w:tcW w:w="1300" w:type="dxa"/>
            <w:vAlign w:val="bottom"/>
            <w:tcBorders>
              <w:bottom w:val="single" w:sz="8" w:color="404040"/>
            </w:tcBorders>
          </w:tcPr>
          <w:p>
            <w:pPr>
              <w:spacing w:after="0" w:line="20" w:lineRule="exact"/>
              <w:rPr>
                <w:sz w:val="1"/>
                <w:szCs w:val="1"/>
                <w:color w:val="auto"/>
              </w:rPr>
            </w:pPr>
          </w:p>
        </w:tc>
        <w:tc>
          <w:tcPr>
            <w:tcW w:w="1200" w:type="dxa"/>
            <w:vAlign w:val="bottom"/>
            <w:tcBorders>
              <w:bottom w:val="single" w:sz="8" w:color="404040"/>
            </w:tcBorders>
          </w:tcPr>
          <w:p>
            <w:pPr>
              <w:spacing w:after="0" w:line="20" w:lineRule="exact"/>
              <w:rPr>
                <w:sz w:val="1"/>
                <w:szCs w:val="1"/>
                <w:color w:val="auto"/>
              </w:rPr>
            </w:pPr>
          </w:p>
        </w:tc>
        <w:tc>
          <w:tcPr>
            <w:tcW w:w="780" w:type="dxa"/>
            <w:vAlign w:val="bottom"/>
            <w:tcBorders>
              <w:bottom w:val="single" w:sz="8" w:color="404040"/>
            </w:tcBorders>
          </w:tcPr>
          <w:p>
            <w:pPr>
              <w:spacing w:after="0" w:line="20" w:lineRule="exact"/>
              <w:rPr>
                <w:sz w:val="1"/>
                <w:szCs w:val="1"/>
                <w:color w:val="auto"/>
              </w:rPr>
            </w:pPr>
          </w:p>
        </w:tc>
        <w:tc>
          <w:tcPr>
            <w:tcW w:w="980" w:type="dxa"/>
            <w:vAlign w:val="bottom"/>
            <w:tcBorders>
              <w:bottom w:val="single" w:sz="8" w:color="404040"/>
            </w:tcBorders>
          </w:tcPr>
          <w:p>
            <w:pPr>
              <w:spacing w:after="0" w:line="20" w:lineRule="exact"/>
              <w:rPr>
                <w:sz w:val="1"/>
                <w:szCs w:val="1"/>
                <w:color w:val="auto"/>
              </w:rPr>
            </w:pPr>
          </w:p>
        </w:tc>
        <w:tc>
          <w:tcPr>
            <w:tcW w:w="1180" w:type="dxa"/>
            <w:vAlign w:val="bottom"/>
            <w:tcBorders>
              <w:bottom w:val="single" w:sz="8" w:color="404040"/>
            </w:tcBorders>
          </w:tcPr>
          <w:p>
            <w:pPr>
              <w:spacing w:after="0" w:line="20" w:lineRule="exact"/>
              <w:rPr>
                <w:sz w:val="1"/>
                <w:szCs w:val="1"/>
                <w:color w:val="auto"/>
              </w:rPr>
            </w:pPr>
          </w:p>
        </w:tc>
        <w:tc>
          <w:tcPr>
            <w:tcW w:w="720" w:type="dxa"/>
            <w:vAlign w:val="bottom"/>
            <w:tcBorders>
              <w:bottom w:val="single" w:sz="8" w:color="404040"/>
            </w:tcBorders>
          </w:tcPr>
          <w:p>
            <w:pPr>
              <w:spacing w:after="0" w:line="20" w:lineRule="exact"/>
              <w:rPr>
                <w:sz w:val="1"/>
                <w:szCs w:val="1"/>
                <w:color w:val="auto"/>
              </w:rPr>
            </w:pPr>
          </w:p>
        </w:tc>
        <w:tc>
          <w:tcPr>
            <w:tcW w:w="980" w:type="dxa"/>
            <w:vAlign w:val="bottom"/>
            <w:tcBorders>
              <w:bottom w:val="single" w:sz="8" w:color="404040"/>
            </w:tcBorders>
          </w:tcPr>
          <w:p>
            <w:pPr>
              <w:spacing w:after="0" w:line="20" w:lineRule="exact"/>
              <w:rPr>
                <w:sz w:val="1"/>
                <w:szCs w:val="1"/>
                <w:color w:val="auto"/>
              </w:rPr>
            </w:pPr>
          </w:p>
        </w:tc>
      </w:tr>
      <w:tr>
        <w:trPr>
          <w:trHeight w:val="183"/>
        </w:trPr>
        <w:tc>
          <w:tcPr>
            <w:tcW w:w="1280" w:type="dxa"/>
            <w:vAlign w:val="bottom"/>
            <w:tcBorders>
              <w:bottom w:val="single" w:sz="8" w:color="404040"/>
            </w:tcBorders>
          </w:tcPr>
          <w:p>
            <w:pPr>
              <w:ind w:left="60"/>
              <w:spacing w:after="0"/>
              <w:rPr>
                <w:sz w:val="20"/>
                <w:szCs w:val="20"/>
                <w:color w:val="auto"/>
              </w:rPr>
            </w:pPr>
            <w:r>
              <w:rPr>
                <w:rFonts w:ascii="Arial" w:cs="Arial" w:eastAsia="Arial" w:hAnsi="Arial"/>
                <w:sz w:val="14"/>
                <w:szCs w:val="14"/>
                <w:color w:val="auto"/>
              </w:rPr>
              <w:t>Scott Lovett</w:t>
            </w:r>
          </w:p>
        </w:tc>
        <w:tc>
          <w:tcPr>
            <w:tcW w:w="130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277,777</w:t>
            </w:r>
          </w:p>
        </w:tc>
        <w:tc>
          <w:tcPr>
            <w:tcW w:w="1200" w:type="dxa"/>
            <w:vAlign w:val="bottom"/>
            <w:tcBorders>
              <w:bottom w:val="single" w:sz="8" w:color="404040"/>
            </w:tcBorders>
          </w:tcPr>
          <w:p>
            <w:pPr>
              <w:ind w:left="380"/>
              <w:spacing w:after="0"/>
              <w:rPr>
                <w:sz w:val="20"/>
                <w:szCs w:val="20"/>
                <w:color w:val="auto"/>
              </w:rPr>
            </w:pPr>
            <w:r>
              <w:rPr>
                <w:rFonts w:ascii="Arial" w:cs="Arial" w:eastAsia="Arial" w:hAnsi="Arial"/>
                <w:sz w:val="14"/>
                <w:szCs w:val="14"/>
                <w:color w:val="auto"/>
              </w:rPr>
              <w:t>$1,941,661</w:t>
            </w:r>
          </w:p>
        </w:tc>
        <w:tc>
          <w:tcPr>
            <w:tcW w:w="780" w:type="dxa"/>
            <w:vAlign w:val="bottom"/>
            <w:tcBorders>
              <w:bottom w:val="single" w:sz="8" w:color="404040"/>
            </w:tcBorders>
          </w:tcPr>
          <w:p>
            <w:pPr>
              <w:jc w:val="right"/>
              <w:ind w:right="28"/>
              <w:spacing w:after="0"/>
              <w:rPr>
                <w:sz w:val="20"/>
                <w:szCs w:val="20"/>
                <w:color w:val="auto"/>
              </w:rPr>
            </w:pPr>
            <w:r>
              <w:rPr>
                <w:rFonts w:ascii="Arial" w:cs="Arial" w:eastAsia="Arial" w:hAnsi="Arial"/>
                <w:sz w:val="14"/>
                <w:szCs w:val="14"/>
                <w:color w:val="auto"/>
              </w:rPr>
              <w:t>376,110</w:t>
            </w:r>
          </w:p>
        </w:tc>
        <w:tc>
          <w:tcPr>
            <w:tcW w:w="980" w:type="dxa"/>
            <w:vAlign w:val="bottom"/>
            <w:tcBorders>
              <w:bottom w:val="single" w:sz="8" w:color="404040"/>
            </w:tcBorders>
          </w:tcPr>
          <w:p>
            <w:pPr>
              <w:jc w:val="right"/>
              <w:ind w:right="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404040"/>
            </w:tcBorders>
          </w:tcPr>
          <w:p>
            <w:pPr>
              <w:jc w:val="right"/>
              <w:ind w:right="71"/>
              <w:spacing w:after="0"/>
              <w:rPr>
                <w:sz w:val="20"/>
                <w:szCs w:val="20"/>
                <w:color w:val="auto"/>
              </w:rPr>
            </w:pPr>
            <w:r>
              <w:rPr>
                <w:rFonts w:ascii="Arial" w:cs="Arial" w:eastAsia="Arial" w:hAnsi="Arial"/>
                <w:sz w:val="14"/>
                <w:szCs w:val="14"/>
                <w:color w:val="auto"/>
              </w:rPr>
              <w:t>—</w:t>
            </w:r>
          </w:p>
        </w:tc>
      </w:tr>
    </w:tbl>
    <w:p>
      <w:pPr>
        <w:spacing w:after="0" w:line="252" w:lineRule="exact"/>
        <w:rPr>
          <w:sz w:val="20"/>
          <w:szCs w:val="20"/>
          <w:color w:val="auto"/>
        </w:rPr>
      </w:pPr>
    </w:p>
    <w:p>
      <w:pPr>
        <w:jc w:val="both"/>
        <w:ind w:left="1000" w:right="660" w:hanging="348"/>
        <w:spacing w:after="0" w:line="233" w:lineRule="auto"/>
        <w:tabs>
          <w:tab w:leader="none" w:pos="10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grant date fair value of RSUs and PSUs is computed in accordance with ASC Topic 718. Assumptions used in the calculation of these amounts are included in Note 10 to our Consolidated Financial Statements included in our Annual Report, filed with the SEC on February 25, 2026.</w:t>
      </w:r>
    </w:p>
    <w:p>
      <w:pPr>
        <w:spacing w:after="0" w:line="10" w:lineRule="exact"/>
        <w:rPr>
          <w:rFonts w:ascii="Arial" w:cs="Arial" w:eastAsia="Arial" w:hAnsi="Arial"/>
          <w:sz w:val="13"/>
          <w:szCs w:val="13"/>
          <w:color w:val="auto"/>
        </w:rPr>
      </w:pPr>
    </w:p>
    <w:p>
      <w:pPr>
        <w:ind w:left="1000" w:right="640" w:hanging="348"/>
        <w:spacing w:after="0" w:line="241" w:lineRule="auto"/>
        <w:tabs>
          <w:tab w:leader="none" w:pos="10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Consistent with the Financial PSUs granted in February and March 2025, the Financial PSUs granted to Messrs. Compton and Lovett in August 2025 were subject to the same 2025 Objectives, and attainment was certified in February 2026 as described above.</w:t>
      </w:r>
    </w:p>
    <w:p>
      <w:pPr>
        <w:jc w:val="both"/>
        <w:ind w:left="1000" w:right="640" w:hanging="348"/>
        <w:spacing w:after="0" w:line="227" w:lineRule="auto"/>
        <w:tabs>
          <w:tab w:leader="none" w:pos="100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performance-based vesting conditions for the August 2025 rTSR PSUs granted to Messrs. Compton and Lovett are identical to those applicable to our other executive officers. Specifically, these awards remain subject to the three-year performance period ending February 26, 2028, and their ultimate achievement will be determined by the Company’s relative TSR percentile rank against the Russell 2000 Index, as described above.</w:t>
      </w:r>
    </w:p>
    <w:p>
      <w:pPr>
        <w:spacing w:after="0" w:line="18" w:lineRule="exact"/>
        <w:rPr>
          <w:rFonts w:ascii="Arial" w:cs="Arial" w:eastAsia="Arial" w:hAnsi="Arial"/>
          <w:sz w:val="13"/>
          <w:szCs w:val="13"/>
          <w:color w:val="auto"/>
        </w:rPr>
      </w:pPr>
    </w:p>
    <w:p>
      <w:pPr>
        <w:ind w:left="1000" w:right="640" w:hanging="348"/>
        <w:spacing w:after="0" w:line="183" w:lineRule="auto"/>
        <w:tabs>
          <w:tab w:leader="none" w:pos="1000" w:val="left"/>
        </w:tabs>
        <w:numPr>
          <w:ilvl w:val="0"/>
          <w:numId w:val="40"/>
        </w:numPr>
        <w:rPr>
          <w:rFonts w:ascii="Arial" w:cs="Arial" w:eastAsia="Arial" w:hAnsi="Arial"/>
          <w:sz w:val="25"/>
          <w:szCs w:val="25"/>
          <w:color w:val="auto"/>
          <w:vertAlign w:val="superscript"/>
        </w:rPr>
      </w:pPr>
      <w:r>
        <w:rPr>
          <w:rFonts w:ascii="Arial" w:cs="Arial" w:eastAsia="Arial" w:hAnsi="Arial"/>
          <w:sz w:val="13"/>
          <w:szCs w:val="13"/>
          <w:color w:val="auto"/>
        </w:rPr>
        <w:t>These time-based vesting RSUs have vesting schedules such that 1/12</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of the RSUs vested on August 15, 2025 and the remainder vest in 11 quarterly installments thereafter, for a total 36 month vesting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Chief Financial Officer Equity Awards</w:t>
      </w:r>
    </w:p>
    <w:p>
      <w:pPr>
        <w:spacing w:after="0" w:line="135" w:lineRule="exact"/>
        <w:rPr>
          <w:sz w:val="20"/>
          <w:szCs w:val="20"/>
          <w:color w:val="auto"/>
        </w:rPr>
      </w:pPr>
    </w:p>
    <w:p>
      <w:pPr>
        <w:jc w:val="both"/>
        <w:ind w:left="660" w:right="660"/>
        <w:spacing w:after="0" w:line="286" w:lineRule="auto"/>
        <w:rPr>
          <w:sz w:val="20"/>
          <w:szCs w:val="20"/>
          <w:color w:val="auto"/>
        </w:rPr>
      </w:pPr>
      <w:r>
        <w:rPr>
          <w:rFonts w:ascii="Arial" w:cs="Arial" w:eastAsia="Arial" w:hAnsi="Arial"/>
          <w:sz w:val="16"/>
          <w:szCs w:val="16"/>
          <w:color w:val="auto"/>
        </w:rPr>
        <w:t>On August 6, 2025, we announced that Mr. Wong would begin serving as our Chief Financial Officer, effective August 11, 2025.</w:t>
      </w:r>
    </w:p>
    <w:p>
      <w:pPr>
        <w:spacing w:after="0" w:line="88" w:lineRule="exact"/>
        <w:rPr>
          <w:sz w:val="20"/>
          <w:szCs w:val="20"/>
          <w:color w:val="auto"/>
        </w:rPr>
      </w:pPr>
    </w:p>
    <w:p>
      <w:pPr>
        <w:jc w:val="both"/>
        <w:ind w:left="660" w:right="640"/>
        <w:spacing w:after="0" w:line="259" w:lineRule="auto"/>
        <w:rPr>
          <w:sz w:val="20"/>
          <w:szCs w:val="20"/>
          <w:color w:val="auto"/>
        </w:rPr>
      </w:pPr>
      <w:r>
        <w:rPr>
          <w:rFonts w:ascii="Arial" w:cs="Arial" w:eastAsia="Arial" w:hAnsi="Arial"/>
          <w:sz w:val="16"/>
          <w:szCs w:val="16"/>
          <w:color w:val="auto"/>
        </w:rPr>
        <w:t>In designing Mr. Wong’s compensation package, our Compensation Committee, advised by Semler Brossy, sought to deliver a competitive level of compensation that aligns with our desired culture and objectives. Our Compensation Committee reviewed, with input from Semler Brossy, market data among companies in our compensation peer group as well as new-hire equity compensation among recently hired Chief Financial Officers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6"/>
          <w:szCs w:val="16"/>
          <w:color w:val="auto"/>
        </w:rPr>
        <w:t>of comparable public companies. In addition to market data, our Compensation Committee considered the highly competitive market for a talented, experienced technology executive, the relevance of Mr. Wong’s experience and capabilities, and the fact that he would not receive another equity grant until 2026 due to his start date and our usual equity grant cadence.</w:t>
      </w:r>
    </w:p>
    <w:p>
      <w:pPr>
        <w:spacing w:after="0" w:line="97" w:lineRule="exact"/>
        <w:rPr>
          <w:sz w:val="20"/>
          <w:szCs w:val="20"/>
          <w:color w:val="auto"/>
        </w:rPr>
      </w:pPr>
    </w:p>
    <w:p>
      <w:pPr>
        <w:jc w:val="both"/>
        <w:ind w:left="660" w:right="299"/>
        <w:spacing w:after="0" w:line="249" w:lineRule="auto"/>
        <w:rPr>
          <w:sz w:val="20"/>
          <w:szCs w:val="20"/>
          <w:color w:val="auto"/>
        </w:rPr>
      </w:pPr>
      <w:r>
        <w:rPr>
          <w:rFonts w:ascii="Arial" w:cs="Arial" w:eastAsia="Arial" w:hAnsi="Arial"/>
          <w:sz w:val="16"/>
          <w:szCs w:val="16"/>
          <w:color w:val="auto"/>
        </w:rPr>
        <w:t>Based on these considerations, on August 1, 2025, the Compensation Committee approved Mr. Wong’s offer letter, including an equity grant with an $8.0 million target value in connection with his hiring. Subsequently, consistent with our company-wide new hire grant process, in September 2025, the Compensation Committee approved a grant of time-based vesting RSUs (“Wong New Hire Grant”), with the number of RSUs determined using the average closing price of our common stock during the month of August, the month of Mr. Wong’s start date. The Wong New Hire Grant was granted under our 2025 Employment Inducement Incentive Plan and has a vesting schedule such that</w:t>
      </w:r>
    </w:p>
    <w:p>
      <w:pPr>
        <w:spacing w:after="0" w:line="2" w:lineRule="exact"/>
        <w:rPr>
          <w:sz w:val="20"/>
          <w:szCs w:val="20"/>
          <w:color w:val="auto"/>
        </w:rPr>
      </w:pPr>
    </w:p>
    <w:p>
      <w:pPr>
        <w:jc w:val="both"/>
        <w:ind w:left="660" w:right="319"/>
        <w:spacing w:after="0" w:line="222" w:lineRule="auto"/>
        <w:rPr>
          <w:sz w:val="20"/>
          <w:szCs w:val="20"/>
          <w:color w:val="auto"/>
        </w:rPr>
      </w:pPr>
      <w:r>
        <w:rPr>
          <w:rFonts w:ascii="Arial" w:cs="Arial" w:eastAsia="Arial" w:hAnsi="Arial"/>
          <w:sz w:val="16"/>
          <w:szCs w:val="16"/>
          <w:color w:val="auto"/>
        </w:rPr>
        <w:t>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RSUs will vest on August 15, 2026, and the remainder vest in 12 equal quarterly installments thereafter, for a total of a 4-year vesting period. The grant date fair value of the equity awards is reported below in our 2025 Summary Compensation Table and 2025 Grants of Plan-Based Awards Table.</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Additional Information</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EE3434"/>
        </w:rPr>
        <w:t>Stock Ownership Guidelines</w:t>
      </w:r>
    </w:p>
    <w:p>
      <w:pPr>
        <w:spacing w:after="0" w:line="147"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6"/>
          <w:szCs w:val="16"/>
          <w:color w:val="auto"/>
        </w:rPr>
        <w:t>Our Board of Directors adopted mandatory stock ownership guidelines for our CEO, other executive officers and non-employee directors (together, “Guideline Participants”). These guidelines are intended to align the interests of our Guideline Participants with those of our stockholders by requiring them to acquire and maintain a meaningful equity stake in the Company.</w:t>
      </w:r>
    </w:p>
    <w:p>
      <w:pPr>
        <w:spacing w:after="0" w:line="110"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6"/>
          <w:szCs w:val="16"/>
          <w:color w:val="auto"/>
        </w:rPr>
        <w:t>In February 2024, our Compensation Committee introduced more robust stock ownership guidelines for our Named Executive Officers, requiring the CEO to hold 6x his annual base salary (up from 3x), and other executive officers to hold 3x their annual base salary (up from 1x).</w:t>
      </w:r>
    </w:p>
    <w:p>
      <w:pPr>
        <w:spacing w:after="0" w:line="90" w:lineRule="exact"/>
        <w:rPr>
          <w:sz w:val="20"/>
          <w:szCs w:val="20"/>
          <w:color w:val="auto"/>
        </w:rPr>
      </w:pPr>
    </w:p>
    <w:p>
      <w:pPr>
        <w:jc w:val="both"/>
        <w:ind w:left="660" w:right="319"/>
        <w:spacing w:after="0" w:line="286" w:lineRule="auto"/>
        <w:rPr>
          <w:sz w:val="20"/>
          <w:szCs w:val="20"/>
          <w:color w:val="auto"/>
        </w:rPr>
      </w:pPr>
      <w:r>
        <w:rPr>
          <w:rFonts w:ascii="Arial" w:cs="Arial" w:eastAsia="Arial" w:hAnsi="Arial"/>
          <w:sz w:val="16"/>
          <w:szCs w:val="16"/>
          <w:color w:val="auto"/>
        </w:rPr>
        <w:t>These guidelines are based on the individual holding shares of our common stock with a value equal to a multiple of his or her annual base salary or annual cash retainer, as follows:</w:t>
      </w:r>
    </w:p>
    <w:p>
      <w:pPr>
        <w:spacing w:after="0" w:line="129"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2900" w:type="dxa"/>
            <w:vAlign w:val="bottom"/>
          </w:tcPr>
          <w:p>
            <w:pPr>
              <w:jc w:val="center"/>
              <w:ind w:left="139"/>
              <w:spacing w:after="0"/>
              <w:rPr>
                <w:sz w:val="20"/>
                <w:szCs w:val="20"/>
                <w:color w:val="auto"/>
              </w:rPr>
            </w:pPr>
            <w:r>
              <w:rPr>
                <w:rFonts w:ascii="Arial" w:cs="Arial" w:eastAsia="Arial" w:hAnsi="Arial"/>
                <w:sz w:val="16"/>
                <w:szCs w:val="16"/>
                <w:b w:val="1"/>
                <w:bCs w:val="1"/>
                <w:color w:val="auto"/>
              </w:rPr>
              <w:t>Position</w:t>
            </w:r>
          </w:p>
        </w:tc>
        <w:tc>
          <w:tcPr>
            <w:tcW w:w="5520" w:type="dxa"/>
            <w:vAlign w:val="bottom"/>
          </w:tcPr>
          <w:p>
            <w:pPr>
              <w:jc w:val="center"/>
              <w:ind w:left="239"/>
              <w:spacing w:after="0"/>
              <w:rPr>
                <w:sz w:val="20"/>
                <w:szCs w:val="20"/>
                <w:color w:val="auto"/>
              </w:rPr>
            </w:pPr>
            <w:r>
              <w:rPr>
                <w:rFonts w:ascii="Arial" w:cs="Arial" w:eastAsia="Arial" w:hAnsi="Arial"/>
                <w:sz w:val="16"/>
                <w:szCs w:val="16"/>
                <w:b w:val="1"/>
                <w:bCs w:val="1"/>
                <w:color w:val="auto"/>
              </w:rPr>
              <w:t>Ownership Guidelines</w:t>
            </w:r>
          </w:p>
        </w:tc>
      </w:tr>
      <w:tr>
        <w:trPr>
          <w:trHeight w:val="34"/>
        </w:trPr>
        <w:tc>
          <w:tcPr>
            <w:tcW w:w="2900" w:type="dxa"/>
            <w:vAlign w:val="bottom"/>
            <w:tcBorders>
              <w:bottom w:val="single" w:sz="8" w:color="808080"/>
            </w:tcBorders>
          </w:tcPr>
          <w:p>
            <w:pPr>
              <w:spacing w:after="0"/>
              <w:rPr>
                <w:sz w:val="3"/>
                <w:szCs w:val="3"/>
                <w:color w:val="auto"/>
              </w:rPr>
            </w:pPr>
          </w:p>
        </w:tc>
        <w:tc>
          <w:tcPr>
            <w:tcW w:w="5520" w:type="dxa"/>
            <w:vAlign w:val="bottom"/>
            <w:tcBorders>
              <w:bottom w:val="single" w:sz="8" w:color="808080"/>
            </w:tcBorders>
          </w:tcPr>
          <w:p>
            <w:pPr>
              <w:spacing w:after="0"/>
              <w:rPr>
                <w:sz w:val="3"/>
                <w:szCs w:val="3"/>
                <w:color w:val="auto"/>
              </w:rPr>
            </w:pPr>
          </w:p>
        </w:tc>
      </w:tr>
      <w:tr>
        <w:trPr>
          <w:trHeight w:val="235"/>
        </w:trPr>
        <w:tc>
          <w:tcPr>
            <w:tcW w:w="2900" w:type="dxa"/>
            <w:vAlign w:val="bottom"/>
          </w:tcPr>
          <w:p>
            <w:pPr>
              <w:jc w:val="center"/>
              <w:ind w:left="139"/>
              <w:spacing w:after="0"/>
              <w:rPr>
                <w:sz w:val="20"/>
                <w:szCs w:val="20"/>
                <w:color w:val="auto"/>
              </w:rPr>
            </w:pPr>
            <w:r>
              <w:rPr>
                <w:rFonts w:ascii="Arial" w:cs="Arial" w:eastAsia="Arial" w:hAnsi="Arial"/>
                <w:sz w:val="16"/>
                <w:szCs w:val="16"/>
                <w:color w:val="auto"/>
              </w:rPr>
              <w:t>CEO</w:t>
            </w:r>
          </w:p>
        </w:tc>
        <w:tc>
          <w:tcPr>
            <w:tcW w:w="5520" w:type="dxa"/>
            <w:vAlign w:val="bottom"/>
          </w:tcPr>
          <w:p>
            <w:pPr>
              <w:jc w:val="center"/>
              <w:ind w:left="259"/>
              <w:spacing w:after="0"/>
              <w:rPr>
                <w:sz w:val="20"/>
                <w:szCs w:val="20"/>
                <w:color w:val="auto"/>
              </w:rPr>
            </w:pPr>
            <w:r>
              <w:rPr>
                <w:rFonts w:ascii="Arial" w:cs="Arial" w:eastAsia="Arial" w:hAnsi="Arial"/>
                <w:sz w:val="16"/>
                <w:szCs w:val="16"/>
                <w:color w:val="auto"/>
              </w:rPr>
              <w:t>6x annual base salary</w:t>
            </w:r>
          </w:p>
        </w:tc>
      </w:tr>
      <w:tr>
        <w:trPr>
          <w:trHeight w:val="297"/>
        </w:trPr>
        <w:tc>
          <w:tcPr>
            <w:tcW w:w="2900" w:type="dxa"/>
            <w:vAlign w:val="bottom"/>
          </w:tcPr>
          <w:p>
            <w:pPr>
              <w:jc w:val="center"/>
              <w:ind w:left="139"/>
              <w:spacing w:after="0"/>
              <w:rPr>
                <w:sz w:val="20"/>
                <w:szCs w:val="20"/>
                <w:color w:val="auto"/>
              </w:rPr>
            </w:pPr>
            <w:r>
              <w:rPr>
                <w:rFonts w:ascii="Arial" w:cs="Arial" w:eastAsia="Arial" w:hAnsi="Arial"/>
                <w:sz w:val="16"/>
                <w:szCs w:val="16"/>
                <w:color w:val="auto"/>
              </w:rPr>
              <w:t>Other Executive Officers</w:t>
            </w:r>
          </w:p>
        </w:tc>
        <w:tc>
          <w:tcPr>
            <w:tcW w:w="5520" w:type="dxa"/>
            <w:vAlign w:val="bottom"/>
          </w:tcPr>
          <w:p>
            <w:pPr>
              <w:jc w:val="center"/>
              <w:ind w:left="259"/>
              <w:spacing w:after="0"/>
              <w:rPr>
                <w:sz w:val="20"/>
                <w:szCs w:val="20"/>
                <w:color w:val="auto"/>
              </w:rPr>
            </w:pPr>
            <w:r>
              <w:rPr>
                <w:rFonts w:ascii="Arial" w:cs="Arial" w:eastAsia="Arial" w:hAnsi="Arial"/>
                <w:sz w:val="16"/>
                <w:szCs w:val="16"/>
                <w:color w:val="auto"/>
              </w:rPr>
              <w:t>3x annual base salary</w:t>
            </w:r>
          </w:p>
        </w:tc>
      </w:tr>
      <w:tr>
        <w:trPr>
          <w:trHeight w:val="297"/>
        </w:trPr>
        <w:tc>
          <w:tcPr>
            <w:tcW w:w="2900" w:type="dxa"/>
            <w:vAlign w:val="bottom"/>
          </w:tcPr>
          <w:p>
            <w:pPr>
              <w:jc w:val="center"/>
              <w:ind w:left="139"/>
              <w:spacing w:after="0"/>
              <w:rPr>
                <w:sz w:val="20"/>
                <w:szCs w:val="20"/>
                <w:color w:val="auto"/>
              </w:rPr>
            </w:pPr>
            <w:r>
              <w:rPr>
                <w:rFonts w:ascii="Arial" w:cs="Arial" w:eastAsia="Arial" w:hAnsi="Arial"/>
                <w:sz w:val="16"/>
                <w:szCs w:val="16"/>
                <w:color w:val="auto"/>
              </w:rPr>
              <w:t>Non-Employee Directors</w:t>
            </w:r>
          </w:p>
        </w:tc>
        <w:tc>
          <w:tcPr>
            <w:tcW w:w="5520" w:type="dxa"/>
            <w:vAlign w:val="bottom"/>
          </w:tcPr>
          <w:p>
            <w:pPr>
              <w:jc w:val="center"/>
              <w:ind w:left="259"/>
              <w:spacing w:after="0"/>
              <w:rPr>
                <w:sz w:val="20"/>
                <w:szCs w:val="20"/>
                <w:color w:val="auto"/>
              </w:rPr>
            </w:pPr>
            <w:r>
              <w:rPr>
                <w:rFonts w:ascii="Arial" w:cs="Arial" w:eastAsia="Arial" w:hAnsi="Arial"/>
                <w:sz w:val="16"/>
                <w:szCs w:val="16"/>
                <w:color w:val="auto"/>
              </w:rPr>
              <w:t>4x annual cash retainer for Board of Directors and committee service</w:t>
            </w:r>
          </w:p>
        </w:tc>
      </w:tr>
    </w:tbl>
    <w:p>
      <w:pPr>
        <w:spacing w:after="0" w:line="163" w:lineRule="exact"/>
        <w:rPr>
          <w:sz w:val="20"/>
          <w:szCs w:val="20"/>
          <w:color w:val="auto"/>
        </w:rPr>
      </w:pPr>
    </w:p>
    <w:p>
      <w:pPr>
        <w:jc w:val="both"/>
        <w:ind w:left="660" w:right="299"/>
        <w:spacing w:after="0" w:line="252" w:lineRule="auto"/>
        <w:rPr>
          <w:sz w:val="20"/>
          <w:szCs w:val="20"/>
          <w:color w:val="auto"/>
        </w:rPr>
      </w:pPr>
      <w:r>
        <w:rPr>
          <w:rFonts w:ascii="Arial" w:cs="Arial" w:eastAsia="Arial" w:hAnsi="Arial"/>
          <w:sz w:val="16"/>
          <w:szCs w:val="16"/>
          <w:color w:val="auto"/>
        </w:rPr>
        <w:t>For purposes of this calculation, stock ownership includes (i) shares of common stock owned directly, including restricted shares and shares deliverable upon settlement of restricted or unrestricted stock units, including restricted or unrestricted stock units that have not yet vested and are subject only to time-based vesting, and excluding restricted shares or restricted stock units that remain subject to achievement of performance goals, such as performance share units and (ii) shares of our common stock owned indirectly if the Guideline Participant has an economic interest in the shares (which includes shares beneficially owned for purposes of the Exchange Act). Stock ownership does not include shares underlying stock options or otherwise subject to a right to acquire, except to the extent expressly provided in the guidelines.</w:t>
      </w:r>
    </w:p>
    <w:p>
      <w:pPr>
        <w:spacing w:after="0" w:line="115" w:lineRule="exact"/>
        <w:rPr>
          <w:sz w:val="20"/>
          <w:szCs w:val="20"/>
          <w:color w:val="auto"/>
        </w:rPr>
      </w:pPr>
    </w:p>
    <w:p>
      <w:pPr>
        <w:jc w:val="both"/>
        <w:ind w:left="660" w:right="319"/>
        <w:spacing w:after="0" w:line="286" w:lineRule="auto"/>
        <w:rPr>
          <w:sz w:val="20"/>
          <w:szCs w:val="20"/>
          <w:color w:val="auto"/>
        </w:rPr>
      </w:pPr>
      <w:r>
        <w:rPr>
          <w:rFonts w:ascii="Arial" w:cs="Arial" w:eastAsia="Arial" w:hAnsi="Arial"/>
          <w:sz w:val="16"/>
          <w:szCs w:val="16"/>
          <w:color w:val="auto"/>
        </w:rPr>
        <w:t>Each Guideline Participant must satisfy the required level of stock ownership under the guidelines by the fifth anniversary of the date such Guideline Participant became subject to the guidelines.</w:t>
      </w:r>
    </w:p>
    <w:p>
      <w:pPr>
        <w:sectPr>
          <w:pgSz w:w="11900" w:h="16838" w:orient="portrait"/>
          <w:cols w:equalWidth="0" w:num="1">
            <w:col w:w="9379"/>
          </w:cols>
          <w:pgMar w:left="1080" w:top="114" w:right="1440" w:bottom="1440" w:gutter="0" w:footer="0" w:header="0"/>
        </w:sectPr>
      </w:pPr>
    </w:p>
    <w:p>
      <w:pPr>
        <w:spacing w:after="0" w:line="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EE3434"/>
        </w:rPr>
        <w:t>Anti-hedging Policy</w:t>
      </w:r>
    </w:p>
    <w:p>
      <w:pPr>
        <w:spacing w:after="0" w:line="106" w:lineRule="exact"/>
        <w:rPr>
          <w:sz w:val="20"/>
          <w:szCs w:val="20"/>
          <w:color w:val="auto"/>
        </w:rPr>
      </w:pPr>
    </w:p>
    <w:p>
      <w:pPr>
        <w:jc w:val="both"/>
        <w:ind w:left="660"/>
        <w:spacing w:after="0" w:line="252" w:lineRule="auto"/>
        <w:rPr>
          <w:sz w:val="20"/>
          <w:szCs w:val="20"/>
          <w:color w:val="auto"/>
        </w:rPr>
      </w:pPr>
      <w:r>
        <w:rPr>
          <w:rFonts w:ascii="Arial" w:cs="Arial" w:eastAsia="Arial" w:hAnsi="Arial"/>
          <w:sz w:val="16"/>
          <w:szCs w:val="16"/>
          <w:color w:val="auto"/>
        </w:rPr>
        <w:t>Our Insider Trading Policy, as further described below, includes an anti-hedging provision that prohibits all our employees, including our Named Executive Officers, and our non-employee directors from hedging the risk associated with ownership of shares of Fastly common stock and other Fastly securities, including (i) purchasing financial instruments (including prepaid variable forward contracts, equity swaps,</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jc w:val="both"/>
        <w:ind w:right="299"/>
        <w:spacing w:after="0" w:line="253" w:lineRule="auto"/>
        <w:rPr>
          <w:sz w:val="20"/>
          <w:szCs w:val="20"/>
          <w:color w:val="auto"/>
        </w:rPr>
      </w:pPr>
      <w:r>
        <w:rPr>
          <w:rFonts w:ascii="Arial" w:cs="Arial" w:eastAsia="Arial" w:hAnsi="Arial"/>
          <w:sz w:val="16"/>
          <w:szCs w:val="16"/>
          <w:color w:val="auto"/>
        </w:rPr>
        <w:t>collars and exchange funds) or otherwise engaging in transactions that are designed to or have the effect of hedging or offsetting any decrease in the market value of Company equity securities, (ii) holding Company securities in a margin account, and (iii) engaging in derivative securities transactions or any form of short-term speculative trading in Company securities.</w:t>
      </w:r>
    </w:p>
    <w:p>
      <w:pPr>
        <w:spacing w:after="0" w:line="366" w:lineRule="exact"/>
        <w:rPr>
          <w:sz w:val="20"/>
          <w:szCs w:val="20"/>
          <w:color w:val="auto"/>
        </w:rPr>
      </w:pPr>
    </w:p>
    <w:p>
      <w:pPr>
        <w:sectPr>
          <w:pgSz w:w="11900" w:h="16838" w:orient="portrait"/>
          <w:cols w:equalWidth="0" w:num="2">
            <w:col w:w="4660" w:space="400"/>
            <w:col w:w="4319"/>
          </w:cols>
          <w:pgMar w:left="1080" w:top="114" w:right="1440" w:bottom="1440" w:gutter="0" w:footer="0" w:header="0"/>
          <w:type w:val="continuous"/>
        </w:sectPr>
      </w:pPr>
    </w:p>
    <w:p>
      <w:pPr>
        <w:spacing w:after="0"/>
        <w:rPr>
          <w:sz w:val="20"/>
          <w:szCs w:val="20"/>
          <w:color w:val="auto"/>
        </w:rPr>
      </w:pPr>
      <w:r>
        <w:rPr>
          <w:rFonts w:ascii="Arial" w:cs="Arial" w:eastAsia="Arial" w:hAnsi="Arial"/>
          <w:sz w:val="12"/>
          <w:szCs w:val="12"/>
          <w:color w:val="auto"/>
        </w:rPr>
        <w:t>44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120650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EE3434"/>
        </w:rPr>
        <w:t>Anti-pledging Policy</w:t>
      </w:r>
    </w:p>
    <w:p>
      <w:pPr>
        <w:spacing w:after="0" w:line="106"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Our Insider Trading Policy also prohibits all employees, including our Named Executive Officers and directors from pledging Company securities as collateral for a loan unless the employee or director clearly demonstrates financial capacity to repay the loan without resort to the pledged securities, and the Chief Legal and Administrative Officer and Chief Financial Officer collectively grant an exception based on guidelines approved by the Compensation Committee. Any pledge of Company securities by a director or executive officer must be approved in advance by the Compensation Committee.</w:t>
      </w:r>
    </w:p>
    <w:p>
      <w:pPr>
        <w:spacing w:after="0" w:line="103"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Although no shares of the Company’s common stock are currently pledged by Mr. Bergman, in November 2019, following approval by our Compensation Committee, Mr. Bergman, our then-Chief Executive Officer, pledged 2,269,584 shares of our common stock as collateral to secure certain personal indebtedness, which later increased by 567,396 shares (totaling up to 25% of his outstanding shares) following volatility of our common stock (the “2019 Pledge”). In granting the approval, the Compensation Committee considered several factors including, among others, stock volatility, loan to value ratio and his ability to repay the loan (the “Approval Factors”). After the termination of the 2019 Pledge, in February 2024, our Compensation Committee considered the Approval Factors and approved</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401(k) Plan</w:t>
      </w:r>
    </w:p>
    <w:p>
      <w:pPr>
        <w:spacing w:after="0" w:line="112" w:lineRule="exact"/>
        <w:rPr>
          <w:sz w:val="20"/>
          <w:szCs w:val="20"/>
          <w:color w:val="auto"/>
        </w:rPr>
      </w:pPr>
    </w:p>
    <w:p>
      <w:pPr>
        <w:jc w:val="both"/>
        <w:ind w:left="660"/>
        <w:spacing w:after="0" w:line="254" w:lineRule="auto"/>
        <w:rPr>
          <w:sz w:val="20"/>
          <w:szCs w:val="20"/>
          <w:color w:val="auto"/>
        </w:rPr>
      </w:pPr>
      <w:r>
        <w:rPr>
          <w:rFonts w:ascii="Arial" w:cs="Arial" w:eastAsia="Arial" w:hAnsi="Arial"/>
          <w:sz w:val="16"/>
          <w:szCs w:val="16"/>
          <w:color w:val="auto"/>
        </w:rPr>
        <w:t>We maintain a tax-qualified retirement plan that provides eligible United States employees with an opportunity to save for retirement on a tax advantaged basis. Eligible employees are able to defer eligible compensation up to certain limits under the Internal Revenue Code of 1986, as amended (the “Code”),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jc w:val="both"/>
        <w:ind w:right="640"/>
        <w:spacing w:after="0" w:line="248" w:lineRule="auto"/>
        <w:rPr>
          <w:sz w:val="20"/>
          <w:szCs w:val="20"/>
          <w:color w:val="auto"/>
        </w:rPr>
      </w:pPr>
      <w:r>
        <w:rPr>
          <w:rFonts w:ascii="Arial" w:cs="Arial" w:eastAsia="Arial" w:hAnsi="Arial"/>
          <w:sz w:val="16"/>
          <w:szCs w:val="16"/>
          <w:color w:val="auto"/>
        </w:rPr>
        <w:t>Mr. Bergman’s ability to enter into a new personal line of credit and pledge up to 25% of his outstanding shares of common stock. In March 2024, Mr. Bergman pledged 1,350,000 shares of our common stock as collateral to secure personal indebtedness (the “Bergman Line of Credit”). In August 2025, our Compensation Committee approved Mr. Bergman’s ability to pledge up to 27% of his outstanding shares of common stock as collateral to secure personal indebtedness. In granting this approval, the Compensation Committee considered several factors, including market practices with regard to pledging by company founders, the amount of Fastly shares to be pledged, the risks associated with the proposed transaction, Mr. Bergman’s financial capacity to repay the Bergman Line of Credit, the key terms of the pledging agreement, and the purpose of the proposed transaction. In March 2026, the Bergman Line of Credit expired and Mr. Bergman did not elect to renew the Bergman Line of Credit. The 1,350,000 shares of our common stock previously pledged as collateral have been released and as mentioned previously, no shares of the Company’s common stock are currently pledged by Mr. Bergman. No other executive officer or director holds shares of our common stock that have been pledged to secure any personal or other indebtedness or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both"/>
        <w:ind w:right="640"/>
        <w:spacing w:after="0" w:line="256" w:lineRule="auto"/>
        <w:rPr>
          <w:sz w:val="20"/>
          <w:szCs w:val="20"/>
          <w:color w:val="auto"/>
        </w:rPr>
      </w:pPr>
      <w:r>
        <w:rPr>
          <w:rFonts w:ascii="Arial" w:cs="Arial" w:eastAsia="Arial" w:hAnsi="Arial"/>
          <w:sz w:val="16"/>
          <w:szCs w:val="16"/>
          <w:color w:val="auto"/>
        </w:rPr>
        <w:t>which are updated annually. We have the ability to match each dollar contributed to the 401(k) plan, up to a maximum of $2,000 annually and make discretionary contributions to the 401(k) plan. We made matching contributions for five Named Executive Officers in 2025.</w:t>
      </w:r>
    </w:p>
    <w:p>
      <w:pPr>
        <w:spacing w:after="0" w:line="387" w:lineRule="exact"/>
        <w:rPr>
          <w:sz w:val="20"/>
          <w:szCs w:val="20"/>
          <w:color w:val="auto"/>
        </w:rPr>
      </w:pPr>
    </w:p>
    <w:p>
      <w:pPr>
        <w:sectPr>
          <w:pgSz w:w="11900" w:h="16838" w:orient="portrait"/>
          <w:cols w:equalWidth="0" w:num="2">
            <w:col w:w="4660" w:space="400"/>
            <w:col w:w="4660"/>
          </w:cols>
          <w:pgMar w:left="1080" w:top="114" w:right="1099" w:bottom="1440" w:gutter="0" w:footer="0" w:header="0"/>
        </w:sectPr>
      </w:pPr>
    </w:p>
    <w:p>
      <w:pPr>
        <w:spacing w:after="0" w:line="116"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EE3434"/>
        </w:rPr>
        <w:t>Executive Change in Control and Severance Plan</w:t>
      </w:r>
    </w:p>
    <w:p>
      <w:pPr>
        <w:sectPr>
          <w:pgSz w:w="11900" w:h="16838" w:orient="portrait"/>
          <w:cols w:equalWidth="0" w:num="1">
            <w:col w:w="9720"/>
          </w:cols>
          <w:pgMar w:left="1080" w:top="114" w:right="1099" w:bottom="1440" w:gutter="0" w:footer="0" w:header="0"/>
          <w:type w:val="continuous"/>
        </w:sectPr>
      </w:pPr>
    </w:p>
    <w:p>
      <w:pPr>
        <w:spacing w:after="0" w:line="124"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We maintain the Executive Change in Control and Severance Benefit Plan (the “Executive Plan”) and the 2022 Change in Control and Severance Benefit Plan (the “2022 Plan”, and with the “Executive Plan”, each a “Severance Plan”, as applicable) which provide for the provision of severance benefits to certain executive officers (including our Named Executive Officers, other than Mr. Bergman) and other key employees in the event that such employees become subject to certain involuntary terminations, as described under “Employment Arrangements” below.</w:t>
      </w:r>
    </w:p>
    <w:p>
      <w:pPr>
        <w:spacing w:after="0" w:line="106"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color w:val="auto"/>
        </w:rPr>
        <w:t>The Executive Plan and 2022 Plan benefits were approved by the Compensation Committee after considering competitive market data. The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both"/>
        <w:ind w:right="640"/>
        <w:spacing w:after="0" w:line="259" w:lineRule="auto"/>
        <w:rPr>
          <w:sz w:val="20"/>
          <w:szCs w:val="20"/>
          <w:color w:val="auto"/>
        </w:rPr>
      </w:pPr>
      <w:r>
        <w:rPr>
          <w:rFonts w:ascii="Arial" w:cs="Arial" w:eastAsia="Arial" w:hAnsi="Arial"/>
          <w:sz w:val="16"/>
          <w:szCs w:val="16"/>
          <w:color w:val="auto"/>
        </w:rPr>
        <w:t>Compensation Committee determined that these benefits were both competitively reasonable and necessary to recruit and retain executives and other key employees.</w:t>
      </w:r>
    </w:p>
    <w:p>
      <w:pPr>
        <w:spacing w:after="0" w:line="97" w:lineRule="exact"/>
        <w:rPr>
          <w:sz w:val="20"/>
          <w:szCs w:val="20"/>
          <w:color w:val="auto"/>
        </w:rPr>
      </w:pPr>
    </w:p>
    <w:p>
      <w:pPr>
        <w:jc w:val="both"/>
        <w:ind w:right="640"/>
        <w:spacing w:after="0" w:line="249" w:lineRule="auto"/>
        <w:rPr>
          <w:sz w:val="20"/>
          <w:szCs w:val="20"/>
          <w:color w:val="auto"/>
        </w:rPr>
      </w:pPr>
      <w:r>
        <w:rPr>
          <w:rFonts w:ascii="Arial" w:cs="Arial" w:eastAsia="Arial" w:hAnsi="Arial"/>
          <w:sz w:val="16"/>
          <w:szCs w:val="16"/>
          <w:color w:val="auto"/>
        </w:rPr>
        <w:t>Enhanced severance benefits are provided for a qualifying termination that occurs in connection with a change-in-control because the severance benefits are also intended to eliminate, or at least reduce, the reluctance of executive officers and other key employees to diligently consider and pursue potential change-in-control transactions that may be in the best interests of our stockholders. Messrs. Compton and Bergman are entitled to enhanced severance payments and benefits beyond those provided in the Executive Plan, as described under “Employment Arrangements– Charles Compton” and “Employment Arrangements– Artur Bergman”, below.</w:t>
      </w:r>
    </w:p>
    <w:p>
      <w:pPr>
        <w:spacing w:after="0" w:line="188" w:lineRule="exact"/>
        <w:rPr>
          <w:sz w:val="20"/>
          <w:szCs w:val="20"/>
          <w:color w:val="auto"/>
        </w:rPr>
      </w:pPr>
    </w:p>
    <w:p>
      <w:pPr>
        <w:sectPr>
          <w:pgSz w:w="11900" w:h="16838" w:orient="portrait"/>
          <w:cols w:equalWidth="0" w:num="2">
            <w:col w:w="4660" w:space="400"/>
            <w:col w:w="4660"/>
          </w:cols>
          <w:pgMar w:left="1080" w:top="114" w:right="1099" w:bottom="1440" w:gutter="0" w:footer="0" w:header="0"/>
          <w:type w:val="continuous"/>
        </w:sectPr>
      </w:pPr>
    </w:p>
    <w:p>
      <w:pPr>
        <w:ind w:left="7920"/>
        <w:spacing w:after="0"/>
        <w:rPr>
          <w:sz w:val="20"/>
          <w:szCs w:val="20"/>
          <w:color w:val="auto"/>
        </w:rPr>
      </w:pPr>
      <w:r>
        <w:rPr>
          <w:rFonts w:ascii="Arial" w:cs="Arial" w:eastAsia="Arial" w:hAnsi="Arial"/>
          <w:sz w:val="12"/>
          <w:szCs w:val="12"/>
          <w:color w:val="auto"/>
        </w:rPr>
        <w:t>2026 PROXY STATEMENT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129540</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color w:val="auto"/>
        </w:rPr>
        <w:t>As described under “Employment Arrangements–Todd Nightingale”, below, Mr. Nightingale was ineligible to receive any severance benefits due to his resignation.</w:t>
      </w:r>
    </w:p>
    <w:p>
      <w:pPr>
        <w:spacing w:after="0" w:line="90"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The severance benefits provided to Mr. Kisling under the Kisling Separation Agreement were determined in</w:t>
      </w:r>
    </w:p>
    <w:p>
      <w:pPr>
        <w:spacing w:after="0" w:line="2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Employee Stock Purchase Plan</w:t>
      </w:r>
    </w:p>
    <w:p>
      <w:pPr>
        <w:spacing w:after="0" w:line="112"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color w:val="auto"/>
        </w:rPr>
        <w:t>We also offer our employees, including our Named Executive Officers, the opportunity to purchase shares of our common stock at a discount under our ESPP. Pursuant to our ESPP, all eligible employees, including the eligible Named Executive Officers, may allocate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ind w:right="299"/>
        <w:spacing w:after="0" w:line="259" w:lineRule="auto"/>
        <w:rPr>
          <w:sz w:val="20"/>
          <w:szCs w:val="20"/>
          <w:color w:val="auto"/>
        </w:rPr>
      </w:pPr>
      <w:r>
        <w:rPr>
          <w:rFonts w:ascii="Arial" w:cs="Arial" w:eastAsia="Arial" w:hAnsi="Arial"/>
          <w:sz w:val="16"/>
          <w:szCs w:val="16"/>
          <w:color w:val="auto"/>
        </w:rPr>
        <w:t>a manner consistent with the Executive Plan. For more information about the Kisling Separation Agreement, please refer to “Employment Arrangements–Ronald Kisling”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299"/>
        <w:spacing w:after="0" w:line="259" w:lineRule="auto"/>
        <w:rPr>
          <w:sz w:val="20"/>
          <w:szCs w:val="20"/>
          <w:color w:val="auto"/>
        </w:rPr>
      </w:pPr>
      <w:r>
        <w:rPr>
          <w:rFonts w:ascii="Arial" w:cs="Arial" w:eastAsia="Arial" w:hAnsi="Arial"/>
          <w:sz w:val="16"/>
          <w:szCs w:val="16"/>
          <w:color w:val="auto"/>
        </w:rPr>
        <w:t>up to 15% of the participant’s earnings (as defined in our ESPP) for that year to purchase our common stock at a 15% discount to the market price, subject to specified limits.</w:t>
      </w:r>
    </w:p>
    <w:p>
      <w:pPr>
        <w:spacing w:after="0" w:line="387" w:lineRule="exact"/>
        <w:rPr>
          <w:sz w:val="20"/>
          <w:szCs w:val="20"/>
          <w:color w:val="auto"/>
        </w:rPr>
      </w:pPr>
    </w:p>
    <w:p>
      <w:pPr>
        <w:sectPr>
          <w:pgSz w:w="11900" w:h="16838" w:orient="portrait"/>
          <w:cols w:equalWidth="0" w:num="2">
            <w:col w:w="4660" w:space="400"/>
            <w:col w:w="4319"/>
          </w:cols>
          <w:pgMar w:left="1080" w:top="114" w:right="1440" w:bottom="1440" w:gutter="0" w:footer="0" w:header="0"/>
        </w:sectPr>
      </w:pPr>
    </w:p>
    <w:p>
      <w:pPr>
        <w:spacing w:after="0" w:line="11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Insider Trading Policy</w:t>
      </w:r>
    </w:p>
    <w:p>
      <w:pPr>
        <w:spacing w:after="0" w:line="112" w:lineRule="exact"/>
        <w:rPr>
          <w:sz w:val="20"/>
          <w:szCs w:val="20"/>
          <w:color w:val="auto"/>
        </w:rPr>
      </w:pPr>
    </w:p>
    <w:p>
      <w:pPr>
        <w:jc w:val="both"/>
        <w:ind w:left="660"/>
        <w:spacing w:after="0" w:line="253" w:lineRule="auto"/>
        <w:rPr>
          <w:sz w:val="20"/>
          <w:szCs w:val="20"/>
          <w:color w:val="auto"/>
        </w:rPr>
      </w:pPr>
      <w:r>
        <w:rPr>
          <w:rFonts w:ascii="Arial" w:cs="Arial" w:eastAsia="Arial" w:hAnsi="Arial"/>
          <w:sz w:val="16"/>
          <w:szCs w:val="16"/>
          <w:color w:val="auto"/>
        </w:rPr>
        <w:t>We maintain an Insider Trading Policy governing the purchase, sale and other dispositions of Fastly’s securities that applies to Fastly’s employees, directors, and designated consultants of Fastly and its subsidiaries. We believe that our Insider Trading Policy is reasonably designed to promote compliance with insider trading laws, rules and regulations, as well 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both"/>
        <w:ind w:right="319"/>
        <w:spacing w:after="0" w:line="266" w:lineRule="auto"/>
        <w:rPr>
          <w:sz w:val="20"/>
          <w:szCs w:val="20"/>
          <w:color w:val="auto"/>
        </w:rPr>
      </w:pPr>
      <w:r>
        <w:rPr>
          <w:rFonts w:ascii="Arial" w:cs="Arial" w:eastAsia="Arial" w:hAnsi="Arial"/>
          <w:sz w:val="16"/>
          <w:szCs w:val="16"/>
          <w:color w:val="auto"/>
        </w:rPr>
        <w:t>applicable listing standards. Further, as mentioned above, our Insider Trading Policy includes an anti-hedging provision.</w:t>
      </w:r>
    </w:p>
    <w:p>
      <w:pPr>
        <w:spacing w:after="0" w:line="90" w:lineRule="exact"/>
        <w:rPr>
          <w:sz w:val="20"/>
          <w:szCs w:val="20"/>
          <w:color w:val="auto"/>
        </w:rPr>
      </w:pPr>
    </w:p>
    <w:p>
      <w:pPr>
        <w:jc w:val="both"/>
        <w:ind w:right="319"/>
        <w:spacing w:after="0" w:line="286" w:lineRule="auto"/>
        <w:rPr>
          <w:sz w:val="20"/>
          <w:szCs w:val="20"/>
          <w:color w:val="auto"/>
        </w:rPr>
      </w:pPr>
      <w:r>
        <w:rPr>
          <w:rFonts w:ascii="Arial" w:cs="Arial" w:eastAsia="Arial" w:hAnsi="Arial"/>
          <w:sz w:val="16"/>
          <w:szCs w:val="16"/>
          <w:color w:val="auto"/>
        </w:rPr>
        <w:t>A copy of our Insider Trading Policy can be found as Exhibit 19.1 to our Annual Report.</w:t>
      </w:r>
    </w:p>
    <w:p>
      <w:pPr>
        <w:spacing w:after="0" w:line="417" w:lineRule="exact"/>
        <w:rPr>
          <w:sz w:val="20"/>
          <w:szCs w:val="20"/>
          <w:color w:val="auto"/>
        </w:rPr>
      </w:pPr>
    </w:p>
    <w:p>
      <w:pPr>
        <w:sectPr>
          <w:pgSz w:w="11900" w:h="16838" w:orient="portrait"/>
          <w:cols w:equalWidth="0" w:num="2">
            <w:col w:w="4660" w:space="400"/>
            <w:col w:w="4319"/>
          </w:cols>
          <w:pgMar w:left="1080" w:top="114" w:right="1440" w:bottom="1440" w:gutter="0" w:footer="0" w:header="0"/>
          <w:type w:val="continuous"/>
        </w:sectPr>
      </w:pPr>
    </w:p>
    <w:p>
      <w:pPr>
        <w:spacing w:after="0" w:line="102" w:lineRule="exact"/>
        <w:rPr>
          <w:sz w:val="20"/>
          <w:szCs w:val="20"/>
          <w:color w:val="auto"/>
        </w:rPr>
      </w:pPr>
    </w:p>
    <w:p>
      <w:pPr>
        <w:ind w:left="660" w:right="399"/>
        <w:spacing w:after="0" w:line="272" w:lineRule="auto"/>
        <w:rPr>
          <w:sz w:val="20"/>
          <w:szCs w:val="20"/>
          <w:color w:val="auto"/>
        </w:rPr>
      </w:pPr>
      <w:r>
        <w:rPr>
          <w:rFonts w:ascii="Arial" w:cs="Arial" w:eastAsia="Arial" w:hAnsi="Arial"/>
          <w:sz w:val="22"/>
          <w:szCs w:val="22"/>
          <w:b w:val="1"/>
          <w:bCs w:val="1"/>
          <w:color w:val="EE3434"/>
        </w:rPr>
        <w:t>Policies and Practices Related to the Grant of Equity Awards Close in Time to the Release of Material Nonpublic Information</w:t>
      </w:r>
    </w:p>
    <w:p>
      <w:pPr>
        <w:sectPr>
          <w:pgSz w:w="11900" w:h="16838" w:orient="portrait"/>
          <w:cols w:equalWidth="0" w:num="1">
            <w:col w:w="9379"/>
          </w:cols>
          <w:pgMar w:left="1080" w:top="114" w:right="1440" w:bottom="1440" w:gutter="0" w:footer="0" w:header="0"/>
          <w:type w:val="continuous"/>
        </w:sectPr>
      </w:pPr>
    </w:p>
    <w:p>
      <w:pPr>
        <w:spacing w:after="0" w:line="35"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We did not grant stock options or option-like instruments to any employee during 2025. Except for Mr. Bergman’s ability to make an advance election to receive his annual equity refresh in the form of a stock option grant, we exclusively grant restricted stock units under our compensation program. Accordingly, we do not have a formal policy related to the timing of option awards in relation to the release of material nonpublic information. Awards of restricted</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jc w:val="both"/>
        <w:ind w:right="299"/>
        <w:spacing w:after="0" w:line="251" w:lineRule="auto"/>
        <w:rPr>
          <w:sz w:val="20"/>
          <w:szCs w:val="20"/>
          <w:color w:val="auto"/>
        </w:rPr>
      </w:pPr>
      <w:r>
        <w:rPr>
          <w:rFonts w:ascii="Arial" w:cs="Arial" w:eastAsia="Arial" w:hAnsi="Arial"/>
          <w:sz w:val="16"/>
          <w:szCs w:val="16"/>
          <w:color w:val="auto"/>
        </w:rPr>
        <w:t>stock units are generally granted monthly via unanimous written consent, and occasionally at meetings of our Compensation Committee. The Compensation Committee does not take material nonpublic information into account when determining the timing or terms of awards, and we have not timed the disclosure of material nonpublic information for the purpose of affecting the value of executive compensation.</w:t>
      </w:r>
    </w:p>
    <w:p>
      <w:pPr>
        <w:spacing w:after="0" w:line="392" w:lineRule="exact"/>
        <w:rPr>
          <w:sz w:val="20"/>
          <w:szCs w:val="20"/>
          <w:color w:val="auto"/>
        </w:rPr>
      </w:pPr>
    </w:p>
    <w:p>
      <w:pPr>
        <w:sectPr>
          <w:pgSz w:w="11900" w:h="16838" w:orient="portrait"/>
          <w:cols w:equalWidth="0" w:num="2">
            <w:col w:w="4660" w:space="400"/>
            <w:col w:w="4319"/>
          </w:cols>
          <w:pgMar w:left="1080" w:top="114" w:right="1440" w:bottom="1440" w:gutter="0" w:footer="0" w:header="0"/>
          <w:type w:val="continuous"/>
        </w:sectPr>
      </w:pPr>
    </w:p>
    <w:p>
      <w:pPr>
        <w:spacing w:after="0" w:line="11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Perquisites and Employee Benefits</w:t>
      </w:r>
    </w:p>
    <w:p>
      <w:pPr>
        <w:spacing w:after="0" w:line="112" w:lineRule="exact"/>
        <w:rPr>
          <w:sz w:val="20"/>
          <w:szCs w:val="20"/>
          <w:color w:val="auto"/>
        </w:rPr>
      </w:pPr>
    </w:p>
    <w:p>
      <w:pPr>
        <w:jc w:val="both"/>
        <w:ind w:left="660"/>
        <w:spacing w:after="0" w:line="249" w:lineRule="auto"/>
        <w:rPr>
          <w:sz w:val="20"/>
          <w:szCs w:val="20"/>
          <w:color w:val="auto"/>
        </w:rPr>
      </w:pPr>
      <w:r>
        <w:rPr>
          <w:rFonts w:ascii="Arial" w:cs="Arial" w:eastAsia="Arial" w:hAnsi="Arial"/>
          <w:sz w:val="16"/>
          <w:szCs w:val="16"/>
          <w:color w:val="auto"/>
        </w:rPr>
        <w:t>Currently, we do not view perquisites or other personal benefits as a significant component of our executive compensation program. Accordingly, we do not generally provide perquisites or other personal benefits to our executive officers, including the Named Executive Officers, except in situations where we believe it is appropriate to assist an individual in the performance of his or her duties, to make our executive officers more efficient and effective, and for recruitment and retention purposes. These may include travel-related perquisites for spousal travel or reimbursement for legal expenses incurred in negotiating employment arrangements. The value of these perquisites and other personal benefits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5" w:lineRule="exact"/>
        <w:rPr>
          <w:sz w:val="20"/>
          <w:szCs w:val="20"/>
          <w:color w:val="auto"/>
        </w:rPr>
      </w:pPr>
    </w:p>
    <w:p>
      <w:pPr>
        <w:jc w:val="both"/>
        <w:ind w:right="299"/>
        <w:spacing w:after="0" w:line="250" w:lineRule="auto"/>
        <w:rPr>
          <w:sz w:val="20"/>
          <w:szCs w:val="20"/>
          <w:color w:val="auto"/>
        </w:rPr>
      </w:pPr>
      <w:r>
        <w:rPr>
          <w:rFonts w:ascii="Arial" w:cs="Arial" w:eastAsia="Arial" w:hAnsi="Arial"/>
          <w:sz w:val="16"/>
          <w:szCs w:val="16"/>
          <w:color w:val="auto"/>
        </w:rPr>
        <w:t>reflected in the “All Other Compensation” column and footnote 3 in the “Summary Compensation Table.” Our Named Executive Officers are eligible to receive the same employee benefits that are generally available to all our full-time employees, subject to the satisfaction of certain eligibility requirements. This includes medical, dental, and vision benefits, flexible spending accounts, short-term and long-term disability insurance, life insurance, and accidental death and dismemberment insurance. Our employee benefits programs are designed to be affordable and competitive to the market in which we compete for talent.</w:t>
      </w:r>
    </w:p>
    <w:p>
      <w:pPr>
        <w:spacing w:after="0" w:line="572" w:lineRule="exact"/>
        <w:rPr>
          <w:sz w:val="20"/>
          <w:szCs w:val="20"/>
          <w:color w:val="auto"/>
        </w:rPr>
      </w:pPr>
    </w:p>
    <w:p>
      <w:pPr>
        <w:sectPr>
          <w:pgSz w:w="11900" w:h="16838" w:orient="portrait"/>
          <w:cols w:equalWidth="0" w:num="2">
            <w:col w:w="4660" w:space="400"/>
            <w:col w:w="4319"/>
          </w:cols>
          <w:pgMar w:left="1080" w:top="114" w:right="1440" w:bottom="1440" w:gutter="0" w:footer="0" w:header="0"/>
          <w:type w:val="continuous"/>
        </w:sectPr>
      </w:pPr>
    </w:p>
    <w:p>
      <w:pPr>
        <w:spacing w:after="0" w:line="124"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EE3434"/>
        </w:rPr>
        <w:t>Tax and Accounting Treatment of Compensation</w:t>
      </w:r>
    </w:p>
    <w:p>
      <w:pPr>
        <w:sectPr>
          <w:pgSz w:w="11900" w:h="16838" w:orient="portrait"/>
          <w:cols w:equalWidth="0" w:num="1">
            <w:col w:w="9379"/>
          </w:cols>
          <w:pgMar w:left="1080" w:top="114" w:right="1440" w:bottom="1440" w:gutter="0" w:footer="0" w:header="0"/>
          <w:type w:val="continuous"/>
        </w:sectPr>
      </w:pPr>
    </w:p>
    <w:p>
      <w:pPr>
        <w:spacing w:after="0" w:line="124" w:lineRule="exact"/>
        <w:rPr>
          <w:sz w:val="20"/>
          <w:szCs w:val="20"/>
          <w:color w:val="auto"/>
        </w:rPr>
      </w:pPr>
    </w:p>
    <w:p>
      <w:pPr>
        <w:jc w:val="both"/>
        <w:ind w:left="660"/>
        <w:spacing w:after="0" w:line="266" w:lineRule="auto"/>
        <w:rPr>
          <w:sz w:val="20"/>
          <w:szCs w:val="20"/>
          <w:color w:val="auto"/>
        </w:rPr>
      </w:pPr>
      <w:r>
        <w:rPr>
          <w:rFonts w:ascii="Arial" w:cs="Arial" w:eastAsia="Arial" w:hAnsi="Arial"/>
          <w:sz w:val="16"/>
          <w:szCs w:val="16"/>
          <w:color w:val="auto"/>
        </w:rPr>
        <w:t>Under Section 162(m) of the Internal Revenue Code (“Section 162(m)”), compensation paid to each of the Company’s “covered employees” that exceeds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both"/>
        <w:ind w:right="319"/>
        <w:spacing w:after="0" w:line="266" w:lineRule="auto"/>
        <w:rPr>
          <w:sz w:val="20"/>
          <w:szCs w:val="20"/>
          <w:color w:val="auto"/>
        </w:rPr>
      </w:pPr>
      <w:r>
        <w:rPr>
          <w:rFonts w:ascii="Arial" w:cs="Arial" w:eastAsia="Arial" w:hAnsi="Arial"/>
          <w:sz w:val="16"/>
          <w:szCs w:val="16"/>
          <w:color w:val="auto"/>
        </w:rPr>
        <w:t>$1 million per taxable year is generally non-deductible. For these purposes, a “covered employee” means anyone who served as our principal executive officer</w:t>
      </w:r>
    </w:p>
    <w:p>
      <w:pPr>
        <w:spacing w:after="0" w:line="167" w:lineRule="exact"/>
        <w:rPr>
          <w:sz w:val="20"/>
          <w:szCs w:val="20"/>
          <w:color w:val="auto"/>
        </w:rPr>
      </w:pPr>
    </w:p>
    <w:p>
      <w:pPr>
        <w:sectPr>
          <w:pgSz w:w="11900" w:h="16838" w:orient="portrait"/>
          <w:cols w:equalWidth="0" w:num="2">
            <w:col w:w="4660" w:space="400"/>
            <w:col w:w="4319"/>
          </w:cols>
          <w:pgMar w:left="1080" w:top="114" w:right="1440" w:bottom="1440" w:gutter="0" w:footer="0" w:header="0"/>
          <w:type w:val="continuous"/>
        </w:sectPr>
      </w:pPr>
    </w:p>
    <w:p>
      <w:pPr>
        <w:spacing w:after="0"/>
        <w:rPr>
          <w:sz w:val="20"/>
          <w:szCs w:val="20"/>
          <w:color w:val="auto"/>
        </w:rPr>
      </w:pPr>
      <w:r>
        <w:rPr>
          <w:rFonts w:ascii="Arial" w:cs="Arial" w:eastAsia="Arial" w:hAnsi="Arial"/>
          <w:sz w:val="12"/>
          <w:szCs w:val="12"/>
          <w:color w:val="auto"/>
        </w:rPr>
        <w:t>46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120650</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at any time during the year, anyone who served as our principal financial officer at any time during the year, and any employee who is among the three highest compensated executive officers for the taxable year (other than the principal executive officer and principal financial officer), regardless of whether the executive officer is serving at the end of the public company’s taxable year and regardless of whether the executive officer’s compensation is subject to disclosure for the last completed fiscal year under the applicable SEC rules. In addition, once an individual becomes a covered employee for any taxable year beginning after December 31, 2016, that individual will remain a covered employee for all future</w:t>
      </w:r>
    </w:p>
    <w:p>
      <w:pPr>
        <w:ind w:left="660"/>
        <w:spacing w:after="0"/>
        <w:rPr>
          <w:sz w:val="20"/>
          <w:szCs w:val="20"/>
          <w:color w:val="auto"/>
        </w:rPr>
      </w:pPr>
      <w:r>
        <w:rPr>
          <w:rFonts w:ascii="Arial" w:cs="Arial" w:eastAsia="Arial" w:hAnsi="Arial"/>
          <w:sz w:val="16"/>
          <w:szCs w:val="16"/>
          <w:color w:val="auto"/>
        </w:rPr>
        <w:t>years, including following any termination of</w:t>
      </w:r>
    </w:p>
    <w:p>
      <w:pPr>
        <w:spacing w:after="0" w:line="124"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employment. Although the Compensation Committee will continue to consider tax implications as one factor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ind w:right="640"/>
        <w:spacing w:after="0" w:line="250" w:lineRule="auto"/>
        <w:rPr>
          <w:sz w:val="20"/>
          <w:szCs w:val="20"/>
          <w:color w:val="auto"/>
        </w:rPr>
      </w:pPr>
      <w:r>
        <w:rPr>
          <w:rFonts w:ascii="Arial" w:cs="Arial" w:eastAsia="Arial" w:hAnsi="Arial"/>
          <w:sz w:val="16"/>
          <w:szCs w:val="16"/>
          <w:color w:val="auto"/>
        </w:rPr>
        <w:t>in determining executive compensation, the Compensation Committee also looks at other factors in making its decisions and retains the flexibility to provide compensation for our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w:t>
      </w:r>
    </w:p>
    <w:p>
      <w:pPr>
        <w:spacing w:after="0" w:line="108" w:lineRule="exact"/>
        <w:rPr>
          <w:sz w:val="20"/>
          <w:szCs w:val="20"/>
          <w:color w:val="auto"/>
        </w:rPr>
      </w:pPr>
    </w:p>
    <w:p>
      <w:pPr>
        <w:jc w:val="both"/>
        <w:ind w:right="640"/>
        <w:spacing w:after="0" w:line="254" w:lineRule="auto"/>
        <w:rPr>
          <w:sz w:val="20"/>
          <w:szCs w:val="20"/>
          <w:color w:val="auto"/>
        </w:rPr>
      </w:pPr>
      <w:r>
        <w:rPr>
          <w:rFonts w:ascii="Arial" w:cs="Arial" w:eastAsia="Arial" w:hAnsi="Arial"/>
          <w:sz w:val="16"/>
          <w:szCs w:val="16"/>
          <w:color w:val="auto"/>
        </w:rPr>
        <w:t>In addition to considering the income tax consequences, the Compensation Committee considers the accounting consequences of its decisions, including the impact of expenses being recognized in connection with stock awards, in determining the size and form of different stock awards.</w:t>
      </w:r>
    </w:p>
    <w:p>
      <w:pPr>
        <w:spacing w:after="0" w:line="36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121920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660" w:space="400"/>
            <w:col w:w="4660"/>
          </w:cols>
          <w:pgMar w:left="1080" w:top="114" w:right="10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2025 Summary Compensation Table</w:t>
      </w:r>
    </w:p>
    <w:p>
      <w:pPr>
        <w:spacing w:after="0" w:line="139" w:lineRule="exact"/>
        <w:rPr>
          <w:sz w:val="20"/>
          <w:szCs w:val="20"/>
          <w:color w:val="auto"/>
        </w:rPr>
      </w:pPr>
    </w:p>
    <w:p>
      <w:pPr>
        <w:ind w:left="660" w:right="299"/>
        <w:spacing w:after="0" w:line="286" w:lineRule="auto"/>
        <w:rPr>
          <w:sz w:val="20"/>
          <w:szCs w:val="20"/>
          <w:color w:val="auto"/>
        </w:rPr>
      </w:pPr>
      <w:r>
        <w:rPr>
          <w:rFonts w:ascii="Arial" w:cs="Arial" w:eastAsia="Arial" w:hAnsi="Arial"/>
          <w:sz w:val="16"/>
          <w:szCs w:val="16"/>
          <w:color w:val="auto"/>
        </w:rPr>
        <w:t>The following table shows for the fiscal years ended December 31, 2025, December 31, 2024, and December 31, 2023, compensation awarded to or paid to, or earned by, our Named Executive Officers.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auto"/>
              </w:rPr>
              <w:t>Non-Equity</w:t>
            </w:r>
          </w:p>
        </w:tc>
        <w:tc>
          <w:tcPr>
            <w:tcW w:w="1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Arial" w:cs="Arial" w:eastAsia="Arial" w:hAnsi="Arial"/>
                <w:sz w:val="14"/>
                <w:szCs w:val="14"/>
                <w:b w:val="1"/>
                <w:bCs w:val="1"/>
                <w:color w:val="auto"/>
              </w:rPr>
              <w:t>Stock</w:t>
            </w:r>
          </w:p>
        </w:tc>
        <w:tc>
          <w:tcPr>
            <w:tcW w:w="780" w:type="dxa"/>
            <w:vAlign w:val="bottom"/>
          </w:tcPr>
          <w:p>
            <w:pPr>
              <w:spacing w:after="0"/>
              <w:rPr>
                <w:sz w:val="14"/>
                <w:szCs w:val="14"/>
                <w:color w:val="auto"/>
              </w:rPr>
            </w:pP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auto"/>
              </w:rPr>
              <w:t>Incentive Plan</w:t>
            </w:r>
          </w:p>
        </w:tc>
        <w:tc>
          <w:tcPr>
            <w:tcW w:w="1160" w:type="dxa"/>
            <w:vAlign w:val="bottom"/>
          </w:tcPr>
          <w:p>
            <w:pPr>
              <w:jc w:val="right"/>
              <w:ind w:right="29"/>
              <w:spacing w:after="0"/>
              <w:rPr>
                <w:sz w:val="20"/>
                <w:szCs w:val="20"/>
                <w:color w:val="auto"/>
              </w:rPr>
            </w:pPr>
            <w:r>
              <w:rPr>
                <w:rFonts w:ascii="Arial" w:cs="Arial" w:eastAsia="Arial" w:hAnsi="Arial"/>
                <w:sz w:val="14"/>
                <w:szCs w:val="14"/>
                <w:b w:val="1"/>
                <w:bCs w:val="1"/>
                <w:color w:val="auto"/>
              </w:rPr>
              <w:t>All Other</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80" w:type="dxa"/>
            <w:vAlign w:val="bottom"/>
          </w:tcPr>
          <w:p>
            <w:pPr>
              <w:ind w:left="60"/>
              <w:spacing w:after="0"/>
              <w:rPr>
                <w:sz w:val="20"/>
                <w:szCs w:val="20"/>
                <w:color w:val="auto"/>
              </w:rPr>
            </w:pPr>
            <w:r>
              <w:rPr>
                <w:rFonts w:ascii="Arial" w:cs="Arial" w:eastAsia="Arial" w:hAnsi="Arial"/>
                <w:sz w:val="14"/>
                <w:szCs w:val="14"/>
                <w:b w:val="1"/>
                <w:bCs w:val="1"/>
                <w:color w:val="auto"/>
              </w:rPr>
              <w:t>Name and Principal</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Arial" w:cs="Arial" w:eastAsia="Arial" w:hAnsi="Arial"/>
                <w:sz w:val="14"/>
                <w:szCs w:val="14"/>
                <w:b w:val="1"/>
                <w:bCs w:val="1"/>
                <w:color w:val="auto"/>
              </w:rPr>
              <w:t>Salary</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Bonus</w:t>
            </w:r>
          </w:p>
        </w:tc>
        <w:tc>
          <w:tcPr>
            <w:tcW w:w="900" w:type="dxa"/>
            <w:vAlign w:val="bottom"/>
          </w:tcPr>
          <w:p>
            <w:pPr>
              <w:jc w:val="right"/>
              <w:ind w:right="9"/>
              <w:spacing w:after="0"/>
              <w:rPr>
                <w:sz w:val="20"/>
                <w:szCs w:val="20"/>
                <w:color w:val="auto"/>
              </w:rPr>
            </w:pPr>
            <w:r>
              <w:rPr>
                <w:rFonts w:ascii="Arial" w:cs="Arial" w:eastAsia="Arial" w:hAnsi="Arial"/>
                <w:sz w:val="14"/>
                <w:szCs w:val="14"/>
                <w:b w:val="1"/>
                <w:bCs w:val="1"/>
                <w:color w:val="auto"/>
              </w:rPr>
              <w:t>Awards</w:t>
            </w:r>
          </w:p>
        </w:tc>
        <w:tc>
          <w:tcPr>
            <w:tcW w:w="780" w:type="dxa"/>
            <w:vAlign w:val="bottom"/>
          </w:tcPr>
          <w:p>
            <w:pPr>
              <w:ind w:left="120"/>
              <w:spacing w:after="0"/>
              <w:rPr>
                <w:sz w:val="20"/>
                <w:szCs w:val="20"/>
                <w:color w:val="auto"/>
              </w:rPr>
            </w:pPr>
            <w:r>
              <w:rPr>
                <w:rFonts w:ascii="Arial" w:cs="Arial" w:eastAsia="Arial" w:hAnsi="Arial"/>
                <w:sz w:val="14"/>
                <w:szCs w:val="14"/>
                <w:b w:val="1"/>
                <w:bCs w:val="1"/>
                <w:color w:val="auto"/>
              </w:rPr>
              <w:t>Options</w:t>
            </w:r>
          </w:p>
        </w:tc>
        <w:tc>
          <w:tcPr>
            <w:tcW w:w="1180" w:type="dxa"/>
            <w:vAlign w:val="bottom"/>
          </w:tcPr>
          <w:p>
            <w:pPr>
              <w:jc w:val="right"/>
              <w:ind w:right="49"/>
              <w:spacing w:after="0"/>
              <w:rPr>
                <w:sz w:val="20"/>
                <w:szCs w:val="20"/>
                <w:color w:val="auto"/>
              </w:rPr>
            </w:pPr>
            <w:r>
              <w:rPr>
                <w:rFonts w:ascii="Arial" w:cs="Arial" w:eastAsia="Arial" w:hAnsi="Arial"/>
                <w:sz w:val="14"/>
                <w:szCs w:val="14"/>
                <w:b w:val="1"/>
                <w:bCs w:val="1"/>
                <w:color w:val="auto"/>
              </w:rPr>
              <w:t>Compensation</w:t>
            </w:r>
          </w:p>
        </w:tc>
        <w:tc>
          <w:tcPr>
            <w:tcW w:w="1160" w:type="dxa"/>
            <w:vAlign w:val="bottom"/>
          </w:tcPr>
          <w:p>
            <w:pPr>
              <w:jc w:val="right"/>
              <w:ind w:right="29"/>
              <w:spacing w:after="0"/>
              <w:rPr>
                <w:sz w:val="20"/>
                <w:szCs w:val="20"/>
                <w:color w:val="auto"/>
              </w:rPr>
            </w:pPr>
            <w:r>
              <w:rPr>
                <w:rFonts w:ascii="Arial" w:cs="Arial" w:eastAsia="Arial" w:hAnsi="Arial"/>
                <w:sz w:val="14"/>
                <w:szCs w:val="14"/>
                <w:b w:val="1"/>
                <w:bCs w:val="1"/>
                <w:color w:val="auto"/>
              </w:rPr>
              <w:t>Compensation</w:t>
            </w:r>
          </w:p>
        </w:tc>
        <w:tc>
          <w:tcPr>
            <w:tcW w:w="860" w:type="dxa"/>
            <w:vAlign w:val="bottom"/>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178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Position</w:t>
            </w:r>
          </w:p>
        </w:tc>
        <w:tc>
          <w:tcPr>
            <w:tcW w:w="400" w:type="dxa"/>
            <w:vAlign w:val="bottom"/>
            <w:tcBorders>
              <w:bottom w:val="single" w:sz="8" w:color="404040"/>
            </w:tcBorders>
            <w:gridSpan w:val="2"/>
          </w:tcPr>
          <w:p>
            <w:pPr>
              <w:jc w:val="right"/>
              <w:ind w:right="60"/>
              <w:spacing w:after="0"/>
              <w:rPr>
                <w:sz w:val="20"/>
                <w:szCs w:val="20"/>
                <w:color w:val="auto"/>
              </w:rPr>
            </w:pPr>
            <w:r>
              <w:rPr>
                <w:rFonts w:ascii="Arial" w:cs="Arial" w:eastAsia="Arial" w:hAnsi="Arial"/>
                <w:sz w:val="14"/>
                <w:szCs w:val="14"/>
                <w:b w:val="1"/>
                <w:bCs w:val="1"/>
                <w:color w:val="auto"/>
              </w:rPr>
              <w:t>Year</w:t>
            </w:r>
          </w:p>
        </w:tc>
        <w:tc>
          <w:tcPr>
            <w:tcW w:w="800" w:type="dxa"/>
            <w:vAlign w:val="bottom"/>
            <w:tcBorders>
              <w:bottom w:val="single" w:sz="8" w:color="404040"/>
            </w:tcBorders>
          </w:tcPr>
          <w:p>
            <w:pPr>
              <w:ind w:left="56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404040"/>
            </w:tcBorders>
          </w:tcPr>
          <w:p>
            <w:pPr>
              <w:ind w:left="540"/>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(1)</w:t>
            </w:r>
          </w:p>
        </w:tc>
        <w:tc>
          <w:tcPr>
            <w:tcW w:w="780" w:type="dxa"/>
            <w:vAlign w:val="bottom"/>
            <w:tcBorders>
              <w:bottom w:val="single" w:sz="8" w:color="404040"/>
            </w:tcBorders>
          </w:tcPr>
          <w:p>
            <w:pPr>
              <w:ind w:left="54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404040"/>
            </w:tcBorders>
          </w:tcPr>
          <w:p>
            <w:pPr>
              <w:jc w:val="right"/>
              <w:ind w:right="9"/>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(2)</w:t>
            </w:r>
          </w:p>
        </w:tc>
        <w:tc>
          <w:tcPr>
            <w:tcW w:w="1160" w:type="dxa"/>
            <w:vAlign w:val="bottom"/>
            <w:tcBorders>
              <w:bottom w:val="single" w:sz="8" w:color="404040"/>
            </w:tcBorders>
          </w:tcPr>
          <w:p>
            <w:pPr>
              <w:jc w:val="right"/>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1"/>
                <w:szCs w:val="11"/>
                <w:b w:val="1"/>
                <w:bCs w:val="1"/>
                <w:color w:val="auto"/>
              </w:rPr>
              <w:t>(3)</w:t>
            </w:r>
          </w:p>
        </w:tc>
        <w:tc>
          <w:tcPr>
            <w:tcW w:w="860" w:type="dxa"/>
            <w:vAlign w:val="bottom"/>
            <w:tcBorders>
              <w:bottom w:val="single" w:sz="8" w:color="404040"/>
            </w:tcBorders>
          </w:tcPr>
          <w:p>
            <w:pPr>
              <w:ind w:left="600"/>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1780" w:type="dxa"/>
            <w:vAlign w:val="bottom"/>
            <w:tcBorders>
              <w:right w:val="single" w:sz="8" w:color="F1F3F7"/>
            </w:tcBorders>
          </w:tcPr>
          <w:p>
            <w:pPr>
              <w:ind w:left="60"/>
              <w:spacing w:after="0" w:line="189" w:lineRule="exact"/>
              <w:rPr>
                <w:sz w:val="20"/>
                <w:szCs w:val="20"/>
                <w:color w:val="auto"/>
              </w:rPr>
            </w:pPr>
            <w:r>
              <w:rPr>
                <w:rFonts w:ascii="Arial" w:cs="Arial" w:eastAsia="Arial" w:hAnsi="Arial"/>
                <w:sz w:val="13"/>
                <w:szCs w:val="13"/>
                <w:b w:val="1"/>
                <w:bCs w:val="1"/>
                <w:color w:val="auto"/>
              </w:rPr>
              <w:t>Charles Compton</w:t>
            </w:r>
            <w:r>
              <w:rPr>
                <w:rFonts w:ascii="Arial" w:cs="Arial" w:eastAsia="Arial" w:hAnsi="Arial"/>
                <w:sz w:val="21"/>
                <w:szCs w:val="21"/>
                <w:color w:val="auto"/>
                <w:vertAlign w:val="superscript"/>
              </w:rPr>
              <w:t>(4)</w:t>
            </w:r>
          </w:p>
        </w:tc>
        <w:tc>
          <w:tcPr>
            <w:tcW w:w="340" w:type="dxa"/>
            <w:vAlign w:val="bottom"/>
            <w:shd w:val="clear" w:color="auto" w:fill="F1F3F7"/>
          </w:tcPr>
          <w:p>
            <w:pPr>
              <w:jc w:val="right"/>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F1F3F7"/>
          </w:tcPr>
          <w:p>
            <w:pPr>
              <w:spacing w:after="0"/>
              <w:rPr>
                <w:sz w:val="16"/>
                <w:szCs w:val="16"/>
                <w:color w:val="auto"/>
              </w:rPr>
            </w:pPr>
          </w:p>
        </w:tc>
        <w:tc>
          <w:tcPr>
            <w:tcW w:w="800" w:type="dxa"/>
            <w:vAlign w:val="bottom"/>
            <w:shd w:val="clear" w:color="auto" w:fill="F1F3F7"/>
          </w:tcPr>
          <w:p>
            <w:pPr>
              <w:ind w:left="60"/>
              <w:spacing w:after="0"/>
              <w:rPr>
                <w:sz w:val="20"/>
                <w:szCs w:val="20"/>
                <w:color w:val="auto"/>
              </w:rPr>
            </w:pPr>
            <w:r>
              <w:rPr>
                <w:rFonts w:ascii="Arial" w:cs="Arial" w:eastAsia="Arial" w:hAnsi="Arial"/>
                <w:sz w:val="14"/>
                <w:szCs w:val="14"/>
                <w:color w:val="auto"/>
              </w:rPr>
              <w:t>438,782</w:t>
            </w:r>
          </w:p>
        </w:tc>
        <w:tc>
          <w:tcPr>
            <w:tcW w:w="560" w:type="dxa"/>
            <w:vAlign w:val="bottom"/>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1F3F7"/>
          </w:tcPr>
          <w:p>
            <w:pPr>
              <w:ind w:left="60"/>
              <w:spacing w:after="0"/>
              <w:rPr>
                <w:sz w:val="20"/>
                <w:szCs w:val="20"/>
                <w:color w:val="auto"/>
              </w:rPr>
            </w:pPr>
            <w:r>
              <w:rPr>
                <w:rFonts w:ascii="Arial" w:cs="Arial" w:eastAsia="Arial" w:hAnsi="Arial"/>
                <w:sz w:val="14"/>
                <w:szCs w:val="14"/>
                <w:color w:val="auto"/>
              </w:rPr>
              <w:t>6,313,831</w:t>
            </w:r>
          </w:p>
        </w:tc>
        <w:tc>
          <w:tcPr>
            <w:tcW w:w="780" w:type="dxa"/>
            <w:vAlign w:val="bottom"/>
            <w:shd w:val="clear" w:color="auto" w:fill="F1F3F7"/>
          </w:tcPr>
          <w:p>
            <w:pPr>
              <w:ind w:left="5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F1F3F7"/>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3F7"/>
          </w:tcPr>
          <w:p>
            <w:pPr>
              <w:jc w:val="right"/>
              <w:ind w:right="9"/>
              <w:spacing w:after="0"/>
              <w:rPr>
                <w:sz w:val="20"/>
                <w:szCs w:val="20"/>
                <w:color w:val="auto"/>
              </w:rPr>
            </w:pPr>
            <w:r>
              <w:rPr>
                <w:rFonts w:ascii="Arial" w:cs="Arial" w:eastAsia="Arial" w:hAnsi="Arial"/>
                <w:sz w:val="14"/>
                <w:szCs w:val="14"/>
                <w:color w:val="auto"/>
              </w:rPr>
              <w:t>​ 45,719</w:t>
            </w:r>
          </w:p>
        </w:tc>
        <w:tc>
          <w:tcPr>
            <w:tcW w:w="860" w:type="dxa"/>
            <w:vAlign w:val="bottom"/>
            <w:shd w:val="clear" w:color="auto" w:fill="F1F3F7"/>
          </w:tcPr>
          <w:p>
            <w:pPr>
              <w:ind w:left="120"/>
              <w:spacing w:after="0"/>
              <w:rPr>
                <w:sz w:val="20"/>
                <w:szCs w:val="20"/>
                <w:color w:val="auto"/>
              </w:rPr>
            </w:pPr>
            <w:r>
              <w:rPr>
                <w:rFonts w:ascii="Arial" w:cs="Arial" w:eastAsia="Arial" w:hAnsi="Arial"/>
                <w:sz w:val="14"/>
                <w:szCs w:val="14"/>
                <w:color w:val="auto"/>
              </w:rPr>
              <w:t>6,798,332</w:t>
            </w:r>
          </w:p>
        </w:tc>
        <w:tc>
          <w:tcPr>
            <w:tcW w:w="0" w:type="dxa"/>
            <w:vAlign w:val="bottom"/>
          </w:tcPr>
          <w:p>
            <w:pPr>
              <w:spacing w:after="0"/>
              <w:rPr>
                <w:sz w:val="1"/>
                <w:szCs w:val="1"/>
                <w:color w:val="auto"/>
              </w:rPr>
            </w:pPr>
          </w:p>
        </w:tc>
      </w:tr>
      <w:tr>
        <w:trPr>
          <w:trHeight w:val="183"/>
        </w:trPr>
        <w:tc>
          <w:tcPr>
            <w:tcW w:w="1780" w:type="dxa"/>
            <w:vAlign w:val="bottom"/>
            <w:tcBorders>
              <w:bottom w:val="single" w:sz="8" w:color="404040"/>
              <w:right w:val="single" w:sz="8" w:color="F1F3F7"/>
            </w:tcBorders>
          </w:tcPr>
          <w:p>
            <w:pPr>
              <w:ind w:left="60"/>
              <w:spacing w:after="0"/>
              <w:rPr>
                <w:sz w:val="20"/>
                <w:szCs w:val="20"/>
                <w:color w:val="auto"/>
              </w:rPr>
            </w:pPr>
            <w:r>
              <w:rPr>
                <w:rFonts w:ascii="Arial" w:cs="Arial" w:eastAsia="Arial" w:hAnsi="Arial"/>
                <w:sz w:val="14"/>
                <w:szCs w:val="14"/>
                <w:i w:val="1"/>
                <w:iCs w:val="1"/>
                <w:color w:val="auto"/>
              </w:rPr>
              <w:t>CEO and Director</w:t>
            </w:r>
          </w:p>
        </w:tc>
        <w:tc>
          <w:tcPr>
            <w:tcW w:w="340" w:type="dxa"/>
            <w:vAlign w:val="bottom"/>
            <w:tcBorders>
              <w:bottom w:val="single" w:sz="8" w:color="404040"/>
            </w:tcBorders>
            <w:shd w:val="clear" w:color="auto" w:fill="F1F3F7"/>
          </w:tcPr>
          <w:p>
            <w:pPr>
              <w:spacing w:after="0"/>
              <w:rPr>
                <w:sz w:val="15"/>
                <w:szCs w:val="15"/>
                <w:color w:val="auto"/>
              </w:rPr>
            </w:pPr>
          </w:p>
        </w:tc>
        <w:tc>
          <w:tcPr>
            <w:tcW w:w="60" w:type="dxa"/>
            <w:vAlign w:val="bottom"/>
            <w:tcBorders>
              <w:bottom w:val="single" w:sz="8" w:color="404040"/>
            </w:tcBorders>
            <w:shd w:val="clear" w:color="auto" w:fill="F1F3F7"/>
          </w:tcPr>
          <w:p>
            <w:pPr>
              <w:spacing w:after="0"/>
              <w:rPr>
                <w:sz w:val="15"/>
                <w:szCs w:val="15"/>
                <w:color w:val="auto"/>
              </w:rPr>
            </w:pPr>
          </w:p>
        </w:tc>
        <w:tc>
          <w:tcPr>
            <w:tcW w:w="800" w:type="dxa"/>
            <w:vAlign w:val="bottom"/>
            <w:tcBorders>
              <w:bottom w:val="single" w:sz="8" w:color="404040"/>
            </w:tcBorders>
            <w:shd w:val="clear" w:color="auto" w:fill="F1F3F7"/>
          </w:tcPr>
          <w:p>
            <w:pPr>
              <w:spacing w:after="0"/>
              <w:rPr>
                <w:sz w:val="15"/>
                <w:szCs w:val="15"/>
                <w:color w:val="auto"/>
              </w:rPr>
            </w:pPr>
          </w:p>
        </w:tc>
        <w:tc>
          <w:tcPr>
            <w:tcW w:w="560" w:type="dxa"/>
            <w:vAlign w:val="bottom"/>
            <w:tcBorders>
              <w:bottom w:val="single" w:sz="8" w:color="404040"/>
            </w:tcBorders>
            <w:shd w:val="clear" w:color="auto" w:fill="F1F3F7"/>
          </w:tcPr>
          <w:p>
            <w:pPr>
              <w:spacing w:after="0"/>
              <w:rPr>
                <w:sz w:val="15"/>
                <w:szCs w:val="15"/>
                <w:color w:val="auto"/>
              </w:rPr>
            </w:pPr>
          </w:p>
        </w:tc>
        <w:tc>
          <w:tcPr>
            <w:tcW w:w="900" w:type="dxa"/>
            <w:vAlign w:val="bottom"/>
            <w:tcBorders>
              <w:bottom w:val="single" w:sz="8" w:color="404040"/>
            </w:tcBorders>
            <w:shd w:val="clear" w:color="auto" w:fill="F1F3F7"/>
          </w:tcPr>
          <w:p>
            <w:pPr>
              <w:spacing w:after="0"/>
              <w:rPr>
                <w:sz w:val="15"/>
                <w:szCs w:val="15"/>
                <w:color w:val="auto"/>
              </w:rPr>
            </w:pPr>
          </w:p>
        </w:tc>
        <w:tc>
          <w:tcPr>
            <w:tcW w:w="780" w:type="dxa"/>
            <w:vAlign w:val="bottom"/>
            <w:tcBorders>
              <w:bottom w:val="single" w:sz="8" w:color="404040"/>
            </w:tcBorders>
            <w:shd w:val="clear" w:color="auto" w:fill="F1F3F7"/>
          </w:tcPr>
          <w:p>
            <w:pPr>
              <w:spacing w:after="0"/>
              <w:rPr>
                <w:sz w:val="15"/>
                <w:szCs w:val="15"/>
                <w:color w:val="auto"/>
              </w:rPr>
            </w:pPr>
          </w:p>
        </w:tc>
        <w:tc>
          <w:tcPr>
            <w:tcW w:w="1180" w:type="dxa"/>
            <w:vAlign w:val="bottom"/>
            <w:tcBorders>
              <w:bottom w:val="single" w:sz="8" w:color="404040"/>
            </w:tcBorders>
            <w:shd w:val="clear" w:color="auto" w:fill="F1F3F7"/>
          </w:tcPr>
          <w:p>
            <w:pPr>
              <w:spacing w:after="0"/>
              <w:rPr>
                <w:sz w:val="15"/>
                <w:szCs w:val="15"/>
                <w:color w:val="auto"/>
              </w:rPr>
            </w:pPr>
          </w:p>
        </w:tc>
        <w:tc>
          <w:tcPr>
            <w:tcW w:w="1160" w:type="dxa"/>
            <w:vAlign w:val="bottom"/>
            <w:tcBorders>
              <w:bottom w:val="single" w:sz="8" w:color="404040"/>
            </w:tcBorders>
            <w:shd w:val="clear" w:color="auto" w:fill="F1F3F7"/>
          </w:tcPr>
          <w:p>
            <w:pPr>
              <w:spacing w:after="0"/>
              <w:rPr>
                <w:sz w:val="15"/>
                <w:szCs w:val="15"/>
                <w:color w:val="auto"/>
              </w:rPr>
            </w:pPr>
          </w:p>
        </w:tc>
        <w:tc>
          <w:tcPr>
            <w:tcW w:w="860" w:type="dxa"/>
            <w:vAlign w:val="bottom"/>
            <w:tcBorders>
              <w:bottom w:val="single" w:sz="8" w:color="404040"/>
            </w:tcBorders>
            <w:shd w:val="clear" w:color="auto" w:fill="F1F3F7"/>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80" w:type="dxa"/>
            <w:vAlign w:val="bottom"/>
            <w:tcBorders>
              <w:right w:val="single" w:sz="8" w:color="F1F3F7"/>
            </w:tcBorders>
          </w:tcPr>
          <w:p>
            <w:pPr>
              <w:ind w:left="60"/>
              <w:spacing w:after="0" w:line="223" w:lineRule="exact"/>
              <w:rPr>
                <w:sz w:val="20"/>
                <w:szCs w:val="20"/>
                <w:color w:val="auto"/>
              </w:rPr>
            </w:pPr>
            <w:r>
              <w:rPr>
                <w:rFonts w:ascii="Arial" w:cs="Arial" w:eastAsia="Arial" w:hAnsi="Arial"/>
                <w:sz w:val="14"/>
                <w:szCs w:val="14"/>
                <w:b w:val="1"/>
                <w:bCs w:val="1"/>
                <w:color w:val="auto"/>
              </w:rPr>
              <w:t>Artur Bergman</w:t>
            </w:r>
            <w:r>
              <w:rPr>
                <w:rFonts w:ascii="Arial" w:cs="Arial" w:eastAsia="Arial" w:hAnsi="Arial"/>
                <w:sz w:val="23"/>
                <w:szCs w:val="23"/>
                <w:color w:val="auto"/>
                <w:vertAlign w:val="superscript"/>
              </w:rPr>
              <w:t>(5)</w:t>
            </w:r>
          </w:p>
        </w:tc>
        <w:tc>
          <w:tcPr>
            <w:tcW w:w="340" w:type="dxa"/>
            <w:vAlign w:val="bottom"/>
            <w:shd w:val="clear" w:color="auto" w:fill="F1F3F7"/>
          </w:tcPr>
          <w:p>
            <w:pPr>
              <w:jc w:val="right"/>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F1F3F7"/>
          </w:tcPr>
          <w:p>
            <w:pPr>
              <w:spacing w:after="0"/>
              <w:rPr>
                <w:sz w:val="19"/>
                <w:szCs w:val="19"/>
                <w:color w:val="auto"/>
              </w:rPr>
            </w:pPr>
          </w:p>
        </w:tc>
        <w:tc>
          <w:tcPr>
            <w:tcW w:w="800" w:type="dxa"/>
            <w:vAlign w:val="bottom"/>
            <w:shd w:val="clear" w:color="auto" w:fill="F1F3F7"/>
          </w:tcPr>
          <w:p>
            <w:pPr>
              <w:ind w:left="60"/>
              <w:spacing w:after="0" w:line="223" w:lineRule="exact"/>
              <w:rPr>
                <w:sz w:val="20"/>
                <w:szCs w:val="20"/>
                <w:color w:val="auto"/>
              </w:rPr>
            </w:pPr>
            <w:r>
              <w:rPr>
                <w:rFonts w:ascii="Arial" w:cs="Arial" w:eastAsia="Arial" w:hAnsi="Arial"/>
                <w:sz w:val="14"/>
                <w:szCs w:val="14"/>
                <w:color w:val="auto"/>
              </w:rPr>
              <w:t>500,000</w:t>
            </w:r>
            <w:r>
              <w:rPr>
                <w:rFonts w:ascii="Arial" w:cs="Arial" w:eastAsia="Arial" w:hAnsi="Arial"/>
                <w:sz w:val="23"/>
                <w:szCs w:val="23"/>
                <w:color w:val="auto"/>
                <w:vertAlign w:val="superscript"/>
              </w:rPr>
              <w:t>(5)</w:t>
            </w:r>
          </w:p>
        </w:tc>
        <w:tc>
          <w:tcPr>
            <w:tcW w:w="560" w:type="dxa"/>
            <w:vAlign w:val="bottom"/>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1F3F7"/>
          </w:tcPr>
          <w:p>
            <w:pPr>
              <w:ind w:left="60"/>
              <w:spacing w:after="0" w:line="223" w:lineRule="exact"/>
              <w:rPr>
                <w:sz w:val="20"/>
                <w:szCs w:val="20"/>
                <w:color w:val="auto"/>
              </w:rPr>
            </w:pPr>
            <w:r>
              <w:rPr>
                <w:rFonts w:ascii="Arial" w:cs="Arial" w:eastAsia="Arial" w:hAnsi="Arial"/>
                <w:sz w:val="14"/>
                <w:szCs w:val="14"/>
                <w:color w:val="auto"/>
              </w:rPr>
              <w:t>4,215,606</w:t>
            </w:r>
            <w:r>
              <w:rPr>
                <w:rFonts w:ascii="Arial" w:cs="Arial" w:eastAsia="Arial" w:hAnsi="Arial"/>
                <w:sz w:val="23"/>
                <w:szCs w:val="23"/>
                <w:color w:val="auto"/>
                <w:vertAlign w:val="superscript"/>
              </w:rPr>
              <w:t>(6)</w:t>
            </w:r>
          </w:p>
        </w:tc>
        <w:tc>
          <w:tcPr>
            <w:tcW w:w="780" w:type="dxa"/>
            <w:vAlign w:val="bottom"/>
            <w:shd w:val="clear" w:color="auto" w:fill="F1F3F7"/>
          </w:tcPr>
          <w:p>
            <w:pPr>
              <w:ind w:left="5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F1F3F7"/>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3F7"/>
          </w:tcPr>
          <w:p>
            <w:pPr>
              <w:jc w:val="right"/>
              <w:ind w:right="9"/>
              <w:spacing w:after="0"/>
              <w:rPr>
                <w:sz w:val="20"/>
                <w:szCs w:val="20"/>
                <w:color w:val="auto"/>
              </w:rPr>
            </w:pPr>
            <w:r>
              <w:rPr>
                <w:rFonts w:ascii="Arial" w:cs="Arial" w:eastAsia="Arial" w:hAnsi="Arial"/>
                <w:sz w:val="14"/>
                <w:szCs w:val="14"/>
                <w:color w:val="auto"/>
              </w:rPr>
              <w:t>—</w:t>
            </w:r>
          </w:p>
        </w:tc>
        <w:tc>
          <w:tcPr>
            <w:tcW w:w="860" w:type="dxa"/>
            <w:vAlign w:val="bottom"/>
            <w:shd w:val="clear" w:color="auto" w:fill="F1F3F7"/>
          </w:tcPr>
          <w:p>
            <w:pPr>
              <w:ind w:left="120"/>
              <w:spacing w:after="0"/>
              <w:rPr>
                <w:sz w:val="20"/>
                <w:szCs w:val="20"/>
                <w:color w:val="auto"/>
              </w:rPr>
            </w:pPr>
            <w:r>
              <w:rPr>
                <w:rFonts w:ascii="Arial" w:cs="Arial" w:eastAsia="Arial" w:hAnsi="Arial"/>
                <w:sz w:val="14"/>
                <w:szCs w:val="14"/>
                <w:color w:val="auto"/>
              </w:rPr>
              <w:t>4,715,606</w:t>
            </w:r>
          </w:p>
        </w:tc>
        <w:tc>
          <w:tcPr>
            <w:tcW w:w="0" w:type="dxa"/>
            <w:vAlign w:val="bottom"/>
          </w:tcPr>
          <w:p>
            <w:pPr>
              <w:spacing w:after="0"/>
              <w:rPr>
                <w:sz w:val="1"/>
                <w:szCs w:val="1"/>
                <w:color w:val="auto"/>
              </w:rPr>
            </w:pPr>
          </w:p>
        </w:tc>
      </w:tr>
      <w:tr>
        <w:trPr>
          <w:trHeight w:val="182"/>
        </w:trPr>
        <w:tc>
          <w:tcPr>
            <w:tcW w:w="1780" w:type="dxa"/>
            <w:vAlign w:val="bottom"/>
            <w:tcBorders>
              <w:right w:val="single" w:sz="8" w:color="F1F3F7"/>
            </w:tcBorders>
          </w:tcPr>
          <w:p>
            <w:pPr>
              <w:ind w:left="60"/>
              <w:spacing w:after="0"/>
              <w:rPr>
                <w:sz w:val="20"/>
                <w:szCs w:val="20"/>
                <w:color w:val="auto"/>
              </w:rPr>
            </w:pPr>
            <w:r>
              <w:rPr>
                <w:rFonts w:ascii="Arial" w:cs="Arial" w:eastAsia="Arial" w:hAnsi="Arial"/>
                <w:sz w:val="14"/>
                <w:szCs w:val="14"/>
                <w:i w:val="1"/>
                <w:iCs w:val="1"/>
                <w:color w:val="auto"/>
              </w:rPr>
              <w:t>Chief Technology</w:t>
            </w:r>
          </w:p>
        </w:tc>
        <w:tc>
          <w:tcPr>
            <w:tcW w:w="340" w:type="dxa"/>
            <w:vAlign w:val="bottom"/>
            <w:shd w:val="clear" w:color="auto" w:fill="F1F3F7"/>
          </w:tcPr>
          <w:p>
            <w:pPr>
              <w:jc w:val="right"/>
              <w:spacing w:after="0"/>
              <w:rPr>
                <w:sz w:val="20"/>
                <w:szCs w:val="20"/>
                <w:color w:val="auto"/>
              </w:rPr>
            </w:pPr>
            <w:r>
              <w:rPr>
                <w:rFonts w:ascii="Arial" w:cs="Arial" w:eastAsia="Arial" w:hAnsi="Arial"/>
                <w:sz w:val="14"/>
                <w:szCs w:val="14"/>
                <w:color w:val="auto"/>
              </w:rPr>
              <w:t>2024</w:t>
            </w:r>
          </w:p>
        </w:tc>
        <w:tc>
          <w:tcPr>
            <w:tcW w:w="60" w:type="dxa"/>
            <w:vAlign w:val="bottom"/>
            <w:shd w:val="clear" w:color="auto" w:fill="F1F3F7"/>
          </w:tcPr>
          <w:p>
            <w:pPr>
              <w:spacing w:after="0"/>
              <w:rPr>
                <w:sz w:val="15"/>
                <w:szCs w:val="15"/>
                <w:color w:val="auto"/>
              </w:rPr>
            </w:pPr>
          </w:p>
        </w:tc>
        <w:tc>
          <w:tcPr>
            <w:tcW w:w="800" w:type="dxa"/>
            <w:vAlign w:val="bottom"/>
            <w:shd w:val="clear" w:color="auto" w:fill="F1F3F7"/>
          </w:tcPr>
          <w:p>
            <w:pPr>
              <w:ind w:left="60"/>
              <w:spacing w:after="0"/>
              <w:rPr>
                <w:sz w:val="20"/>
                <w:szCs w:val="20"/>
                <w:color w:val="auto"/>
              </w:rPr>
            </w:pPr>
            <w:r>
              <w:rPr>
                <w:rFonts w:ascii="Arial" w:cs="Arial" w:eastAsia="Arial" w:hAnsi="Arial"/>
                <w:sz w:val="14"/>
                <w:szCs w:val="14"/>
                <w:color w:val="auto"/>
              </w:rPr>
              <w:t>500,000</w:t>
            </w:r>
          </w:p>
        </w:tc>
        <w:tc>
          <w:tcPr>
            <w:tcW w:w="560" w:type="dxa"/>
            <w:vAlign w:val="bottom"/>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1F3F7"/>
          </w:tcPr>
          <w:p>
            <w:pPr>
              <w:ind w:left="60"/>
              <w:spacing w:after="0"/>
              <w:rPr>
                <w:sz w:val="20"/>
                <w:szCs w:val="20"/>
                <w:color w:val="auto"/>
              </w:rPr>
            </w:pPr>
            <w:r>
              <w:rPr>
                <w:rFonts w:ascii="Arial" w:cs="Arial" w:eastAsia="Arial" w:hAnsi="Arial"/>
                <w:sz w:val="14"/>
                <w:szCs w:val="14"/>
                <w:color w:val="auto"/>
              </w:rPr>
              <w:t>4,035,170</w:t>
            </w:r>
          </w:p>
        </w:tc>
        <w:tc>
          <w:tcPr>
            <w:tcW w:w="780" w:type="dxa"/>
            <w:vAlign w:val="bottom"/>
            <w:shd w:val="clear" w:color="auto" w:fill="F1F3F7"/>
          </w:tcPr>
          <w:p>
            <w:pPr>
              <w:ind w:left="5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F1F3F7"/>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3F7"/>
          </w:tcPr>
          <w:p>
            <w:pPr>
              <w:jc w:val="right"/>
              <w:ind w:right="29"/>
              <w:spacing w:after="0"/>
              <w:rPr>
                <w:sz w:val="20"/>
                <w:szCs w:val="20"/>
                <w:color w:val="auto"/>
              </w:rPr>
            </w:pPr>
            <w:r>
              <w:rPr>
                <w:rFonts w:ascii="Arial" w:cs="Arial" w:eastAsia="Arial" w:hAnsi="Arial"/>
                <w:sz w:val="14"/>
                <w:szCs w:val="14"/>
                <w:color w:val="auto"/>
              </w:rPr>
              <w:t>28</w:t>
            </w:r>
          </w:p>
        </w:tc>
        <w:tc>
          <w:tcPr>
            <w:tcW w:w="860" w:type="dxa"/>
            <w:vAlign w:val="bottom"/>
            <w:shd w:val="clear" w:color="auto" w:fill="F1F3F7"/>
          </w:tcPr>
          <w:p>
            <w:pPr>
              <w:ind w:left="120"/>
              <w:spacing w:after="0"/>
              <w:rPr>
                <w:sz w:val="20"/>
                <w:szCs w:val="20"/>
                <w:color w:val="auto"/>
              </w:rPr>
            </w:pPr>
            <w:r>
              <w:rPr>
                <w:rFonts w:ascii="Arial" w:cs="Arial" w:eastAsia="Arial" w:hAnsi="Arial"/>
                <w:sz w:val="14"/>
                <w:szCs w:val="14"/>
                <w:color w:val="auto"/>
              </w:rPr>
              <w:t>4,535,198</w:t>
            </w:r>
          </w:p>
        </w:tc>
        <w:tc>
          <w:tcPr>
            <w:tcW w:w="0" w:type="dxa"/>
            <w:vAlign w:val="bottom"/>
          </w:tcPr>
          <w:p>
            <w:pPr>
              <w:spacing w:after="0"/>
              <w:rPr>
                <w:sz w:val="1"/>
                <w:szCs w:val="1"/>
                <w:color w:val="auto"/>
              </w:rPr>
            </w:pPr>
          </w:p>
        </w:tc>
      </w:tr>
      <w:tr>
        <w:trPr>
          <w:trHeight w:val="237"/>
        </w:trPr>
        <w:tc>
          <w:tcPr>
            <w:tcW w:w="1780" w:type="dxa"/>
            <w:vAlign w:val="bottom"/>
            <w:tcBorders>
              <w:right w:val="single" w:sz="8" w:color="F1F3F7"/>
            </w:tcBorders>
          </w:tcPr>
          <w:p>
            <w:pPr>
              <w:ind w:left="60"/>
              <w:spacing w:after="0"/>
              <w:rPr>
                <w:sz w:val="20"/>
                <w:szCs w:val="20"/>
                <w:color w:val="auto"/>
              </w:rPr>
            </w:pPr>
            <w:r>
              <w:rPr>
                <w:rFonts w:ascii="Arial" w:cs="Arial" w:eastAsia="Arial" w:hAnsi="Arial"/>
                <w:sz w:val="14"/>
                <w:szCs w:val="14"/>
                <w:i w:val="1"/>
                <w:iCs w:val="1"/>
                <w:color w:val="auto"/>
              </w:rPr>
              <w:t>Officer and Director</w:t>
            </w:r>
          </w:p>
        </w:tc>
        <w:tc>
          <w:tcPr>
            <w:tcW w:w="340" w:type="dxa"/>
            <w:vAlign w:val="bottom"/>
            <w:tcBorders>
              <w:bottom w:val="single" w:sz="8" w:color="F1F3F7"/>
            </w:tcBorders>
            <w:shd w:val="clear" w:color="auto" w:fill="F1F3F7"/>
          </w:tcPr>
          <w:p>
            <w:pPr>
              <w:jc w:val="right"/>
              <w:spacing w:after="0"/>
              <w:rPr>
                <w:sz w:val="20"/>
                <w:szCs w:val="20"/>
                <w:color w:val="auto"/>
              </w:rPr>
            </w:pPr>
            <w:r>
              <w:rPr>
                <w:rFonts w:ascii="Arial" w:cs="Arial" w:eastAsia="Arial" w:hAnsi="Arial"/>
                <w:sz w:val="14"/>
                <w:szCs w:val="14"/>
                <w:color w:val="auto"/>
              </w:rPr>
              <w:t>2023</w:t>
            </w:r>
          </w:p>
        </w:tc>
        <w:tc>
          <w:tcPr>
            <w:tcW w:w="60" w:type="dxa"/>
            <w:vAlign w:val="bottom"/>
            <w:tcBorders>
              <w:bottom w:val="single" w:sz="8" w:color="F1F3F7"/>
            </w:tcBorders>
            <w:shd w:val="clear" w:color="auto" w:fill="F1F3F7"/>
          </w:tcPr>
          <w:p>
            <w:pPr>
              <w:spacing w:after="0"/>
              <w:rPr>
                <w:sz w:val="20"/>
                <w:szCs w:val="20"/>
                <w:color w:val="auto"/>
              </w:rPr>
            </w:pPr>
          </w:p>
        </w:tc>
        <w:tc>
          <w:tcPr>
            <w:tcW w:w="800" w:type="dxa"/>
            <w:vAlign w:val="bottom"/>
            <w:tcBorders>
              <w:bottom w:val="single" w:sz="8" w:color="F1F3F7"/>
            </w:tcBorders>
            <w:shd w:val="clear" w:color="auto" w:fill="F1F3F7"/>
          </w:tcPr>
          <w:p>
            <w:pPr>
              <w:ind w:left="60"/>
              <w:spacing w:after="0"/>
              <w:rPr>
                <w:sz w:val="20"/>
                <w:szCs w:val="20"/>
                <w:color w:val="auto"/>
              </w:rPr>
            </w:pPr>
            <w:r>
              <w:rPr>
                <w:rFonts w:ascii="Arial" w:cs="Arial" w:eastAsia="Arial" w:hAnsi="Arial"/>
                <w:sz w:val="14"/>
                <w:szCs w:val="14"/>
                <w:color w:val="auto"/>
              </w:rPr>
              <w:t>500,000</w:t>
            </w:r>
          </w:p>
        </w:tc>
        <w:tc>
          <w:tcPr>
            <w:tcW w:w="560" w:type="dxa"/>
            <w:vAlign w:val="bottom"/>
            <w:tcBorders>
              <w:bottom w:val="single" w:sz="8" w:color="F1F3F7"/>
            </w:tcBorders>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1F3F7"/>
            </w:tcBorders>
            <w:shd w:val="clear" w:color="auto" w:fill="F1F3F7"/>
          </w:tcPr>
          <w:p>
            <w:pPr>
              <w:ind w:left="60"/>
              <w:spacing w:after="0"/>
              <w:rPr>
                <w:sz w:val="20"/>
                <w:szCs w:val="20"/>
                <w:color w:val="auto"/>
              </w:rPr>
            </w:pPr>
            <w:r>
              <w:rPr>
                <w:rFonts w:ascii="Arial" w:cs="Arial" w:eastAsia="Arial" w:hAnsi="Arial"/>
                <w:sz w:val="14"/>
                <w:szCs w:val="14"/>
                <w:color w:val="auto"/>
              </w:rPr>
              <w:t>5,269,622</w:t>
            </w:r>
          </w:p>
        </w:tc>
        <w:tc>
          <w:tcPr>
            <w:tcW w:w="780" w:type="dxa"/>
            <w:vAlign w:val="bottom"/>
            <w:tcBorders>
              <w:bottom w:val="single" w:sz="8" w:color="F1F3F7"/>
            </w:tcBorders>
            <w:shd w:val="clear" w:color="auto" w:fill="F1F3F7"/>
          </w:tcPr>
          <w:p>
            <w:pPr>
              <w:ind w:left="60"/>
              <w:spacing w:after="0"/>
              <w:rPr>
                <w:sz w:val="20"/>
                <w:szCs w:val="20"/>
                <w:color w:val="auto"/>
              </w:rPr>
            </w:pPr>
            <w:r>
              <w:rPr>
                <w:rFonts w:ascii="Arial" w:cs="Arial" w:eastAsia="Arial" w:hAnsi="Arial"/>
                <w:sz w:val="14"/>
                <w:szCs w:val="14"/>
                <w:color w:val="auto"/>
              </w:rPr>
              <w:t>6,619,695</w:t>
            </w:r>
          </w:p>
        </w:tc>
        <w:tc>
          <w:tcPr>
            <w:tcW w:w="1180" w:type="dxa"/>
            <w:vAlign w:val="bottom"/>
            <w:tcBorders>
              <w:bottom w:val="single" w:sz="8" w:color="F1F3F7"/>
            </w:tcBorders>
            <w:shd w:val="clear" w:color="auto" w:fill="F1F3F7"/>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F1F3F7"/>
            </w:tcBorders>
            <w:shd w:val="clear" w:color="auto" w:fill="F1F3F7"/>
          </w:tcPr>
          <w:p>
            <w:pPr>
              <w:jc w:val="right"/>
              <w:ind w:right="29"/>
              <w:spacing w:after="0"/>
              <w:rPr>
                <w:sz w:val="20"/>
                <w:szCs w:val="20"/>
                <w:color w:val="auto"/>
              </w:rPr>
            </w:pPr>
            <w:r>
              <w:rPr>
                <w:rFonts w:ascii="Arial" w:cs="Arial" w:eastAsia="Arial" w:hAnsi="Arial"/>
                <w:sz w:val="14"/>
                <w:szCs w:val="14"/>
                <w:color w:val="auto"/>
              </w:rPr>
              <w:t>26</w:t>
            </w:r>
          </w:p>
        </w:tc>
        <w:tc>
          <w:tcPr>
            <w:tcW w:w="860" w:type="dxa"/>
            <w:vAlign w:val="bottom"/>
            <w:tcBorders>
              <w:bottom w:val="single" w:sz="8" w:color="F1F3F7"/>
            </w:tcBorders>
            <w:shd w:val="clear" w:color="auto" w:fill="F1F3F7"/>
          </w:tcPr>
          <w:p>
            <w:pPr>
              <w:ind w:left="40"/>
              <w:spacing w:after="0"/>
              <w:rPr>
                <w:sz w:val="20"/>
                <w:szCs w:val="20"/>
                <w:color w:val="auto"/>
              </w:rPr>
            </w:pPr>
            <w:r>
              <w:rPr>
                <w:rFonts w:ascii="Arial" w:cs="Arial" w:eastAsia="Arial" w:hAnsi="Arial"/>
                <w:sz w:val="14"/>
                <w:szCs w:val="14"/>
                <w:color w:val="auto"/>
              </w:rPr>
              <w:t>12,389,343</w:t>
            </w:r>
          </w:p>
        </w:tc>
        <w:tc>
          <w:tcPr>
            <w:tcW w:w="0" w:type="dxa"/>
            <w:vAlign w:val="bottom"/>
          </w:tcPr>
          <w:p>
            <w:pPr>
              <w:spacing w:after="0"/>
              <w:rPr>
                <w:sz w:val="1"/>
                <w:szCs w:val="1"/>
                <w:color w:val="auto"/>
              </w:rPr>
            </w:pPr>
          </w:p>
        </w:tc>
      </w:tr>
      <w:tr>
        <w:trPr>
          <w:trHeight w:val="187"/>
        </w:trPr>
        <w:tc>
          <w:tcPr>
            <w:tcW w:w="1780" w:type="dxa"/>
            <w:vAlign w:val="bottom"/>
            <w:tcBorders>
              <w:top w:val="single" w:sz="8" w:color="404040"/>
              <w:right w:val="single" w:sz="8" w:color="F1F3F7"/>
            </w:tcBorders>
          </w:tcPr>
          <w:p>
            <w:pPr>
              <w:ind w:left="60"/>
              <w:spacing w:after="0" w:line="187" w:lineRule="exact"/>
              <w:rPr>
                <w:sz w:val="20"/>
                <w:szCs w:val="20"/>
                <w:color w:val="auto"/>
              </w:rPr>
            </w:pPr>
            <w:r>
              <w:rPr>
                <w:rFonts w:ascii="Arial" w:cs="Arial" w:eastAsia="Arial" w:hAnsi="Arial"/>
                <w:sz w:val="13"/>
                <w:szCs w:val="13"/>
                <w:b w:val="1"/>
                <w:bCs w:val="1"/>
                <w:color w:val="auto"/>
              </w:rPr>
              <w:t>Richard Wong</w:t>
            </w:r>
            <w:r>
              <w:rPr>
                <w:rFonts w:ascii="Arial" w:cs="Arial" w:eastAsia="Arial" w:hAnsi="Arial"/>
                <w:sz w:val="21"/>
                <w:szCs w:val="21"/>
                <w:color w:val="auto"/>
                <w:vertAlign w:val="superscript"/>
              </w:rPr>
              <w:t>(7)</w:t>
            </w:r>
          </w:p>
        </w:tc>
        <w:tc>
          <w:tcPr>
            <w:tcW w:w="340" w:type="dxa"/>
            <w:vAlign w:val="bottom"/>
            <w:tcBorders>
              <w:top w:val="single" w:sz="8" w:color="404040"/>
            </w:tcBorders>
            <w:shd w:val="clear" w:color="auto" w:fill="F1F3F7"/>
          </w:tcPr>
          <w:p>
            <w:pPr>
              <w:jc w:val="right"/>
              <w:spacing w:after="0"/>
              <w:rPr>
                <w:sz w:val="20"/>
                <w:szCs w:val="20"/>
                <w:color w:val="auto"/>
              </w:rPr>
            </w:pPr>
            <w:r>
              <w:rPr>
                <w:rFonts w:ascii="Arial" w:cs="Arial" w:eastAsia="Arial" w:hAnsi="Arial"/>
                <w:sz w:val="14"/>
                <w:szCs w:val="14"/>
                <w:color w:val="auto"/>
              </w:rPr>
              <w:t>2025</w:t>
            </w:r>
          </w:p>
        </w:tc>
        <w:tc>
          <w:tcPr>
            <w:tcW w:w="60" w:type="dxa"/>
            <w:vAlign w:val="bottom"/>
            <w:tcBorders>
              <w:top w:val="single" w:sz="8" w:color="404040"/>
            </w:tcBorders>
            <w:shd w:val="clear" w:color="auto" w:fill="F1F3F7"/>
          </w:tcPr>
          <w:p>
            <w:pPr>
              <w:spacing w:after="0"/>
              <w:rPr>
                <w:sz w:val="16"/>
                <w:szCs w:val="16"/>
                <w:color w:val="auto"/>
              </w:rPr>
            </w:pPr>
          </w:p>
        </w:tc>
        <w:tc>
          <w:tcPr>
            <w:tcW w:w="800" w:type="dxa"/>
            <w:vAlign w:val="bottom"/>
            <w:tcBorders>
              <w:top w:val="single" w:sz="8" w:color="404040"/>
            </w:tcBorders>
            <w:shd w:val="clear" w:color="auto" w:fill="F1F3F7"/>
          </w:tcPr>
          <w:p>
            <w:pPr>
              <w:ind w:left="60"/>
              <w:spacing w:after="0"/>
              <w:rPr>
                <w:sz w:val="20"/>
                <w:szCs w:val="20"/>
                <w:color w:val="auto"/>
              </w:rPr>
            </w:pPr>
            <w:r>
              <w:rPr>
                <w:rFonts w:ascii="Arial" w:cs="Arial" w:eastAsia="Arial" w:hAnsi="Arial"/>
                <w:sz w:val="14"/>
                <w:szCs w:val="14"/>
                <w:color w:val="auto"/>
              </w:rPr>
              <w:t>180,682</w:t>
            </w:r>
          </w:p>
        </w:tc>
        <w:tc>
          <w:tcPr>
            <w:tcW w:w="560" w:type="dxa"/>
            <w:vAlign w:val="bottom"/>
            <w:tcBorders>
              <w:top w:val="single" w:sz="8" w:color="404040"/>
            </w:tcBorders>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404040"/>
            </w:tcBorders>
            <w:shd w:val="clear" w:color="auto" w:fill="F1F3F7"/>
          </w:tcPr>
          <w:p>
            <w:pPr>
              <w:ind w:left="60"/>
              <w:spacing w:after="0"/>
              <w:rPr>
                <w:sz w:val="20"/>
                <w:szCs w:val="20"/>
                <w:color w:val="auto"/>
              </w:rPr>
            </w:pPr>
            <w:r>
              <w:rPr>
                <w:rFonts w:ascii="Arial" w:cs="Arial" w:eastAsia="Arial" w:hAnsi="Arial"/>
                <w:sz w:val="14"/>
                <w:szCs w:val="14"/>
                <w:color w:val="auto"/>
              </w:rPr>
              <w:t>8,442,594</w:t>
            </w:r>
          </w:p>
        </w:tc>
        <w:tc>
          <w:tcPr>
            <w:tcW w:w="780" w:type="dxa"/>
            <w:vAlign w:val="bottom"/>
            <w:tcBorders>
              <w:top w:val="single" w:sz="8" w:color="404040"/>
            </w:tcBorders>
            <w:shd w:val="clear" w:color="auto" w:fill="F1F3F7"/>
          </w:tcPr>
          <w:p>
            <w:pPr>
              <w:ind w:left="540"/>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404040"/>
            </w:tcBorders>
            <w:shd w:val="clear" w:color="auto" w:fill="F1F3F7"/>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404040"/>
            </w:tcBorders>
            <w:shd w:val="clear" w:color="auto" w:fill="F1F3F7"/>
          </w:tcPr>
          <w:p>
            <w:pPr>
              <w:jc w:val="right"/>
              <w:ind w:right="9"/>
              <w:spacing w:after="0"/>
              <w:rPr>
                <w:sz w:val="20"/>
                <w:szCs w:val="20"/>
                <w:color w:val="auto"/>
              </w:rPr>
            </w:pPr>
            <w:r>
              <w:rPr>
                <w:rFonts w:ascii="Arial" w:cs="Arial" w:eastAsia="Arial" w:hAnsi="Arial"/>
                <w:sz w:val="14"/>
                <w:szCs w:val="14"/>
                <w:color w:val="auto"/>
              </w:rPr>
              <w:t>​  3,607</w:t>
            </w:r>
          </w:p>
        </w:tc>
        <w:tc>
          <w:tcPr>
            <w:tcW w:w="860" w:type="dxa"/>
            <w:vAlign w:val="bottom"/>
            <w:tcBorders>
              <w:top w:val="single" w:sz="8" w:color="404040"/>
            </w:tcBorders>
            <w:shd w:val="clear" w:color="auto" w:fill="F1F3F7"/>
          </w:tcPr>
          <w:p>
            <w:pPr>
              <w:ind w:left="120"/>
              <w:spacing w:after="0"/>
              <w:rPr>
                <w:sz w:val="20"/>
                <w:szCs w:val="20"/>
                <w:color w:val="auto"/>
              </w:rPr>
            </w:pPr>
            <w:r>
              <w:rPr>
                <w:rFonts w:ascii="Arial" w:cs="Arial" w:eastAsia="Arial" w:hAnsi="Arial"/>
                <w:sz w:val="14"/>
                <w:szCs w:val="14"/>
                <w:color w:val="auto"/>
              </w:rPr>
              <w:t>8,626,883</w:t>
            </w:r>
          </w:p>
        </w:tc>
        <w:tc>
          <w:tcPr>
            <w:tcW w:w="0" w:type="dxa"/>
            <w:vAlign w:val="bottom"/>
          </w:tcPr>
          <w:p>
            <w:pPr>
              <w:spacing w:after="0"/>
              <w:rPr>
                <w:sz w:val="1"/>
                <w:szCs w:val="1"/>
                <w:color w:val="auto"/>
              </w:rPr>
            </w:pPr>
          </w:p>
        </w:tc>
      </w:tr>
      <w:tr>
        <w:trPr>
          <w:trHeight w:val="185"/>
        </w:trPr>
        <w:tc>
          <w:tcPr>
            <w:tcW w:w="1780" w:type="dxa"/>
            <w:vAlign w:val="bottom"/>
            <w:tcBorders>
              <w:bottom w:val="single" w:sz="8" w:color="404040"/>
              <w:right w:val="single" w:sz="8" w:color="F1F3F7"/>
            </w:tcBorders>
          </w:tcPr>
          <w:p>
            <w:pPr>
              <w:ind w:left="60"/>
              <w:spacing w:after="0"/>
              <w:rPr>
                <w:sz w:val="20"/>
                <w:szCs w:val="20"/>
                <w:color w:val="auto"/>
              </w:rPr>
            </w:pPr>
            <w:r>
              <w:rPr>
                <w:rFonts w:ascii="Arial" w:cs="Arial" w:eastAsia="Arial" w:hAnsi="Arial"/>
                <w:sz w:val="14"/>
                <w:szCs w:val="14"/>
                <w:color w:val="auto"/>
              </w:rPr>
              <w:t>Chief Financial Officer</w:t>
            </w:r>
          </w:p>
        </w:tc>
        <w:tc>
          <w:tcPr>
            <w:tcW w:w="340" w:type="dxa"/>
            <w:vAlign w:val="bottom"/>
            <w:tcBorders>
              <w:bottom w:val="single" w:sz="8" w:color="404040"/>
            </w:tcBorders>
            <w:shd w:val="clear" w:color="auto" w:fill="F1F3F7"/>
          </w:tcPr>
          <w:p>
            <w:pPr>
              <w:spacing w:after="0"/>
              <w:rPr>
                <w:sz w:val="16"/>
                <w:szCs w:val="16"/>
                <w:color w:val="auto"/>
              </w:rPr>
            </w:pPr>
          </w:p>
        </w:tc>
        <w:tc>
          <w:tcPr>
            <w:tcW w:w="60" w:type="dxa"/>
            <w:vAlign w:val="bottom"/>
            <w:tcBorders>
              <w:bottom w:val="single" w:sz="8" w:color="404040"/>
            </w:tcBorders>
            <w:shd w:val="clear" w:color="auto" w:fill="F1F3F7"/>
          </w:tcPr>
          <w:p>
            <w:pPr>
              <w:spacing w:after="0"/>
              <w:rPr>
                <w:sz w:val="16"/>
                <w:szCs w:val="16"/>
                <w:color w:val="auto"/>
              </w:rPr>
            </w:pPr>
          </w:p>
        </w:tc>
        <w:tc>
          <w:tcPr>
            <w:tcW w:w="800" w:type="dxa"/>
            <w:vAlign w:val="bottom"/>
            <w:tcBorders>
              <w:bottom w:val="single" w:sz="8" w:color="404040"/>
            </w:tcBorders>
            <w:shd w:val="clear" w:color="auto" w:fill="F1F3F7"/>
          </w:tcPr>
          <w:p>
            <w:pPr>
              <w:spacing w:after="0"/>
              <w:rPr>
                <w:sz w:val="16"/>
                <w:szCs w:val="16"/>
                <w:color w:val="auto"/>
              </w:rPr>
            </w:pPr>
          </w:p>
        </w:tc>
        <w:tc>
          <w:tcPr>
            <w:tcW w:w="560" w:type="dxa"/>
            <w:vAlign w:val="bottom"/>
            <w:tcBorders>
              <w:bottom w:val="single" w:sz="8" w:color="404040"/>
            </w:tcBorders>
            <w:shd w:val="clear" w:color="auto" w:fill="F1F3F7"/>
          </w:tcPr>
          <w:p>
            <w:pPr>
              <w:spacing w:after="0"/>
              <w:rPr>
                <w:sz w:val="16"/>
                <w:szCs w:val="16"/>
                <w:color w:val="auto"/>
              </w:rPr>
            </w:pPr>
          </w:p>
        </w:tc>
        <w:tc>
          <w:tcPr>
            <w:tcW w:w="900" w:type="dxa"/>
            <w:vAlign w:val="bottom"/>
            <w:tcBorders>
              <w:bottom w:val="single" w:sz="8" w:color="404040"/>
            </w:tcBorders>
            <w:shd w:val="clear" w:color="auto" w:fill="F1F3F7"/>
          </w:tcPr>
          <w:p>
            <w:pPr>
              <w:spacing w:after="0"/>
              <w:rPr>
                <w:sz w:val="16"/>
                <w:szCs w:val="16"/>
                <w:color w:val="auto"/>
              </w:rPr>
            </w:pPr>
          </w:p>
        </w:tc>
        <w:tc>
          <w:tcPr>
            <w:tcW w:w="780" w:type="dxa"/>
            <w:vAlign w:val="bottom"/>
            <w:tcBorders>
              <w:bottom w:val="single" w:sz="8" w:color="404040"/>
            </w:tcBorders>
            <w:shd w:val="clear" w:color="auto" w:fill="F1F3F7"/>
          </w:tcPr>
          <w:p>
            <w:pPr>
              <w:spacing w:after="0"/>
              <w:rPr>
                <w:sz w:val="16"/>
                <w:szCs w:val="16"/>
                <w:color w:val="auto"/>
              </w:rPr>
            </w:pPr>
          </w:p>
        </w:tc>
        <w:tc>
          <w:tcPr>
            <w:tcW w:w="1180" w:type="dxa"/>
            <w:vAlign w:val="bottom"/>
            <w:tcBorders>
              <w:bottom w:val="single" w:sz="8" w:color="404040"/>
            </w:tcBorders>
            <w:shd w:val="clear" w:color="auto" w:fill="F1F3F7"/>
          </w:tcPr>
          <w:p>
            <w:pPr>
              <w:spacing w:after="0"/>
              <w:rPr>
                <w:sz w:val="16"/>
                <w:szCs w:val="16"/>
                <w:color w:val="auto"/>
              </w:rPr>
            </w:pPr>
          </w:p>
        </w:tc>
        <w:tc>
          <w:tcPr>
            <w:tcW w:w="1160" w:type="dxa"/>
            <w:vAlign w:val="bottom"/>
            <w:tcBorders>
              <w:bottom w:val="single" w:sz="8" w:color="404040"/>
            </w:tcBorders>
            <w:shd w:val="clear" w:color="auto" w:fill="F1F3F7"/>
          </w:tcPr>
          <w:p>
            <w:pPr>
              <w:spacing w:after="0"/>
              <w:rPr>
                <w:sz w:val="16"/>
                <w:szCs w:val="16"/>
                <w:color w:val="auto"/>
              </w:rPr>
            </w:pPr>
          </w:p>
        </w:tc>
        <w:tc>
          <w:tcPr>
            <w:tcW w:w="860" w:type="dxa"/>
            <w:vAlign w:val="bottom"/>
            <w:tcBorders>
              <w:bottom w:val="single" w:sz="8" w:color="404040"/>
            </w:tcBorders>
            <w:shd w:val="clear" w:color="auto" w:fill="F1F3F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Borders>
              <w:right w:val="single" w:sz="8" w:color="F1F3F7"/>
            </w:tcBorders>
          </w:tcPr>
          <w:p>
            <w:pPr>
              <w:ind w:left="60"/>
              <w:spacing w:after="0" w:line="189" w:lineRule="exact"/>
              <w:rPr>
                <w:sz w:val="20"/>
                <w:szCs w:val="20"/>
                <w:color w:val="auto"/>
              </w:rPr>
            </w:pPr>
            <w:r>
              <w:rPr>
                <w:rFonts w:ascii="Arial" w:cs="Arial" w:eastAsia="Arial" w:hAnsi="Arial"/>
                <w:sz w:val="13"/>
                <w:szCs w:val="13"/>
                <w:b w:val="1"/>
                <w:bCs w:val="1"/>
                <w:color w:val="auto"/>
              </w:rPr>
              <w:t>Scott Lovett</w:t>
            </w:r>
            <w:r>
              <w:rPr>
                <w:rFonts w:ascii="Arial" w:cs="Arial" w:eastAsia="Arial" w:hAnsi="Arial"/>
                <w:sz w:val="21"/>
                <w:szCs w:val="21"/>
                <w:color w:val="auto"/>
                <w:vertAlign w:val="superscript"/>
              </w:rPr>
              <w:t>(8)</w:t>
            </w:r>
          </w:p>
        </w:tc>
        <w:tc>
          <w:tcPr>
            <w:tcW w:w="340" w:type="dxa"/>
            <w:vAlign w:val="bottom"/>
            <w:shd w:val="clear" w:color="auto" w:fill="F1F3F7"/>
          </w:tcPr>
          <w:p>
            <w:pPr>
              <w:jc w:val="right"/>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F1F3F7"/>
          </w:tcPr>
          <w:p>
            <w:pPr>
              <w:spacing w:after="0"/>
              <w:rPr>
                <w:sz w:val="16"/>
                <w:szCs w:val="16"/>
                <w:color w:val="auto"/>
              </w:rPr>
            </w:pPr>
          </w:p>
        </w:tc>
        <w:tc>
          <w:tcPr>
            <w:tcW w:w="800" w:type="dxa"/>
            <w:vAlign w:val="bottom"/>
            <w:shd w:val="clear" w:color="auto" w:fill="F1F3F7"/>
          </w:tcPr>
          <w:p>
            <w:pPr>
              <w:ind w:left="60"/>
              <w:spacing w:after="0"/>
              <w:rPr>
                <w:sz w:val="20"/>
                <w:szCs w:val="20"/>
                <w:color w:val="auto"/>
              </w:rPr>
            </w:pPr>
            <w:r>
              <w:rPr>
                <w:rFonts w:ascii="Arial" w:cs="Arial" w:eastAsia="Arial" w:hAnsi="Arial"/>
                <w:sz w:val="14"/>
                <w:szCs w:val="14"/>
                <w:color w:val="auto"/>
              </w:rPr>
              <w:t>450,000</w:t>
            </w:r>
          </w:p>
        </w:tc>
        <w:tc>
          <w:tcPr>
            <w:tcW w:w="560" w:type="dxa"/>
            <w:vAlign w:val="bottom"/>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1F3F7"/>
          </w:tcPr>
          <w:p>
            <w:pPr>
              <w:ind w:left="60"/>
              <w:spacing w:after="0"/>
              <w:rPr>
                <w:sz w:val="20"/>
                <w:szCs w:val="20"/>
                <w:color w:val="auto"/>
              </w:rPr>
            </w:pPr>
            <w:r>
              <w:rPr>
                <w:rFonts w:ascii="Arial" w:cs="Arial" w:eastAsia="Arial" w:hAnsi="Arial"/>
                <w:sz w:val="14"/>
                <w:szCs w:val="14"/>
                <w:color w:val="auto"/>
              </w:rPr>
              <w:t>5,449,308</w:t>
            </w:r>
          </w:p>
        </w:tc>
        <w:tc>
          <w:tcPr>
            <w:tcW w:w="780" w:type="dxa"/>
            <w:vAlign w:val="bottom"/>
            <w:shd w:val="clear" w:color="auto" w:fill="F1F3F7"/>
          </w:tcPr>
          <w:p>
            <w:pPr>
              <w:ind w:left="5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F1F3F7"/>
          </w:tcPr>
          <w:p>
            <w:pPr>
              <w:jc w:val="right"/>
              <w:ind w:right="9"/>
              <w:spacing w:after="0"/>
              <w:rPr>
                <w:sz w:val="20"/>
                <w:szCs w:val="20"/>
                <w:color w:val="auto"/>
              </w:rPr>
            </w:pPr>
            <w:r>
              <w:rPr>
                <w:rFonts w:ascii="Arial" w:cs="Arial" w:eastAsia="Arial" w:hAnsi="Arial"/>
                <w:sz w:val="14"/>
                <w:szCs w:val="14"/>
                <w:color w:val="auto"/>
              </w:rPr>
              <w:t>606,584</w:t>
            </w:r>
          </w:p>
        </w:tc>
        <w:tc>
          <w:tcPr>
            <w:tcW w:w="1160" w:type="dxa"/>
            <w:vAlign w:val="bottom"/>
            <w:shd w:val="clear" w:color="auto" w:fill="F1F3F7"/>
          </w:tcPr>
          <w:p>
            <w:pPr>
              <w:jc w:val="right"/>
              <w:ind w:right="9"/>
              <w:spacing w:after="0"/>
              <w:rPr>
                <w:sz w:val="20"/>
                <w:szCs w:val="20"/>
                <w:color w:val="auto"/>
              </w:rPr>
            </w:pPr>
            <w:r>
              <w:rPr>
                <w:rFonts w:ascii="Arial" w:cs="Arial" w:eastAsia="Arial" w:hAnsi="Arial"/>
                <w:sz w:val="14"/>
                <w:szCs w:val="14"/>
                <w:color w:val="auto"/>
              </w:rPr>
              <w:t>2,000</w:t>
            </w:r>
          </w:p>
        </w:tc>
        <w:tc>
          <w:tcPr>
            <w:tcW w:w="860" w:type="dxa"/>
            <w:vAlign w:val="bottom"/>
            <w:shd w:val="clear" w:color="auto" w:fill="F1F3F7"/>
          </w:tcPr>
          <w:p>
            <w:pPr>
              <w:ind w:left="120"/>
              <w:spacing w:after="0"/>
              <w:rPr>
                <w:sz w:val="20"/>
                <w:szCs w:val="20"/>
                <w:color w:val="auto"/>
              </w:rPr>
            </w:pPr>
            <w:r>
              <w:rPr>
                <w:rFonts w:ascii="Arial" w:cs="Arial" w:eastAsia="Arial" w:hAnsi="Arial"/>
                <w:sz w:val="14"/>
                <w:szCs w:val="14"/>
                <w:color w:val="auto"/>
              </w:rPr>
              <w:t>6,507,892</w:t>
            </w:r>
          </w:p>
        </w:tc>
        <w:tc>
          <w:tcPr>
            <w:tcW w:w="0" w:type="dxa"/>
            <w:vAlign w:val="bottom"/>
          </w:tcPr>
          <w:p>
            <w:pPr>
              <w:spacing w:after="0"/>
              <w:rPr>
                <w:sz w:val="1"/>
                <w:szCs w:val="1"/>
                <w:color w:val="auto"/>
              </w:rPr>
            </w:pPr>
          </w:p>
        </w:tc>
      </w:tr>
      <w:tr>
        <w:trPr>
          <w:trHeight w:val="223"/>
        </w:trPr>
        <w:tc>
          <w:tcPr>
            <w:tcW w:w="1780" w:type="dxa"/>
            <w:vAlign w:val="bottom"/>
            <w:tcBorders>
              <w:bottom w:val="single" w:sz="8" w:color="404040"/>
              <w:right w:val="single" w:sz="8" w:color="F1F3F7"/>
            </w:tcBorders>
          </w:tcPr>
          <w:p>
            <w:pPr>
              <w:ind w:left="60"/>
              <w:spacing w:after="0"/>
              <w:rPr>
                <w:sz w:val="20"/>
                <w:szCs w:val="20"/>
                <w:color w:val="auto"/>
              </w:rPr>
            </w:pPr>
            <w:r>
              <w:rPr>
                <w:rFonts w:ascii="Arial" w:cs="Arial" w:eastAsia="Arial" w:hAnsi="Arial"/>
                <w:sz w:val="14"/>
                <w:szCs w:val="14"/>
                <w:i w:val="1"/>
                <w:iCs w:val="1"/>
                <w:color w:val="auto"/>
              </w:rPr>
              <w:t>President, Go to Market</w:t>
            </w:r>
          </w:p>
        </w:tc>
        <w:tc>
          <w:tcPr>
            <w:tcW w:w="340" w:type="dxa"/>
            <w:vAlign w:val="bottom"/>
            <w:tcBorders>
              <w:bottom w:val="single" w:sz="8" w:color="404040"/>
            </w:tcBorders>
            <w:shd w:val="clear" w:color="auto" w:fill="F1F3F7"/>
          </w:tcPr>
          <w:p>
            <w:pPr>
              <w:jc w:val="right"/>
              <w:spacing w:after="0"/>
              <w:rPr>
                <w:sz w:val="20"/>
                <w:szCs w:val="20"/>
                <w:color w:val="auto"/>
              </w:rPr>
            </w:pPr>
            <w:r>
              <w:rPr>
                <w:rFonts w:ascii="Arial" w:cs="Arial" w:eastAsia="Arial" w:hAnsi="Arial"/>
                <w:sz w:val="14"/>
                <w:szCs w:val="14"/>
                <w:color w:val="auto"/>
              </w:rPr>
              <w:t>2024</w:t>
            </w:r>
          </w:p>
        </w:tc>
        <w:tc>
          <w:tcPr>
            <w:tcW w:w="60" w:type="dxa"/>
            <w:vAlign w:val="bottom"/>
            <w:tcBorders>
              <w:bottom w:val="single" w:sz="8" w:color="404040"/>
            </w:tcBorders>
            <w:shd w:val="clear" w:color="auto" w:fill="F1F3F7"/>
          </w:tcPr>
          <w:p>
            <w:pPr>
              <w:spacing w:after="0"/>
              <w:rPr>
                <w:sz w:val="19"/>
                <w:szCs w:val="19"/>
                <w:color w:val="auto"/>
              </w:rPr>
            </w:pPr>
          </w:p>
        </w:tc>
        <w:tc>
          <w:tcPr>
            <w:tcW w:w="800" w:type="dxa"/>
            <w:vAlign w:val="bottom"/>
            <w:tcBorders>
              <w:bottom w:val="single" w:sz="8" w:color="404040"/>
            </w:tcBorders>
            <w:shd w:val="clear" w:color="auto" w:fill="F1F3F7"/>
          </w:tcPr>
          <w:p>
            <w:pPr>
              <w:ind w:left="60"/>
              <w:spacing w:after="0"/>
              <w:rPr>
                <w:sz w:val="20"/>
                <w:szCs w:val="20"/>
                <w:color w:val="auto"/>
              </w:rPr>
            </w:pPr>
            <w:r>
              <w:rPr>
                <w:rFonts w:ascii="Arial" w:cs="Arial" w:eastAsia="Arial" w:hAnsi="Arial"/>
                <w:sz w:val="14"/>
                <w:szCs w:val="14"/>
                <w:color w:val="auto"/>
              </w:rPr>
              <w:t>262,500</w:t>
            </w:r>
          </w:p>
        </w:tc>
        <w:tc>
          <w:tcPr>
            <w:tcW w:w="560" w:type="dxa"/>
            <w:vAlign w:val="bottom"/>
            <w:tcBorders>
              <w:bottom w:val="single" w:sz="8" w:color="404040"/>
            </w:tcBorders>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404040"/>
            </w:tcBorders>
            <w:shd w:val="clear" w:color="auto" w:fill="F1F3F7"/>
          </w:tcPr>
          <w:p>
            <w:pPr>
              <w:ind w:left="60"/>
              <w:spacing w:after="0"/>
              <w:rPr>
                <w:sz w:val="20"/>
                <w:szCs w:val="20"/>
                <w:color w:val="auto"/>
              </w:rPr>
            </w:pPr>
            <w:r>
              <w:rPr>
                <w:rFonts w:ascii="Arial" w:cs="Arial" w:eastAsia="Arial" w:hAnsi="Arial"/>
                <w:sz w:val="14"/>
                <w:szCs w:val="14"/>
                <w:color w:val="auto"/>
              </w:rPr>
              <w:t>8,742,507</w:t>
            </w:r>
          </w:p>
        </w:tc>
        <w:tc>
          <w:tcPr>
            <w:tcW w:w="780" w:type="dxa"/>
            <w:vAlign w:val="bottom"/>
            <w:tcBorders>
              <w:bottom w:val="single" w:sz="8" w:color="404040"/>
            </w:tcBorders>
            <w:shd w:val="clear" w:color="auto" w:fill="F1F3F7"/>
          </w:tcPr>
          <w:p>
            <w:pPr>
              <w:ind w:left="5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404040"/>
            </w:tcBorders>
            <w:shd w:val="clear" w:color="auto" w:fill="F1F3F7"/>
          </w:tcPr>
          <w:p>
            <w:pPr>
              <w:jc w:val="right"/>
              <w:ind w:right="9"/>
              <w:spacing w:after="0"/>
              <w:rPr>
                <w:sz w:val="20"/>
                <w:szCs w:val="20"/>
                <w:color w:val="auto"/>
              </w:rPr>
            </w:pPr>
            <w:r>
              <w:rPr>
                <w:rFonts w:ascii="Arial" w:cs="Arial" w:eastAsia="Arial" w:hAnsi="Arial"/>
                <w:sz w:val="14"/>
                <w:szCs w:val="14"/>
                <w:color w:val="auto"/>
              </w:rPr>
              <w:t>236,583</w:t>
            </w:r>
          </w:p>
        </w:tc>
        <w:tc>
          <w:tcPr>
            <w:tcW w:w="1160" w:type="dxa"/>
            <w:vAlign w:val="bottom"/>
            <w:tcBorders>
              <w:bottom w:val="single" w:sz="8" w:color="404040"/>
            </w:tcBorders>
            <w:shd w:val="clear" w:color="auto" w:fill="F1F3F7"/>
          </w:tcPr>
          <w:p>
            <w:pPr>
              <w:jc w:val="right"/>
              <w:ind w:right="9"/>
              <w:spacing w:after="0"/>
              <w:rPr>
                <w:sz w:val="20"/>
                <w:szCs w:val="20"/>
                <w:color w:val="auto"/>
              </w:rPr>
            </w:pPr>
            <w:r>
              <w:rPr>
                <w:rFonts w:ascii="Arial" w:cs="Arial" w:eastAsia="Arial" w:hAnsi="Arial"/>
                <w:sz w:val="14"/>
                <w:szCs w:val="14"/>
                <w:color w:val="auto"/>
              </w:rPr>
              <w:t>2,105</w:t>
            </w:r>
          </w:p>
        </w:tc>
        <w:tc>
          <w:tcPr>
            <w:tcW w:w="860" w:type="dxa"/>
            <w:vAlign w:val="bottom"/>
            <w:tcBorders>
              <w:bottom w:val="single" w:sz="8" w:color="404040"/>
            </w:tcBorders>
            <w:shd w:val="clear" w:color="auto" w:fill="F1F3F7"/>
          </w:tcPr>
          <w:p>
            <w:pPr>
              <w:ind w:left="120"/>
              <w:spacing w:after="0"/>
              <w:rPr>
                <w:sz w:val="20"/>
                <w:szCs w:val="20"/>
                <w:color w:val="auto"/>
              </w:rPr>
            </w:pPr>
            <w:r>
              <w:rPr>
                <w:rFonts w:ascii="Arial" w:cs="Arial" w:eastAsia="Arial" w:hAnsi="Arial"/>
                <w:sz w:val="14"/>
                <w:szCs w:val="14"/>
                <w:color w:val="auto"/>
              </w:rPr>
              <w:t>9,243,695</w:t>
            </w:r>
          </w:p>
        </w:tc>
        <w:tc>
          <w:tcPr>
            <w:tcW w:w="0" w:type="dxa"/>
            <w:vAlign w:val="bottom"/>
          </w:tcPr>
          <w:p>
            <w:pPr>
              <w:spacing w:after="0"/>
              <w:rPr>
                <w:sz w:val="1"/>
                <w:szCs w:val="1"/>
                <w:color w:val="auto"/>
              </w:rPr>
            </w:pPr>
          </w:p>
        </w:tc>
      </w:tr>
      <w:tr>
        <w:trPr>
          <w:trHeight w:val="189"/>
        </w:trPr>
        <w:tc>
          <w:tcPr>
            <w:tcW w:w="1780" w:type="dxa"/>
            <w:vAlign w:val="bottom"/>
            <w:tcBorders>
              <w:right w:val="single" w:sz="8" w:color="F1F3F7"/>
            </w:tcBorders>
          </w:tcPr>
          <w:p>
            <w:pPr>
              <w:ind w:left="60"/>
              <w:spacing w:after="0" w:line="189" w:lineRule="exact"/>
              <w:rPr>
                <w:sz w:val="20"/>
                <w:szCs w:val="20"/>
                <w:color w:val="auto"/>
              </w:rPr>
            </w:pPr>
            <w:r>
              <w:rPr>
                <w:rFonts w:ascii="Arial" w:cs="Arial" w:eastAsia="Arial" w:hAnsi="Arial"/>
                <w:sz w:val="13"/>
                <w:szCs w:val="13"/>
                <w:b w:val="1"/>
                <w:bCs w:val="1"/>
                <w:color w:val="auto"/>
              </w:rPr>
              <w:t>Todd Nightingale</w:t>
            </w:r>
            <w:r>
              <w:rPr>
                <w:rFonts w:ascii="Arial" w:cs="Arial" w:eastAsia="Arial" w:hAnsi="Arial"/>
                <w:sz w:val="21"/>
                <w:szCs w:val="21"/>
                <w:color w:val="auto"/>
                <w:vertAlign w:val="superscript"/>
              </w:rPr>
              <w:t>(9)</w:t>
            </w:r>
          </w:p>
        </w:tc>
        <w:tc>
          <w:tcPr>
            <w:tcW w:w="340" w:type="dxa"/>
            <w:vAlign w:val="bottom"/>
            <w:shd w:val="clear" w:color="auto" w:fill="F1F3F7"/>
          </w:tcPr>
          <w:p>
            <w:pPr>
              <w:jc w:val="right"/>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F1F3F7"/>
          </w:tcPr>
          <w:p>
            <w:pPr>
              <w:spacing w:after="0"/>
              <w:rPr>
                <w:sz w:val="16"/>
                <w:szCs w:val="16"/>
                <w:color w:val="auto"/>
              </w:rPr>
            </w:pPr>
          </w:p>
        </w:tc>
        <w:tc>
          <w:tcPr>
            <w:tcW w:w="800" w:type="dxa"/>
            <w:vAlign w:val="bottom"/>
            <w:shd w:val="clear" w:color="auto" w:fill="F1F3F7"/>
          </w:tcPr>
          <w:p>
            <w:pPr>
              <w:ind w:left="60"/>
              <w:spacing w:after="0"/>
              <w:rPr>
                <w:sz w:val="20"/>
                <w:szCs w:val="20"/>
                <w:color w:val="auto"/>
              </w:rPr>
            </w:pPr>
            <w:r>
              <w:rPr>
                <w:rFonts w:ascii="Arial" w:cs="Arial" w:eastAsia="Arial" w:hAnsi="Arial"/>
                <w:sz w:val="14"/>
                <w:szCs w:val="14"/>
                <w:color w:val="auto"/>
              </w:rPr>
              <w:t>300,000</w:t>
            </w:r>
          </w:p>
        </w:tc>
        <w:tc>
          <w:tcPr>
            <w:tcW w:w="560" w:type="dxa"/>
            <w:vAlign w:val="bottom"/>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1F3F7"/>
          </w:tcPr>
          <w:p>
            <w:pPr>
              <w:ind w:left="60"/>
              <w:spacing w:after="0"/>
              <w:rPr>
                <w:sz w:val="20"/>
                <w:szCs w:val="20"/>
                <w:color w:val="auto"/>
              </w:rPr>
            </w:pPr>
            <w:r>
              <w:rPr>
                <w:rFonts w:ascii="Arial" w:cs="Arial" w:eastAsia="Arial" w:hAnsi="Arial"/>
                <w:sz w:val="14"/>
                <w:szCs w:val="14"/>
                <w:color w:val="auto"/>
              </w:rPr>
              <w:t>6,070,684</w:t>
            </w:r>
          </w:p>
        </w:tc>
        <w:tc>
          <w:tcPr>
            <w:tcW w:w="780" w:type="dxa"/>
            <w:vAlign w:val="bottom"/>
            <w:shd w:val="clear" w:color="auto" w:fill="F1F3F7"/>
          </w:tcPr>
          <w:p>
            <w:pPr>
              <w:ind w:left="5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F1F3F7"/>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3F7"/>
          </w:tcPr>
          <w:p>
            <w:pPr>
              <w:jc w:val="right"/>
              <w:ind w:right="9"/>
              <w:spacing w:after="0"/>
              <w:rPr>
                <w:sz w:val="20"/>
                <w:szCs w:val="20"/>
                <w:color w:val="auto"/>
              </w:rPr>
            </w:pPr>
            <w:r>
              <w:rPr>
                <w:rFonts w:ascii="Arial" w:cs="Arial" w:eastAsia="Arial" w:hAnsi="Arial"/>
                <w:sz w:val="14"/>
                <w:szCs w:val="14"/>
                <w:color w:val="auto"/>
              </w:rPr>
              <w:t>2,000</w:t>
            </w:r>
          </w:p>
        </w:tc>
        <w:tc>
          <w:tcPr>
            <w:tcW w:w="860" w:type="dxa"/>
            <w:vAlign w:val="bottom"/>
            <w:shd w:val="clear" w:color="auto" w:fill="F1F3F7"/>
          </w:tcPr>
          <w:p>
            <w:pPr>
              <w:ind w:left="120"/>
              <w:spacing w:after="0"/>
              <w:rPr>
                <w:sz w:val="20"/>
                <w:szCs w:val="20"/>
                <w:color w:val="auto"/>
              </w:rPr>
            </w:pPr>
            <w:r>
              <w:rPr>
                <w:rFonts w:ascii="Arial" w:cs="Arial" w:eastAsia="Arial" w:hAnsi="Arial"/>
                <w:sz w:val="14"/>
                <w:szCs w:val="14"/>
                <w:color w:val="auto"/>
              </w:rPr>
              <w:t>6,372,684</w:t>
            </w:r>
          </w:p>
        </w:tc>
        <w:tc>
          <w:tcPr>
            <w:tcW w:w="0" w:type="dxa"/>
            <w:vAlign w:val="bottom"/>
          </w:tcPr>
          <w:p>
            <w:pPr>
              <w:spacing w:after="0"/>
              <w:rPr>
                <w:sz w:val="1"/>
                <w:szCs w:val="1"/>
                <w:color w:val="auto"/>
              </w:rPr>
            </w:pPr>
          </w:p>
        </w:tc>
      </w:tr>
      <w:tr>
        <w:trPr>
          <w:trHeight w:val="183"/>
        </w:trPr>
        <w:tc>
          <w:tcPr>
            <w:tcW w:w="1780" w:type="dxa"/>
            <w:vAlign w:val="bottom"/>
            <w:tcBorders>
              <w:right w:val="single" w:sz="8" w:color="F1F3F7"/>
            </w:tcBorders>
          </w:tcPr>
          <w:p>
            <w:pPr>
              <w:ind w:left="60"/>
              <w:spacing w:after="0"/>
              <w:rPr>
                <w:sz w:val="20"/>
                <w:szCs w:val="20"/>
                <w:color w:val="auto"/>
              </w:rPr>
            </w:pPr>
            <w:r>
              <w:rPr>
                <w:rFonts w:ascii="Arial" w:cs="Arial" w:eastAsia="Arial" w:hAnsi="Arial"/>
                <w:sz w:val="14"/>
                <w:szCs w:val="14"/>
                <w:i w:val="1"/>
                <w:iCs w:val="1"/>
                <w:color w:val="auto"/>
              </w:rPr>
              <w:t>Former CEO and</w:t>
            </w:r>
          </w:p>
        </w:tc>
        <w:tc>
          <w:tcPr>
            <w:tcW w:w="340" w:type="dxa"/>
            <w:vAlign w:val="bottom"/>
            <w:shd w:val="clear" w:color="auto" w:fill="F1F3F7"/>
          </w:tcPr>
          <w:p>
            <w:pPr>
              <w:jc w:val="right"/>
              <w:spacing w:after="0"/>
              <w:rPr>
                <w:sz w:val="20"/>
                <w:szCs w:val="20"/>
                <w:color w:val="auto"/>
              </w:rPr>
            </w:pPr>
            <w:r>
              <w:rPr>
                <w:rFonts w:ascii="Arial" w:cs="Arial" w:eastAsia="Arial" w:hAnsi="Arial"/>
                <w:sz w:val="14"/>
                <w:szCs w:val="14"/>
                <w:color w:val="auto"/>
              </w:rPr>
              <w:t>2024</w:t>
            </w:r>
          </w:p>
        </w:tc>
        <w:tc>
          <w:tcPr>
            <w:tcW w:w="60" w:type="dxa"/>
            <w:vAlign w:val="bottom"/>
            <w:shd w:val="clear" w:color="auto" w:fill="F1F3F7"/>
          </w:tcPr>
          <w:p>
            <w:pPr>
              <w:spacing w:after="0"/>
              <w:rPr>
                <w:sz w:val="15"/>
                <w:szCs w:val="15"/>
                <w:color w:val="auto"/>
              </w:rPr>
            </w:pPr>
          </w:p>
        </w:tc>
        <w:tc>
          <w:tcPr>
            <w:tcW w:w="800" w:type="dxa"/>
            <w:vAlign w:val="bottom"/>
            <w:shd w:val="clear" w:color="auto" w:fill="F1F3F7"/>
          </w:tcPr>
          <w:p>
            <w:pPr>
              <w:ind w:left="60"/>
              <w:spacing w:after="0"/>
              <w:rPr>
                <w:sz w:val="20"/>
                <w:szCs w:val="20"/>
                <w:color w:val="auto"/>
              </w:rPr>
            </w:pPr>
            <w:r>
              <w:rPr>
                <w:rFonts w:ascii="Arial" w:cs="Arial" w:eastAsia="Arial" w:hAnsi="Arial"/>
                <w:sz w:val="14"/>
                <w:szCs w:val="14"/>
                <w:color w:val="auto"/>
              </w:rPr>
              <w:t>600,000</w:t>
            </w:r>
          </w:p>
        </w:tc>
        <w:tc>
          <w:tcPr>
            <w:tcW w:w="560" w:type="dxa"/>
            <w:vAlign w:val="bottom"/>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1F3F7"/>
          </w:tcPr>
          <w:p>
            <w:pPr>
              <w:ind w:left="60"/>
              <w:spacing w:after="0"/>
              <w:rPr>
                <w:sz w:val="20"/>
                <w:szCs w:val="20"/>
                <w:color w:val="auto"/>
              </w:rPr>
            </w:pPr>
            <w:r>
              <w:rPr>
                <w:rFonts w:ascii="Arial" w:cs="Arial" w:eastAsia="Arial" w:hAnsi="Arial"/>
                <w:sz w:val="14"/>
                <w:szCs w:val="14"/>
                <w:color w:val="auto"/>
              </w:rPr>
              <w:t>6,862,414</w:t>
            </w:r>
          </w:p>
        </w:tc>
        <w:tc>
          <w:tcPr>
            <w:tcW w:w="780" w:type="dxa"/>
            <w:vAlign w:val="bottom"/>
            <w:shd w:val="clear" w:color="auto" w:fill="F1F3F7"/>
          </w:tcPr>
          <w:p>
            <w:pPr>
              <w:ind w:left="5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F1F3F7"/>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3F7"/>
          </w:tcPr>
          <w:p>
            <w:pPr>
              <w:jc w:val="right"/>
              <w:ind w:right="9"/>
              <w:spacing w:after="0"/>
              <w:rPr>
                <w:sz w:val="20"/>
                <w:szCs w:val="20"/>
                <w:color w:val="auto"/>
              </w:rPr>
            </w:pPr>
            <w:r>
              <w:rPr>
                <w:rFonts w:ascii="Arial" w:cs="Arial" w:eastAsia="Arial" w:hAnsi="Arial"/>
                <w:sz w:val="14"/>
                <w:szCs w:val="14"/>
                <w:color w:val="auto"/>
              </w:rPr>
              <w:t>2,180</w:t>
            </w:r>
          </w:p>
        </w:tc>
        <w:tc>
          <w:tcPr>
            <w:tcW w:w="860" w:type="dxa"/>
            <w:vAlign w:val="bottom"/>
            <w:shd w:val="clear" w:color="auto" w:fill="F1F3F7"/>
          </w:tcPr>
          <w:p>
            <w:pPr>
              <w:ind w:left="120"/>
              <w:spacing w:after="0"/>
              <w:rPr>
                <w:sz w:val="20"/>
                <w:szCs w:val="20"/>
                <w:color w:val="auto"/>
              </w:rPr>
            </w:pPr>
            <w:r>
              <w:rPr>
                <w:rFonts w:ascii="Arial" w:cs="Arial" w:eastAsia="Arial" w:hAnsi="Arial"/>
                <w:sz w:val="14"/>
                <w:szCs w:val="14"/>
                <w:color w:val="auto"/>
              </w:rPr>
              <w:t>7,464,594</w:t>
            </w:r>
          </w:p>
        </w:tc>
        <w:tc>
          <w:tcPr>
            <w:tcW w:w="0" w:type="dxa"/>
            <w:vAlign w:val="bottom"/>
          </w:tcPr>
          <w:p>
            <w:pPr>
              <w:spacing w:after="0"/>
              <w:rPr>
                <w:sz w:val="1"/>
                <w:szCs w:val="1"/>
                <w:color w:val="auto"/>
              </w:rPr>
            </w:pPr>
          </w:p>
        </w:tc>
      </w:tr>
      <w:tr>
        <w:trPr>
          <w:trHeight w:val="188"/>
        </w:trPr>
        <w:tc>
          <w:tcPr>
            <w:tcW w:w="1780" w:type="dxa"/>
            <w:vAlign w:val="bottom"/>
            <w:tcBorders>
              <w:right w:val="single" w:sz="8" w:color="F1F3F7"/>
            </w:tcBorders>
          </w:tcPr>
          <w:p>
            <w:pPr>
              <w:ind w:left="60"/>
              <w:spacing w:after="0"/>
              <w:rPr>
                <w:sz w:val="20"/>
                <w:szCs w:val="20"/>
                <w:color w:val="auto"/>
              </w:rPr>
            </w:pPr>
            <w:r>
              <w:rPr>
                <w:rFonts w:ascii="Arial" w:cs="Arial" w:eastAsia="Arial" w:hAnsi="Arial"/>
                <w:sz w:val="14"/>
                <w:szCs w:val="14"/>
                <w:i w:val="1"/>
                <w:iCs w:val="1"/>
                <w:color w:val="auto"/>
              </w:rPr>
              <w:t>Director</w:t>
            </w:r>
          </w:p>
        </w:tc>
        <w:tc>
          <w:tcPr>
            <w:tcW w:w="340" w:type="dxa"/>
            <w:vAlign w:val="bottom"/>
            <w:vMerge w:val="restart"/>
            <w:shd w:val="clear" w:color="auto" w:fill="F1F3F7"/>
          </w:tcPr>
          <w:p>
            <w:pPr>
              <w:jc w:val="right"/>
              <w:spacing w:after="0"/>
              <w:rPr>
                <w:sz w:val="20"/>
                <w:szCs w:val="20"/>
                <w:color w:val="auto"/>
              </w:rPr>
            </w:pPr>
            <w:r>
              <w:rPr>
                <w:rFonts w:ascii="Arial" w:cs="Arial" w:eastAsia="Arial" w:hAnsi="Arial"/>
                <w:sz w:val="14"/>
                <w:szCs w:val="14"/>
                <w:color w:val="auto"/>
              </w:rPr>
              <w:t>2023</w:t>
            </w:r>
          </w:p>
        </w:tc>
        <w:tc>
          <w:tcPr>
            <w:tcW w:w="60" w:type="dxa"/>
            <w:vAlign w:val="bottom"/>
            <w:shd w:val="clear" w:color="auto" w:fill="F1F3F7"/>
          </w:tcPr>
          <w:p>
            <w:pPr>
              <w:spacing w:after="0"/>
              <w:rPr>
                <w:sz w:val="16"/>
                <w:szCs w:val="16"/>
                <w:color w:val="auto"/>
              </w:rPr>
            </w:pPr>
          </w:p>
        </w:tc>
        <w:tc>
          <w:tcPr>
            <w:tcW w:w="800" w:type="dxa"/>
            <w:vAlign w:val="bottom"/>
            <w:vMerge w:val="restart"/>
            <w:shd w:val="clear" w:color="auto" w:fill="F1F3F7"/>
          </w:tcPr>
          <w:p>
            <w:pPr>
              <w:ind w:left="60"/>
              <w:spacing w:after="0"/>
              <w:rPr>
                <w:sz w:val="20"/>
                <w:szCs w:val="20"/>
                <w:color w:val="auto"/>
              </w:rPr>
            </w:pPr>
            <w:r>
              <w:rPr>
                <w:rFonts w:ascii="Arial" w:cs="Arial" w:eastAsia="Arial" w:hAnsi="Arial"/>
                <w:sz w:val="14"/>
                <w:szCs w:val="14"/>
                <w:color w:val="auto"/>
              </w:rPr>
              <w:t>600,000</w:t>
            </w:r>
          </w:p>
        </w:tc>
        <w:tc>
          <w:tcPr>
            <w:tcW w:w="560" w:type="dxa"/>
            <w:vAlign w:val="bottom"/>
            <w:vMerge w:val="restart"/>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F1F3F7"/>
          </w:tcPr>
          <w:p>
            <w:pPr>
              <w:ind w:left="60"/>
              <w:spacing w:after="0"/>
              <w:rPr>
                <w:sz w:val="20"/>
                <w:szCs w:val="20"/>
                <w:color w:val="auto"/>
              </w:rPr>
            </w:pPr>
            <w:r>
              <w:rPr>
                <w:rFonts w:ascii="Arial" w:cs="Arial" w:eastAsia="Arial" w:hAnsi="Arial"/>
                <w:sz w:val="14"/>
                <w:szCs w:val="14"/>
                <w:color w:val="auto"/>
              </w:rPr>
              <w:t>8,978,088</w:t>
            </w:r>
          </w:p>
        </w:tc>
        <w:tc>
          <w:tcPr>
            <w:tcW w:w="780" w:type="dxa"/>
            <w:vAlign w:val="bottom"/>
            <w:vMerge w:val="restart"/>
            <w:shd w:val="clear" w:color="auto" w:fill="F1F3F7"/>
          </w:tcPr>
          <w:p>
            <w:pPr>
              <w:ind w:left="54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F1F3F7"/>
          </w:tcPr>
          <w:p>
            <w:pPr>
              <w:jc w:val="right"/>
              <w:ind w:right="9"/>
              <w:spacing w:after="0"/>
              <w:rPr>
                <w:sz w:val="20"/>
                <w:szCs w:val="20"/>
                <w:color w:val="auto"/>
              </w:rPr>
            </w:pPr>
            <w:r>
              <w:rPr>
                <w:rFonts w:ascii="Arial" w:cs="Arial" w:eastAsia="Arial" w:hAnsi="Arial"/>
                <w:sz w:val="14"/>
                <w:szCs w:val="14"/>
                <w:color w:val="auto"/>
              </w:rPr>
              <w:t>586,200</w:t>
            </w:r>
          </w:p>
        </w:tc>
        <w:tc>
          <w:tcPr>
            <w:tcW w:w="1160" w:type="dxa"/>
            <w:vAlign w:val="bottom"/>
            <w:vMerge w:val="restart"/>
            <w:shd w:val="clear" w:color="auto" w:fill="F1F3F7"/>
          </w:tcPr>
          <w:p>
            <w:pPr>
              <w:jc w:val="right"/>
              <w:ind w:right="9"/>
              <w:spacing w:after="0"/>
              <w:rPr>
                <w:sz w:val="20"/>
                <w:szCs w:val="20"/>
                <w:color w:val="auto"/>
              </w:rPr>
            </w:pPr>
            <w:r>
              <w:rPr>
                <w:rFonts w:ascii="Arial" w:cs="Arial" w:eastAsia="Arial" w:hAnsi="Arial"/>
                <w:sz w:val="14"/>
                <w:szCs w:val="14"/>
                <w:color w:val="auto"/>
              </w:rPr>
              <w:t>1,180</w:t>
            </w:r>
          </w:p>
        </w:tc>
        <w:tc>
          <w:tcPr>
            <w:tcW w:w="860" w:type="dxa"/>
            <w:vAlign w:val="bottom"/>
            <w:vMerge w:val="restart"/>
            <w:shd w:val="clear" w:color="auto" w:fill="F1F3F7"/>
          </w:tcPr>
          <w:p>
            <w:pPr>
              <w:ind w:left="40"/>
              <w:spacing w:after="0"/>
              <w:rPr>
                <w:sz w:val="20"/>
                <w:szCs w:val="20"/>
                <w:color w:val="auto"/>
              </w:rPr>
            </w:pPr>
            <w:r>
              <w:rPr>
                <w:rFonts w:ascii="Arial" w:cs="Arial" w:eastAsia="Arial" w:hAnsi="Arial"/>
                <w:sz w:val="14"/>
                <w:szCs w:val="14"/>
                <w:color w:val="auto"/>
              </w:rPr>
              <w:t>10,165,468</w:t>
            </w:r>
          </w:p>
        </w:tc>
        <w:tc>
          <w:tcPr>
            <w:tcW w:w="0" w:type="dxa"/>
            <w:vAlign w:val="bottom"/>
          </w:tcPr>
          <w:p>
            <w:pPr>
              <w:spacing w:after="0"/>
              <w:rPr>
                <w:sz w:val="1"/>
                <w:szCs w:val="1"/>
                <w:color w:val="auto"/>
              </w:rPr>
            </w:pPr>
          </w:p>
        </w:tc>
      </w:tr>
      <w:tr>
        <w:trPr>
          <w:trHeight w:val="68"/>
        </w:trPr>
        <w:tc>
          <w:tcPr>
            <w:tcW w:w="1780" w:type="dxa"/>
            <w:vAlign w:val="bottom"/>
            <w:tcBorders>
              <w:bottom w:val="single" w:sz="8" w:color="404040"/>
              <w:right w:val="single" w:sz="8" w:color="F1F3F7"/>
            </w:tcBorders>
          </w:tcPr>
          <w:p>
            <w:pPr>
              <w:spacing w:after="0"/>
              <w:rPr>
                <w:sz w:val="5"/>
                <w:szCs w:val="5"/>
                <w:color w:val="auto"/>
              </w:rPr>
            </w:pPr>
          </w:p>
        </w:tc>
        <w:tc>
          <w:tcPr>
            <w:tcW w:w="340" w:type="dxa"/>
            <w:vAlign w:val="bottom"/>
            <w:tcBorders>
              <w:bottom w:val="single" w:sz="8" w:color="404040"/>
            </w:tcBorders>
            <w:vMerge w:val="continue"/>
            <w:shd w:val="clear" w:color="auto" w:fill="F1F3F7"/>
          </w:tcPr>
          <w:p>
            <w:pPr>
              <w:spacing w:after="0"/>
              <w:rPr>
                <w:sz w:val="5"/>
                <w:szCs w:val="5"/>
                <w:color w:val="auto"/>
              </w:rPr>
            </w:pPr>
          </w:p>
        </w:tc>
        <w:tc>
          <w:tcPr>
            <w:tcW w:w="60" w:type="dxa"/>
            <w:vAlign w:val="bottom"/>
            <w:tcBorders>
              <w:bottom w:val="single" w:sz="8" w:color="404040"/>
            </w:tcBorders>
            <w:shd w:val="clear" w:color="auto" w:fill="F1F3F7"/>
          </w:tcPr>
          <w:p>
            <w:pPr>
              <w:spacing w:after="0"/>
              <w:rPr>
                <w:sz w:val="5"/>
                <w:szCs w:val="5"/>
                <w:color w:val="auto"/>
              </w:rPr>
            </w:pPr>
          </w:p>
        </w:tc>
        <w:tc>
          <w:tcPr>
            <w:tcW w:w="800" w:type="dxa"/>
            <w:vAlign w:val="bottom"/>
            <w:tcBorders>
              <w:bottom w:val="single" w:sz="8" w:color="404040"/>
            </w:tcBorders>
            <w:vMerge w:val="continue"/>
            <w:shd w:val="clear" w:color="auto" w:fill="F1F3F7"/>
          </w:tcPr>
          <w:p>
            <w:pPr>
              <w:spacing w:after="0"/>
              <w:rPr>
                <w:sz w:val="5"/>
                <w:szCs w:val="5"/>
                <w:color w:val="auto"/>
              </w:rPr>
            </w:pPr>
          </w:p>
        </w:tc>
        <w:tc>
          <w:tcPr>
            <w:tcW w:w="560" w:type="dxa"/>
            <w:vAlign w:val="bottom"/>
            <w:tcBorders>
              <w:bottom w:val="single" w:sz="8" w:color="404040"/>
            </w:tcBorders>
            <w:vMerge w:val="continue"/>
            <w:shd w:val="clear" w:color="auto" w:fill="F1F3F7"/>
          </w:tcPr>
          <w:p>
            <w:pPr>
              <w:spacing w:after="0"/>
              <w:rPr>
                <w:sz w:val="5"/>
                <w:szCs w:val="5"/>
                <w:color w:val="auto"/>
              </w:rPr>
            </w:pPr>
          </w:p>
        </w:tc>
        <w:tc>
          <w:tcPr>
            <w:tcW w:w="900" w:type="dxa"/>
            <w:vAlign w:val="bottom"/>
            <w:tcBorders>
              <w:bottom w:val="single" w:sz="8" w:color="404040"/>
            </w:tcBorders>
            <w:vMerge w:val="continue"/>
            <w:shd w:val="clear" w:color="auto" w:fill="F1F3F7"/>
          </w:tcPr>
          <w:p>
            <w:pPr>
              <w:spacing w:after="0"/>
              <w:rPr>
                <w:sz w:val="5"/>
                <w:szCs w:val="5"/>
                <w:color w:val="auto"/>
              </w:rPr>
            </w:pPr>
          </w:p>
        </w:tc>
        <w:tc>
          <w:tcPr>
            <w:tcW w:w="780" w:type="dxa"/>
            <w:vAlign w:val="bottom"/>
            <w:tcBorders>
              <w:bottom w:val="single" w:sz="8" w:color="404040"/>
            </w:tcBorders>
            <w:vMerge w:val="continue"/>
            <w:shd w:val="clear" w:color="auto" w:fill="F1F3F7"/>
          </w:tcPr>
          <w:p>
            <w:pPr>
              <w:spacing w:after="0"/>
              <w:rPr>
                <w:sz w:val="5"/>
                <w:szCs w:val="5"/>
                <w:color w:val="auto"/>
              </w:rPr>
            </w:pPr>
          </w:p>
        </w:tc>
        <w:tc>
          <w:tcPr>
            <w:tcW w:w="1180" w:type="dxa"/>
            <w:vAlign w:val="bottom"/>
            <w:tcBorders>
              <w:bottom w:val="single" w:sz="8" w:color="404040"/>
            </w:tcBorders>
            <w:vMerge w:val="continue"/>
            <w:shd w:val="clear" w:color="auto" w:fill="F1F3F7"/>
          </w:tcPr>
          <w:p>
            <w:pPr>
              <w:spacing w:after="0"/>
              <w:rPr>
                <w:sz w:val="5"/>
                <w:szCs w:val="5"/>
                <w:color w:val="auto"/>
              </w:rPr>
            </w:pPr>
          </w:p>
        </w:tc>
        <w:tc>
          <w:tcPr>
            <w:tcW w:w="1160" w:type="dxa"/>
            <w:vAlign w:val="bottom"/>
            <w:tcBorders>
              <w:bottom w:val="single" w:sz="8" w:color="404040"/>
            </w:tcBorders>
            <w:vMerge w:val="continue"/>
            <w:shd w:val="clear" w:color="auto" w:fill="F1F3F7"/>
          </w:tcPr>
          <w:p>
            <w:pPr>
              <w:spacing w:after="0"/>
              <w:rPr>
                <w:sz w:val="5"/>
                <w:szCs w:val="5"/>
                <w:color w:val="auto"/>
              </w:rPr>
            </w:pPr>
          </w:p>
        </w:tc>
        <w:tc>
          <w:tcPr>
            <w:tcW w:w="860" w:type="dxa"/>
            <w:vAlign w:val="bottom"/>
            <w:tcBorders>
              <w:bottom w:val="single" w:sz="8" w:color="404040"/>
            </w:tcBorders>
            <w:vMerge w:val="continue"/>
            <w:shd w:val="clear" w:color="auto" w:fill="F1F3F7"/>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780" w:type="dxa"/>
            <w:vAlign w:val="bottom"/>
            <w:tcBorders>
              <w:right w:val="single" w:sz="8" w:color="F1F3F7"/>
            </w:tcBorders>
          </w:tcPr>
          <w:p>
            <w:pPr>
              <w:ind w:left="60"/>
              <w:spacing w:after="0" w:line="189" w:lineRule="exact"/>
              <w:rPr>
                <w:sz w:val="20"/>
                <w:szCs w:val="20"/>
                <w:color w:val="auto"/>
              </w:rPr>
            </w:pPr>
            <w:r>
              <w:rPr>
                <w:rFonts w:ascii="Arial" w:cs="Arial" w:eastAsia="Arial" w:hAnsi="Arial"/>
                <w:sz w:val="13"/>
                <w:szCs w:val="13"/>
                <w:b w:val="1"/>
                <w:bCs w:val="1"/>
                <w:color w:val="auto"/>
              </w:rPr>
              <w:t>Ronald Kisling</w:t>
            </w:r>
            <w:r>
              <w:rPr>
                <w:rFonts w:ascii="Arial" w:cs="Arial" w:eastAsia="Arial" w:hAnsi="Arial"/>
                <w:sz w:val="21"/>
                <w:szCs w:val="21"/>
                <w:color w:val="auto"/>
                <w:vertAlign w:val="superscript"/>
              </w:rPr>
              <w:t>(10)</w:t>
            </w:r>
          </w:p>
        </w:tc>
        <w:tc>
          <w:tcPr>
            <w:tcW w:w="340" w:type="dxa"/>
            <w:vAlign w:val="bottom"/>
            <w:shd w:val="clear" w:color="auto" w:fill="F1F3F7"/>
          </w:tcPr>
          <w:p>
            <w:pPr>
              <w:jc w:val="right"/>
              <w:spacing w:after="0"/>
              <w:rPr>
                <w:sz w:val="20"/>
                <w:szCs w:val="20"/>
                <w:color w:val="auto"/>
              </w:rPr>
            </w:pPr>
            <w:r>
              <w:rPr>
                <w:rFonts w:ascii="Arial" w:cs="Arial" w:eastAsia="Arial" w:hAnsi="Arial"/>
                <w:sz w:val="14"/>
                <w:szCs w:val="14"/>
                <w:color w:val="auto"/>
              </w:rPr>
              <w:t>2025</w:t>
            </w:r>
          </w:p>
        </w:tc>
        <w:tc>
          <w:tcPr>
            <w:tcW w:w="60" w:type="dxa"/>
            <w:vAlign w:val="bottom"/>
            <w:shd w:val="clear" w:color="auto" w:fill="F1F3F7"/>
          </w:tcPr>
          <w:p>
            <w:pPr>
              <w:spacing w:after="0"/>
              <w:rPr>
                <w:sz w:val="16"/>
                <w:szCs w:val="16"/>
                <w:color w:val="auto"/>
              </w:rPr>
            </w:pPr>
          </w:p>
        </w:tc>
        <w:tc>
          <w:tcPr>
            <w:tcW w:w="800" w:type="dxa"/>
            <w:vAlign w:val="bottom"/>
            <w:shd w:val="clear" w:color="auto" w:fill="F1F3F7"/>
          </w:tcPr>
          <w:p>
            <w:pPr>
              <w:ind w:left="60"/>
              <w:spacing w:after="0"/>
              <w:rPr>
                <w:sz w:val="20"/>
                <w:szCs w:val="20"/>
                <w:color w:val="auto"/>
              </w:rPr>
            </w:pPr>
            <w:r>
              <w:rPr>
                <w:rFonts w:ascii="Arial" w:cs="Arial" w:eastAsia="Arial" w:hAnsi="Arial"/>
                <w:sz w:val="14"/>
                <w:szCs w:val="14"/>
                <w:color w:val="auto"/>
              </w:rPr>
              <w:t>411,154</w:t>
            </w:r>
          </w:p>
        </w:tc>
        <w:tc>
          <w:tcPr>
            <w:tcW w:w="560" w:type="dxa"/>
            <w:vAlign w:val="bottom"/>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1F3F7"/>
          </w:tcPr>
          <w:p>
            <w:pPr>
              <w:ind w:left="60"/>
              <w:spacing w:after="0"/>
              <w:rPr>
                <w:sz w:val="20"/>
                <w:szCs w:val="20"/>
                <w:color w:val="auto"/>
              </w:rPr>
            </w:pPr>
            <w:r>
              <w:rPr>
                <w:rFonts w:ascii="Arial" w:cs="Arial" w:eastAsia="Arial" w:hAnsi="Arial"/>
                <w:sz w:val="14"/>
                <w:szCs w:val="14"/>
                <w:color w:val="auto"/>
              </w:rPr>
              <w:t>2,331,251</w:t>
            </w:r>
          </w:p>
        </w:tc>
        <w:tc>
          <w:tcPr>
            <w:tcW w:w="780" w:type="dxa"/>
            <w:vAlign w:val="bottom"/>
            <w:shd w:val="clear" w:color="auto" w:fill="F1F3F7"/>
          </w:tcPr>
          <w:p>
            <w:pPr>
              <w:ind w:left="5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F1F3F7"/>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3F7"/>
          </w:tcPr>
          <w:p>
            <w:pPr>
              <w:jc w:val="right"/>
              <w:spacing w:after="0"/>
              <w:rPr>
                <w:sz w:val="20"/>
                <w:szCs w:val="20"/>
                <w:color w:val="auto"/>
              </w:rPr>
            </w:pPr>
            <w:r>
              <w:rPr>
                <w:rFonts w:ascii="Arial" w:cs="Arial" w:eastAsia="Arial" w:hAnsi="Arial"/>
                <w:sz w:val="14"/>
                <w:szCs w:val="14"/>
                <w:color w:val="auto"/>
              </w:rPr>
              <w:t>570,605</w:t>
            </w:r>
          </w:p>
        </w:tc>
        <w:tc>
          <w:tcPr>
            <w:tcW w:w="860" w:type="dxa"/>
            <w:vAlign w:val="bottom"/>
            <w:shd w:val="clear" w:color="auto" w:fill="F1F3F7"/>
          </w:tcPr>
          <w:p>
            <w:pPr>
              <w:ind w:left="120"/>
              <w:spacing w:after="0"/>
              <w:rPr>
                <w:sz w:val="20"/>
                <w:szCs w:val="20"/>
                <w:color w:val="auto"/>
              </w:rPr>
            </w:pPr>
            <w:r>
              <w:rPr>
                <w:rFonts w:ascii="Arial" w:cs="Arial" w:eastAsia="Arial" w:hAnsi="Arial"/>
                <w:sz w:val="14"/>
                <w:szCs w:val="14"/>
                <w:color w:val="auto"/>
              </w:rPr>
              <w:t>3,313,011</w:t>
            </w:r>
          </w:p>
        </w:tc>
        <w:tc>
          <w:tcPr>
            <w:tcW w:w="0" w:type="dxa"/>
            <w:vAlign w:val="bottom"/>
          </w:tcPr>
          <w:p>
            <w:pPr>
              <w:spacing w:after="0"/>
              <w:rPr>
                <w:sz w:val="1"/>
                <w:szCs w:val="1"/>
                <w:color w:val="auto"/>
              </w:rPr>
            </w:pPr>
          </w:p>
        </w:tc>
      </w:tr>
      <w:tr>
        <w:trPr>
          <w:trHeight w:val="183"/>
        </w:trPr>
        <w:tc>
          <w:tcPr>
            <w:tcW w:w="1780" w:type="dxa"/>
            <w:vAlign w:val="bottom"/>
            <w:tcBorders>
              <w:right w:val="single" w:sz="8" w:color="F1F3F7"/>
            </w:tcBorders>
          </w:tcPr>
          <w:p>
            <w:pPr>
              <w:ind w:left="60"/>
              <w:spacing w:after="0"/>
              <w:rPr>
                <w:sz w:val="20"/>
                <w:szCs w:val="20"/>
                <w:color w:val="auto"/>
              </w:rPr>
            </w:pPr>
            <w:r>
              <w:rPr>
                <w:rFonts w:ascii="Arial" w:cs="Arial" w:eastAsia="Arial" w:hAnsi="Arial"/>
                <w:sz w:val="14"/>
                <w:szCs w:val="14"/>
                <w:i w:val="1"/>
                <w:iCs w:val="1"/>
                <w:color w:val="auto"/>
              </w:rPr>
              <w:t>Former Chief Financial</w:t>
            </w:r>
          </w:p>
        </w:tc>
        <w:tc>
          <w:tcPr>
            <w:tcW w:w="340" w:type="dxa"/>
            <w:vAlign w:val="bottom"/>
            <w:shd w:val="clear" w:color="auto" w:fill="F1F3F7"/>
          </w:tcPr>
          <w:p>
            <w:pPr>
              <w:jc w:val="right"/>
              <w:spacing w:after="0"/>
              <w:rPr>
                <w:sz w:val="20"/>
                <w:szCs w:val="20"/>
                <w:color w:val="auto"/>
              </w:rPr>
            </w:pPr>
            <w:r>
              <w:rPr>
                <w:rFonts w:ascii="Arial" w:cs="Arial" w:eastAsia="Arial" w:hAnsi="Arial"/>
                <w:sz w:val="14"/>
                <w:szCs w:val="14"/>
                <w:color w:val="auto"/>
              </w:rPr>
              <w:t>2024</w:t>
            </w:r>
          </w:p>
        </w:tc>
        <w:tc>
          <w:tcPr>
            <w:tcW w:w="60" w:type="dxa"/>
            <w:vAlign w:val="bottom"/>
            <w:shd w:val="clear" w:color="auto" w:fill="F1F3F7"/>
          </w:tcPr>
          <w:p>
            <w:pPr>
              <w:spacing w:after="0"/>
              <w:rPr>
                <w:sz w:val="15"/>
                <w:szCs w:val="15"/>
                <w:color w:val="auto"/>
              </w:rPr>
            </w:pPr>
          </w:p>
        </w:tc>
        <w:tc>
          <w:tcPr>
            <w:tcW w:w="800" w:type="dxa"/>
            <w:vAlign w:val="bottom"/>
            <w:shd w:val="clear" w:color="auto" w:fill="F1F3F7"/>
          </w:tcPr>
          <w:p>
            <w:pPr>
              <w:ind w:left="60"/>
              <w:spacing w:after="0"/>
              <w:rPr>
                <w:sz w:val="20"/>
                <w:szCs w:val="20"/>
                <w:color w:val="auto"/>
              </w:rPr>
            </w:pPr>
            <w:r>
              <w:rPr>
                <w:rFonts w:ascii="Arial" w:cs="Arial" w:eastAsia="Arial" w:hAnsi="Arial"/>
                <w:sz w:val="14"/>
                <w:szCs w:val="14"/>
                <w:color w:val="auto"/>
              </w:rPr>
              <w:t>600,000</w:t>
            </w:r>
          </w:p>
        </w:tc>
        <w:tc>
          <w:tcPr>
            <w:tcW w:w="560" w:type="dxa"/>
            <w:vAlign w:val="bottom"/>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F1F3F7"/>
          </w:tcPr>
          <w:p>
            <w:pPr>
              <w:ind w:left="60"/>
              <w:spacing w:after="0"/>
              <w:rPr>
                <w:sz w:val="20"/>
                <w:szCs w:val="20"/>
                <w:color w:val="auto"/>
              </w:rPr>
            </w:pPr>
            <w:r>
              <w:rPr>
                <w:rFonts w:ascii="Arial" w:cs="Arial" w:eastAsia="Arial" w:hAnsi="Arial"/>
                <w:sz w:val="14"/>
                <w:szCs w:val="14"/>
                <w:color w:val="auto"/>
              </w:rPr>
              <w:t>2,654,968</w:t>
            </w:r>
          </w:p>
        </w:tc>
        <w:tc>
          <w:tcPr>
            <w:tcW w:w="780" w:type="dxa"/>
            <w:vAlign w:val="bottom"/>
            <w:shd w:val="clear" w:color="auto" w:fill="F1F3F7"/>
          </w:tcPr>
          <w:p>
            <w:pPr>
              <w:ind w:left="540"/>
              <w:spacing w:after="0"/>
              <w:rPr>
                <w:sz w:val="20"/>
                <w:szCs w:val="20"/>
                <w:color w:val="auto"/>
              </w:rPr>
            </w:pPr>
            <w:r>
              <w:rPr>
                <w:rFonts w:ascii="Arial" w:cs="Arial" w:eastAsia="Arial" w:hAnsi="Arial"/>
                <w:sz w:val="14"/>
                <w:szCs w:val="14"/>
                <w:color w:val="auto"/>
              </w:rPr>
              <w:t>—</w:t>
            </w:r>
          </w:p>
        </w:tc>
        <w:tc>
          <w:tcPr>
            <w:tcW w:w="1180" w:type="dxa"/>
            <w:vAlign w:val="bottom"/>
            <w:shd w:val="clear" w:color="auto" w:fill="F1F3F7"/>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shd w:val="clear" w:color="auto" w:fill="F1F3F7"/>
          </w:tcPr>
          <w:p>
            <w:pPr>
              <w:jc w:val="right"/>
              <w:ind w:right="9"/>
              <w:spacing w:after="0"/>
              <w:rPr>
                <w:sz w:val="20"/>
                <w:szCs w:val="20"/>
                <w:color w:val="auto"/>
              </w:rPr>
            </w:pPr>
            <w:r>
              <w:rPr>
                <w:rFonts w:ascii="Arial" w:cs="Arial" w:eastAsia="Arial" w:hAnsi="Arial"/>
                <w:sz w:val="14"/>
                <w:szCs w:val="14"/>
                <w:color w:val="auto"/>
              </w:rPr>
              <w:t>2,180</w:t>
            </w:r>
          </w:p>
        </w:tc>
        <w:tc>
          <w:tcPr>
            <w:tcW w:w="860" w:type="dxa"/>
            <w:vAlign w:val="bottom"/>
            <w:shd w:val="clear" w:color="auto" w:fill="F1F3F7"/>
          </w:tcPr>
          <w:p>
            <w:pPr>
              <w:ind w:left="120"/>
              <w:spacing w:after="0"/>
              <w:rPr>
                <w:sz w:val="20"/>
                <w:szCs w:val="20"/>
                <w:color w:val="auto"/>
              </w:rPr>
            </w:pPr>
            <w:r>
              <w:rPr>
                <w:rFonts w:ascii="Arial" w:cs="Arial" w:eastAsia="Arial" w:hAnsi="Arial"/>
                <w:sz w:val="14"/>
                <w:szCs w:val="14"/>
                <w:color w:val="auto"/>
              </w:rPr>
              <w:t>3,257,148</w:t>
            </w:r>
          </w:p>
        </w:tc>
        <w:tc>
          <w:tcPr>
            <w:tcW w:w="0" w:type="dxa"/>
            <w:vAlign w:val="bottom"/>
          </w:tcPr>
          <w:p>
            <w:pPr>
              <w:spacing w:after="0"/>
              <w:rPr>
                <w:sz w:val="1"/>
                <w:szCs w:val="1"/>
                <w:color w:val="auto"/>
              </w:rPr>
            </w:pPr>
          </w:p>
        </w:tc>
      </w:tr>
      <w:tr>
        <w:trPr>
          <w:trHeight w:val="223"/>
        </w:trPr>
        <w:tc>
          <w:tcPr>
            <w:tcW w:w="1780" w:type="dxa"/>
            <w:vAlign w:val="bottom"/>
            <w:tcBorders>
              <w:right w:val="single" w:sz="8" w:color="F1F3F7"/>
            </w:tcBorders>
          </w:tcPr>
          <w:p>
            <w:pPr>
              <w:ind w:left="60"/>
              <w:spacing w:after="0"/>
              <w:rPr>
                <w:sz w:val="20"/>
                <w:szCs w:val="20"/>
                <w:color w:val="auto"/>
              </w:rPr>
            </w:pPr>
            <w:r>
              <w:rPr>
                <w:rFonts w:ascii="Arial" w:cs="Arial" w:eastAsia="Arial" w:hAnsi="Arial"/>
                <w:sz w:val="14"/>
                <w:szCs w:val="14"/>
                <w:i w:val="1"/>
                <w:iCs w:val="1"/>
                <w:color w:val="auto"/>
              </w:rPr>
              <w:t>Officer</w:t>
            </w:r>
          </w:p>
        </w:tc>
        <w:tc>
          <w:tcPr>
            <w:tcW w:w="340" w:type="dxa"/>
            <w:vAlign w:val="bottom"/>
            <w:tcBorders>
              <w:bottom w:val="single" w:sz="8" w:color="F1F3F7"/>
            </w:tcBorders>
            <w:shd w:val="clear" w:color="auto" w:fill="F1F3F7"/>
          </w:tcPr>
          <w:p>
            <w:pPr>
              <w:jc w:val="right"/>
              <w:spacing w:after="0"/>
              <w:rPr>
                <w:sz w:val="20"/>
                <w:szCs w:val="20"/>
                <w:color w:val="auto"/>
              </w:rPr>
            </w:pPr>
            <w:r>
              <w:rPr>
                <w:rFonts w:ascii="Arial" w:cs="Arial" w:eastAsia="Arial" w:hAnsi="Arial"/>
                <w:sz w:val="14"/>
                <w:szCs w:val="14"/>
                <w:color w:val="auto"/>
              </w:rPr>
              <w:t>2023</w:t>
            </w:r>
          </w:p>
        </w:tc>
        <w:tc>
          <w:tcPr>
            <w:tcW w:w="60" w:type="dxa"/>
            <w:vAlign w:val="bottom"/>
            <w:tcBorders>
              <w:bottom w:val="single" w:sz="8" w:color="F1F3F7"/>
            </w:tcBorders>
            <w:shd w:val="clear" w:color="auto" w:fill="F1F3F7"/>
          </w:tcPr>
          <w:p>
            <w:pPr>
              <w:spacing w:after="0"/>
              <w:rPr>
                <w:sz w:val="19"/>
                <w:szCs w:val="19"/>
                <w:color w:val="auto"/>
              </w:rPr>
            </w:pPr>
          </w:p>
        </w:tc>
        <w:tc>
          <w:tcPr>
            <w:tcW w:w="800" w:type="dxa"/>
            <w:vAlign w:val="bottom"/>
            <w:tcBorders>
              <w:bottom w:val="single" w:sz="8" w:color="F1F3F7"/>
            </w:tcBorders>
            <w:shd w:val="clear" w:color="auto" w:fill="F1F3F7"/>
          </w:tcPr>
          <w:p>
            <w:pPr>
              <w:ind w:left="60"/>
              <w:spacing w:after="0"/>
              <w:rPr>
                <w:sz w:val="20"/>
                <w:szCs w:val="20"/>
                <w:color w:val="auto"/>
              </w:rPr>
            </w:pPr>
            <w:r>
              <w:rPr>
                <w:rFonts w:ascii="Arial" w:cs="Arial" w:eastAsia="Arial" w:hAnsi="Arial"/>
                <w:sz w:val="14"/>
                <w:szCs w:val="14"/>
                <w:color w:val="auto"/>
              </w:rPr>
              <w:t>600,000</w:t>
            </w:r>
          </w:p>
        </w:tc>
        <w:tc>
          <w:tcPr>
            <w:tcW w:w="560" w:type="dxa"/>
            <w:vAlign w:val="bottom"/>
            <w:tcBorders>
              <w:bottom w:val="single" w:sz="8" w:color="F1F3F7"/>
            </w:tcBorders>
            <w:shd w:val="clear" w:color="auto" w:fill="F1F3F7"/>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F1F3F7"/>
            </w:tcBorders>
            <w:shd w:val="clear" w:color="auto" w:fill="F1F3F7"/>
          </w:tcPr>
          <w:p>
            <w:pPr>
              <w:ind w:left="60"/>
              <w:spacing w:after="0"/>
              <w:rPr>
                <w:sz w:val="20"/>
                <w:szCs w:val="20"/>
                <w:color w:val="auto"/>
              </w:rPr>
            </w:pPr>
            <w:r>
              <w:rPr>
                <w:rFonts w:ascii="Arial" w:cs="Arial" w:eastAsia="Arial" w:hAnsi="Arial"/>
                <w:sz w:val="14"/>
                <w:szCs w:val="14"/>
                <w:color w:val="auto"/>
              </w:rPr>
              <w:t>4,016,131</w:t>
            </w:r>
          </w:p>
        </w:tc>
        <w:tc>
          <w:tcPr>
            <w:tcW w:w="780" w:type="dxa"/>
            <w:vAlign w:val="bottom"/>
            <w:tcBorders>
              <w:bottom w:val="single" w:sz="8" w:color="F1F3F7"/>
            </w:tcBorders>
            <w:shd w:val="clear" w:color="auto" w:fill="F1F3F7"/>
          </w:tcPr>
          <w:p>
            <w:pPr>
              <w:ind w:left="5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F1F3F7"/>
            </w:tcBorders>
            <w:shd w:val="clear" w:color="auto" w:fill="F1F3F7"/>
          </w:tcPr>
          <w:p>
            <w:pPr>
              <w:jc w:val="right"/>
              <w:ind w:right="29"/>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F1F3F7"/>
            </w:tcBorders>
            <w:shd w:val="clear" w:color="auto" w:fill="F1F3F7"/>
          </w:tcPr>
          <w:p>
            <w:pPr>
              <w:jc w:val="right"/>
              <w:ind w:right="9"/>
              <w:spacing w:after="0"/>
              <w:rPr>
                <w:sz w:val="20"/>
                <w:szCs w:val="20"/>
                <w:color w:val="auto"/>
              </w:rPr>
            </w:pPr>
            <w:r>
              <w:rPr>
                <w:rFonts w:ascii="Arial" w:cs="Arial" w:eastAsia="Arial" w:hAnsi="Arial"/>
                <w:sz w:val="14"/>
                <w:szCs w:val="14"/>
                <w:color w:val="auto"/>
              </w:rPr>
              <w:t>1,180</w:t>
            </w:r>
          </w:p>
        </w:tc>
        <w:tc>
          <w:tcPr>
            <w:tcW w:w="860" w:type="dxa"/>
            <w:vAlign w:val="bottom"/>
            <w:tcBorders>
              <w:bottom w:val="single" w:sz="8" w:color="F1F3F7"/>
            </w:tcBorders>
            <w:shd w:val="clear" w:color="auto" w:fill="F1F3F7"/>
          </w:tcPr>
          <w:p>
            <w:pPr>
              <w:ind w:left="120"/>
              <w:spacing w:after="0"/>
              <w:rPr>
                <w:sz w:val="20"/>
                <w:szCs w:val="20"/>
                <w:color w:val="auto"/>
              </w:rPr>
            </w:pPr>
            <w:r>
              <w:rPr>
                <w:rFonts w:ascii="Arial" w:cs="Arial" w:eastAsia="Arial" w:hAnsi="Arial"/>
                <w:sz w:val="14"/>
                <w:szCs w:val="14"/>
                <w:color w:val="auto"/>
              </w:rPr>
              <w:t>4,617,311</w:t>
            </w:r>
          </w:p>
        </w:tc>
        <w:tc>
          <w:tcPr>
            <w:tcW w:w="0" w:type="dxa"/>
            <w:vAlign w:val="bottom"/>
          </w:tcPr>
          <w:p>
            <w:pPr>
              <w:spacing w:after="0"/>
              <w:rPr>
                <w:sz w:val="1"/>
                <w:szCs w:val="1"/>
                <w:color w:val="auto"/>
              </w:rPr>
            </w:pPr>
          </w:p>
        </w:tc>
      </w:tr>
      <w:tr>
        <w:trPr>
          <w:trHeight w:val="20"/>
        </w:trPr>
        <w:tc>
          <w:tcPr>
            <w:tcW w:w="1780" w:type="dxa"/>
            <w:vAlign w:val="bottom"/>
            <w:tcBorders>
              <w:right w:val="single" w:sz="8" w:color="404040"/>
            </w:tcBorders>
            <w:shd w:val="clear" w:color="auto" w:fill="404040"/>
          </w:tcPr>
          <w:p>
            <w:pPr>
              <w:spacing w:after="0" w:line="20" w:lineRule="exact"/>
              <w:rPr>
                <w:sz w:val="1"/>
                <w:szCs w:val="1"/>
                <w:color w:val="auto"/>
              </w:rPr>
            </w:pPr>
          </w:p>
        </w:tc>
        <w:tc>
          <w:tcPr>
            <w:tcW w:w="340" w:type="dxa"/>
            <w:vAlign w:val="bottom"/>
            <w:shd w:val="clear" w:color="auto" w:fill="404040"/>
          </w:tcPr>
          <w:p>
            <w:pPr>
              <w:spacing w:after="0" w:line="20" w:lineRule="exact"/>
              <w:rPr>
                <w:sz w:val="1"/>
                <w:szCs w:val="1"/>
                <w:color w:val="auto"/>
              </w:rPr>
            </w:pPr>
          </w:p>
        </w:tc>
        <w:tc>
          <w:tcPr>
            <w:tcW w:w="60" w:type="dxa"/>
            <w:vAlign w:val="bottom"/>
            <w:shd w:val="clear" w:color="auto" w:fill="404040"/>
          </w:tcPr>
          <w:p>
            <w:pPr>
              <w:spacing w:after="0" w:line="20" w:lineRule="exact"/>
              <w:rPr>
                <w:sz w:val="1"/>
                <w:szCs w:val="1"/>
                <w:color w:val="auto"/>
              </w:rPr>
            </w:pPr>
          </w:p>
        </w:tc>
        <w:tc>
          <w:tcPr>
            <w:tcW w:w="800" w:type="dxa"/>
            <w:vAlign w:val="bottom"/>
            <w:shd w:val="clear" w:color="auto" w:fill="404040"/>
          </w:tcPr>
          <w:p>
            <w:pPr>
              <w:spacing w:after="0" w:line="20" w:lineRule="exact"/>
              <w:rPr>
                <w:sz w:val="1"/>
                <w:szCs w:val="1"/>
                <w:color w:val="auto"/>
              </w:rPr>
            </w:pPr>
          </w:p>
        </w:tc>
        <w:tc>
          <w:tcPr>
            <w:tcW w:w="560" w:type="dxa"/>
            <w:vAlign w:val="bottom"/>
            <w:shd w:val="clear" w:color="auto" w:fill="404040"/>
          </w:tcPr>
          <w:p>
            <w:pPr>
              <w:spacing w:after="0" w:line="20" w:lineRule="exact"/>
              <w:rPr>
                <w:sz w:val="1"/>
                <w:szCs w:val="1"/>
                <w:color w:val="auto"/>
              </w:rPr>
            </w:pPr>
          </w:p>
        </w:tc>
        <w:tc>
          <w:tcPr>
            <w:tcW w:w="900" w:type="dxa"/>
            <w:vAlign w:val="bottom"/>
            <w:shd w:val="clear" w:color="auto" w:fill="404040"/>
          </w:tcPr>
          <w:p>
            <w:pPr>
              <w:spacing w:after="0" w:line="20" w:lineRule="exact"/>
              <w:rPr>
                <w:sz w:val="1"/>
                <w:szCs w:val="1"/>
                <w:color w:val="auto"/>
              </w:rPr>
            </w:pPr>
          </w:p>
        </w:tc>
        <w:tc>
          <w:tcPr>
            <w:tcW w:w="780" w:type="dxa"/>
            <w:vAlign w:val="bottom"/>
            <w:shd w:val="clear" w:color="auto" w:fill="404040"/>
          </w:tcPr>
          <w:p>
            <w:pPr>
              <w:spacing w:after="0" w:line="20" w:lineRule="exact"/>
              <w:rPr>
                <w:sz w:val="1"/>
                <w:szCs w:val="1"/>
                <w:color w:val="auto"/>
              </w:rPr>
            </w:pPr>
          </w:p>
        </w:tc>
        <w:tc>
          <w:tcPr>
            <w:tcW w:w="1180" w:type="dxa"/>
            <w:vAlign w:val="bottom"/>
            <w:shd w:val="clear" w:color="auto" w:fill="404040"/>
          </w:tcPr>
          <w:p>
            <w:pPr>
              <w:spacing w:after="0" w:line="20" w:lineRule="exact"/>
              <w:rPr>
                <w:sz w:val="1"/>
                <w:szCs w:val="1"/>
                <w:color w:val="auto"/>
              </w:rPr>
            </w:pPr>
          </w:p>
        </w:tc>
        <w:tc>
          <w:tcPr>
            <w:tcW w:w="1160" w:type="dxa"/>
            <w:vAlign w:val="bottom"/>
            <w:shd w:val="clear" w:color="auto" w:fill="404040"/>
          </w:tcPr>
          <w:p>
            <w:pPr>
              <w:spacing w:after="0" w:line="20" w:lineRule="exact"/>
              <w:rPr>
                <w:sz w:val="1"/>
                <w:szCs w:val="1"/>
                <w:color w:val="auto"/>
              </w:rPr>
            </w:pPr>
          </w:p>
        </w:tc>
        <w:tc>
          <w:tcPr>
            <w:tcW w:w="860" w:type="dxa"/>
            <w:vAlign w:val="bottom"/>
            <w:shd w:val="clear" w:color="auto" w:fill="40404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left="1000" w:right="299" w:hanging="348"/>
        <w:spacing w:after="0" w:line="239" w:lineRule="auto"/>
        <w:tabs>
          <w:tab w:leader="none" w:pos="1000" w:val="left"/>
        </w:tabs>
        <w:numPr>
          <w:ilvl w:val="0"/>
          <w:numId w:val="41"/>
        </w:numPr>
        <w:rPr>
          <w:rFonts w:ascii="Arial" w:cs="Arial" w:eastAsia="Arial" w:hAnsi="Arial"/>
          <w:sz w:val="12"/>
          <w:szCs w:val="12"/>
          <w:color w:val="auto"/>
        </w:rPr>
      </w:pPr>
      <w:r>
        <w:rPr>
          <w:rFonts w:ascii="Arial" w:cs="Arial" w:eastAsia="Arial" w:hAnsi="Arial"/>
          <w:sz w:val="12"/>
          <w:szCs w:val="12"/>
          <w:color w:val="auto"/>
        </w:rPr>
        <w:t>Amounts shown in this column do not reflect dollar amounts actually received by our Named Executive Officers. Instead, in accordance with SEC rules, these amounts reflect the aggregate grant date fair value of RSUs and PSUs granted, and the incremental fair value of RSUs and PSUs modified, in each case, computed in accordance with ASC Topic 718. Assumptions used in the calculation of these amounts are included in Note 10 to our Consolidated Financial Statements and included in our Annual Report, filed with the SEC on February 25, 2026. The value of the Financial PSU awards granted in 2025 on the grant date, assuming the highest level of performance would have been achieved, is $674,750 and $2,038,745 for Mr. Compton’s PSU awards granted in his role as Chief Product Officer and CEO, respectively, $1,303,117 for Mr. Bergman, $843,442, $291,238, and $2,912,488 for Mr. Lovett’s PSU awards granted in his role as Chief Revenue Officer and the two PSU awards granted in his role as President, Go to Market, respectively, $2,474,147 for Mr. Nightingale, and $702,872 for Mr. Kisling, which is based on maximum vesting of the 2025 PSU awards multiplied by the closing price of our common stock on the grant date. The Kisling Separation Agreement also modified certain outstanding RSUs and PSUs, including Financial PSUs and Stock Price Hurdle PSUs (as defined in footnote 15 to the Outstanding Equity Awards as of Fiscal Year-End Table); however, because the incremental fair value of those modifications was negative under ASC 718, they are treated as $0 and no amounts are reported in this table for those awards in accordance with SEC rules.</w:t>
      </w:r>
    </w:p>
    <w:p>
      <w:pPr>
        <w:spacing w:after="0" w:line="11" w:lineRule="exact"/>
        <w:rPr>
          <w:rFonts w:ascii="Arial" w:cs="Arial" w:eastAsia="Arial" w:hAnsi="Arial"/>
          <w:sz w:val="12"/>
          <w:szCs w:val="12"/>
          <w:color w:val="auto"/>
        </w:rPr>
      </w:pPr>
    </w:p>
    <w:p>
      <w:pPr>
        <w:ind w:left="1000" w:right="319" w:hanging="348"/>
        <w:spacing w:after="0" w:line="241"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Amounts reported in this column for 2025 represent commissions for Mr. Lovett. See “Compensation Discussion and Analysis—Principal Elements of Compensation—Commission Plan.”</w:t>
      </w:r>
    </w:p>
    <w:p>
      <w:pPr>
        <w:jc w:val="both"/>
        <w:ind w:left="1000" w:right="299" w:hanging="348"/>
        <w:spacing w:after="0" w:line="222"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amounts included in this column include, for (i) Mr. Compton, $20,000 for reimbursement for legal fees as set forth in his offer letter dated June 13, 2025 as included as Exhibit 10.1 in the Form 8-K filed with the SEC on June 13, 2025 and $20,634, the tax gross-up associated with the aforementioned legal fees, $3,085 paid by us for spousal travel for a business trip, and $2,000 in 401(k) plan contributions; (ii) Mr. Kisling, $568,605 in severance payments to Mr. Kisling pursuant to the Kisling Separation Agreement, which is comprised of $562,500 cash severance and $6,105 COBRA reimbursement, and $2,000 in 401(k) plan contributions; (iii) Mr. Wong, $1,607 in tax gross-ups associated with reimbursement of legal fees in connection with his hiring and $2,000 in 401(k) plan contributions, and (iv) Messrs. Lovett and Nightingale, $2,000 in 401(k) contributions.</w:t>
      </w:r>
    </w:p>
    <w:p>
      <w:pPr>
        <w:spacing w:after="0" w:line="13" w:lineRule="exact"/>
        <w:rPr>
          <w:rFonts w:ascii="Arial" w:cs="Arial" w:eastAsia="Arial" w:hAnsi="Arial"/>
          <w:sz w:val="13"/>
          <w:szCs w:val="13"/>
          <w:color w:val="auto"/>
        </w:rPr>
      </w:pPr>
    </w:p>
    <w:p>
      <w:pPr>
        <w:ind w:left="1000" w:right="299" w:hanging="348"/>
        <w:spacing w:after="0" w:line="243"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Mr. Compton served as our Chief Product Officer until June 16, 2025, at which time he was appointed as our CEO. The amount reported in this row reflects the totals earned by Mr. Compton in each of these capacities during fiscal year 2025.</w:t>
      </w:r>
    </w:p>
    <w:p>
      <w:pPr>
        <w:spacing w:after="0" w:line="7" w:lineRule="exact"/>
        <w:rPr>
          <w:rFonts w:ascii="Arial" w:cs="Arial" w:eastAsia="Arial" w:hAnsi="Arial"/>
          <w:sz w:val="13"/>
          <w:szCs w:val="13"/>
          <w:color w:val="auto"/>
        </w:rPr>
      </w:pPr>
    </w:p>
    <w:p>
      <w:pPr>
        <w:jc w:val="both"/>
        <w:ind w:left="1000" w:right="299" w:hanging="348"/>
        <w:spacing w:after="0" w:line="225"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Amount reported reflects Mr. Bergman’s annual base salary. In 2025, Mr. Bergman was eligible to reduce his base salary to a lesser amount (in no event lower than the applicable minimum wage) and receive reimbursement for private aircraft usage for his business travel and an RSU award with a total value not to exceed the amount of such reduction. Mr. Bergman elected to reduce his base salary to the applicable minimum wage in exchange for eligibility for reimbursement of private aircraft usage for his business travel and RSUs granted in lieu of base salary in an equal portion. The aggregate grant date fair value of RSU awards granted to him pursuant to his election to receive RSUs in lieu of salary was $228,332.</w:t>
      </w:r>
    </w:p>
    <w:p>
      <w:pPr>
        <w:ind w:left="1000" w:right="299" w:hanging="348"/>
        <w:spacing w:after="0" w:line="238"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Amounts reported in this column include $6,574 which represents the difference between the intended value of Mr. Bergman’s RSUs granted in lieu of base salary pursuant to the salary election described in footnote 5 above and the grant date fair value of such award.</w:t>
      </w:r>
    </w:p>
    <w:p>
      <w:pPr>
        <w:spacing w:after="0" w:line="10" w:lineRule="exact"/>
        <w:rPr>
          <w:rFonts w:ascii="Arial" w:cs="Arial" w:eastAsia="Arial" w:hAnsi="Arial"/>
          <w:sz w:val="13"/>
          <w:szCs w:val="13"/>
          <w:color w:val="auto"/>
        </w:rPr>
      </w:pPr>
    </w:p>
    <w:p>
      <w:pPr>
        <w:ind w:left="1000" w:right="299" w:hanging="348"/>
        <w:spacing w:after="0" w:line="243"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On August 7, 2025, Mr. Wong was appointed as Senior Advisor to the CEO, and effective as of August 11, 2025, as our Chief Financial Officer. The amount in the Salary column reflects his salary earned for the partial year of service.</w:t>
      </w:r>
    </w:p>
    <w:p>
      <w:pPr>
        <w:spacing w:after="0" w:line="7" w:lineRule="exact"/>
        <w:rPr>
          <w:rFonts w:ascii="Arial" w:cs="Arial" w:eastAsia="Arial" w:hAnsi="Arial"/>
          <w:sz w:val="13"/>
          <w:szCs w:val="13"/>
          <w:color w:val="auto"/>
        </w:rPr>
      </w:pPr>
    </w:p>
    <w:p>
      <w:pPr>
        <w:ind w:left="1000" w:right="319" w:hanging="348"/>
        <w:spacing w:after="0" w:line="241"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Mr. Lovett served as our Chief Revenue Officer until August 6, 2025, at which time he was promoted to President, Go to Market. The amount reported in this row reflects the totals earned by Mr. Lovett in each of these capacities during fiscal year 2025.</w:t>
      </w:r>
    </w:p>
    <w:p>
      <w:pPr>
        <w:jc w:val="both"/>
        <w:ind w:left="1000" w:right="299" w:hanging="348"/>
        <w:spacing w:after="0" w:line="227"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On June 12, 2025, Mr. Nightingale notified the Company of his decision to resign as Chief Executive Officer, effective June 16, 2025, and the amount in the Salary column reflects his salary earned for the partial year of service. The amount in the Stock Awards column includes the value of Mr. Nightingale’s Financial PSU and rTSR PSU awards on the grant date as further described in footnote 1 to this table. Mr. Nightingale forfeited all of his Financial PSU and rTSR PSU awards because of his resignation.</w:t>
      </w:r>
    </w:p>
    <w:p>
      <w:pPr>
        <w:spacing w:after="0" w:line="10" w:lineRule="exact"/>
        <w:rPr>
          <w:rFonts w:ascii="Arial" w:cs="Arial" w:eastAsia="Arial" w:hAnsi="Arial"/>
          <w:sz w:val="13"/>
          <w:szCs w:val="13"/>
          <w:color w:val="auto"/>
        </w:rPr>
      </w:pPr>
    </w:p>
    <w:p>
      <w:pPr>
        <w:jc w:val="both"/>
        <w:ind w:left="1000" w:right="299" w:hanging="348"/>
        <w:spacing w:after="0" w:line="223" w:lineRule="auto"/>
        <w:tabs>
          <w:tab w:leader="none" w:pos="1000" w:val="left"/>
        </w:tabs>
        <w:numPr>
          <w:ilvl w:val="0"/>
          <w:numId w:val="41"/>
        </w:numPr>
        <w:rPr>
          <w:rFonts w:ascii="Arial" w:cs="Arial" w:eastAsia="Arial" w:hAnsi="Arial"/>
          <w:sz w:val="13"/>
          <w:szCs w:val="13"/>
          <w:color w:val="auto"/>
        </w:rPr>
      </w:pPr>
      <w:r>
        <w:rPr>
          <w:rFonts w:ascii="Arial" w:cs="Arial" w:eastAsia="Arial" w:hAnsi="Arial"/>
          <w:sz w:val="13"/>
          <w:szCs w:val="13"/>
          <w:color w:val="auto"/>
        </w:rPr>
        <w:t>Mr. Kisling ceased serving as our Chief Financial Officer on August 11, 2025. The amount in the Salary column reflects his salary earned for the partial year of service. The amount in the Stock Awards column includes the grant date fair value of Mr. Kisling’s RSUs, Financial PSU, and rTSR PSU awards on the grant date as further described in footnote 1 to this table. The amount of Mr. Kisling’s RSU, Financial PSU, rTSR PSU, and Stock Price Hurdle PSU awards were adjusted pursuant to the Kisling Separation Agreement, and Mr. Kisling earned a portion of his 2025 Financial PSU awards in February 2026. He remains eligible to receive a portion of the rTSR PSU and Stock Price Hurdle awards. As described in footnote 1 to this table, the incremental fair value of modifications to Mr. Kisling’s RSUs, Financial PSUs, and Stock Price Hurdle PSUs were negative under ASC 718 and are not reported in the Stock Awards column.</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48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2025 Grants of Plan-Based Awards Table</w:t>
      </w:r>
    </w:p>
    <w:p>
      <w:pPr>
        <w:spacing w:after="0" w:line="139" w:lineRule="exact"/>
        <w:rPr>
          <w:sz w:val="20"/>
          <w:szCs w:val="20"/>
          <w:color w:val="auto"/>
        </w:rPr>
      </w:pPr>
    </w:p>
    <w:p>
      <w:pPr>
        <w:ind w:left="660" w:right="660"/>
        <w:spacing w:after="0" w:line="286" w:lineRule="auto"/>
        <w:rPr>
          <w:sz w:val="20"/>
          <w:szCs w:val="20"/>
          <w:color w:val="auto"/>
        </w:rPr>
      </w:pPr>
      <w:r>
        <w:rPr>
          <w:rFonts w:ascii="Arial" w:cs="Arial" w:eastAsia="Arial" w:hAnsi="Arial"/>
          <w:sz w:val="16"/>
          <w:szCs w:val="16"/>
          <w:color w:val="auto"/>
        </w:rPr>
        <w:t>The following table shows each non-equity incentive plan award and each equity award granted to our Named Executive Officers during or in respect of fiscal year 2025.</w:t>
      </w:r>
    </w:p>
    <w:p>
      <w:pPr>
        <w:spacing w:after="0" w:line="133"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Estimated</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Possible</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Payouts</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Under</w:t>
            </w: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Stock</w:t>
            </w:r>
          </w:p>
        </w:tc>
        <w:tc>
          <w:tcPr>
            <w:tcW w:w="9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94"/>
        </w:trPr>
        <w:tc>
          <w:tcPr>
            <w:tcW w:w="1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Non-Equity</w:t>
            </w:r>
          </w:p>
        </w:tc>
        <w:tc>
          <w:tcPr>
            <w:tcW w:w="8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Awards:</w:t>
            </w:r>
          </w:p>
        </w:tc>
        <w:tc>
          <w:tcPr>
            <w:tcW w:w="9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95"/>
        </w:trPr>
        <w:tc>
          <w:tcPr>
            <w:tcW w:w="1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120" w:type="dxa"/>
            <w:vAlign w:val="bottom"/>
            <w:gridSpan w:val="2"/>
            <w:vMerge w:val="restart"/>
          </w:tcPr>
          <w:p>
            <w:pPr>
              <w:jc w:val="right"/>
              <w:ind w:right="80"/>
              <w:spacing w:after="0" w:line="159" w:lineRule="exact"/>
              <w:rPr>
                <w:sz w:val="20"/>
                <w:szCs w:val="20"/>
                <w:color w:val="auto"/>
              </w:rPr>
            </w:pPr>
            <w:r>
              <w:rPr>
                <w:rFonts w:ascii="Arial" w:cs="Arial" w:eastAsia="Arial" w:hAnsi="Arial"/>
                <w:sz w:val="14"/>
                <w:szCs w:val="14"/>
                <w:b w:val="1"/>
                <w:bCs w:val="1"/>
                <w:color w:val="auto"/>
              </w:rPr>
              <w:t>Incentive</w:t>
            </w:r>
          </w:p>
        </w:tc>
        <w:tc>
          <w:tcPr>
            <w:tcW w:w="2920" w:type="dxa"/>
            <w:vAlign w:val="bottom"/>
            <w:gridSpan w:val="4"/>
            <w:vMerge w:val="restart"/>
          </w:tcPr>
          <w:p>
            <w:pPr>
              <w:jc w:val="right"/>
              <w:ind w:right="120"/>
              <w:spacing w:after="0" w:line="159" w:lineRule="exact"/>
              <w:rPr>
                <w:sz w:val="20"/>
                <w:szCs w:val="20"/>
                <w:color w:val="auto"/>
              </w:rPr>
            </w:pPr>
            <w:r>
              <w:rPr>
                <w:rFonts w:ascii="Arial" w:cs="Arial" w:eastAsia="Arial" w:hAnsi="Arial"/>
                <w:sz w:val="14"/>
                <w:szCs w:val="14"/>
                <w:b w:val="1"/>
                <w:bCs w:val="1"/>
                <w:color w:val="auto"/>
              </w:rPr>
              <w:t>Estimated Future Payouts Under</w:t>
            </w:r>
          </w:p>
        </w:tc>
        <w:tc>
          <w:tcPr>
            <w:tcW w:w="11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4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920" w:type="dxa"/>
            <w:vAlign w:val="bottom"/>
            <w:gridSpan w:val="4"/>
            <w:vMerge w:val="continue"/>
          </w:tcPr>
          <w:p>
            <w:pPr>
              <w:spacing w:after="0"/>
              <w:rPr>
                <w:sz w:val="5"/>
                <w:szCs w:val="5"/>
                <w:color w:val="auto"/>
              </w:rPr>
            </w:pPr>
          </w:p>
        </w:tc>
        <w:tc>
          <w:tcPr>
            <w:tcW w:w="1120" w:type="dxa"/>
            <w:vAlign w:val="bottom"/>
            <w:vMerge w:val="restart"/>
          </w:tcPr>
          <w:p>
            <w:pPr>
              <w:jc w:val="right"/>
              <w:ind w:right="41"/>
              <w:spacing w:after="0"/>
              <w:rPr>
                <w:sz w:val="20"/>
                <w:szCs w:val="20"/>
                <w:color w:val="auto"/>
              </w:rPr>
            </w:pPr>
            <w:r>
              <w:rPr>
                <w:rFonts w:ascii="Arial" w:cs="Arial" w:eastAsia="Arial" w:hAnsi="Arial"/>
                <w:sz w:val="14"/>
                <w:szCs w:val="14"/>
                <w:b w:val="1"/>
                <w:bCs w:val="1"/>
                <w:color w:val="auto"/>
              </w:rPr>
              <w:t>Number of</w:t>
            </w:r>
          </w:p>
        </w:tc>
        <w:tc>
          <w:tcPr>
            <w:tcW w:w="9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98"/>
        </w:trPr>
        <w:tc>
          <w:tcPr>
            <w:tcW w:w="14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80" w:type="dxa"/>
            <w:vAlign w:val="bottom"/>
            <w:vMerge w:val="restart"/>
          </w:tcPr>
          <w:p>
            <w:pPr>
              <w:ind w:left="60"/>
              <w:spacing w:after="0" w:line="229" w:lineRule="exact"/>
              <w:rPr>
                <w:sz w:val="20"/>
                <w:szCs w:val="20"/>
                <w:color w:val="auto"/>
              </w:rPr>
            </w:pPr>
            <w:r>
              <w:rPr>
                <w:rFonts w:ascii="Arial" w:cs="Arial" w:eastAsia="Arial" w:hAnsi="Arial"/>
                <w:sz w:val="14"/>
                <w:szCs w:val="14"/>
                <w:b w:val="1"/>
                <w:bCs w:val="1"/>
                <w:color w:val="auto"/>
                <w:w w:val="97"/>
              </w:rPr>
              <w:t>Plan Awards</w:t>
            </w:r>
            <w:r>
              <w:rPr>
                <w:rFonts w:ascii="Arial" w:cs="Arial" w:eastAsia="Arial" w:hAnsi="Arial"/>
                <w:sz w:val="23"/>
                <w:szCs w:val="23"/>
                <w:b w:val="1"/>
                <w:bCs w:val="1"/>
                <w:color w:val="auto"/>
                <w:w w:val="97"/>
                <w:vertAlign w:val="superscript"/>
              </w:rPr>
              <w:t>(1)</w:t>
            </w:r>
          </w:p>
        </w:tc>
        <w:tc>
          <w:tcPr>
            <w:tcW w:w="40" w:type="dxa"/>
            <w:vAlign w:val="bottom"/>
            <w:vMerge w:val="restart"/>
          </w:tcPr>
          <w:p>
            <w:pPr>
              <w:spacing w:after="0"/>
              <w:rPr>
                <w:sz w:val="8"/>
                <w:szCs w:val="8"/>
                <w:color w:val="auto"/>
              </w:rPr>
            </w:pPr>
          </w:p>
        </w:tc>
        <w:tc>
          <w:tcPr>
            <w:tcW w:w="2920" w:type="dxa"/>
            <w:vAlign w:val="bottom"/>
            <w:gridSpan w:val="4"/>
            <w:vMerge w:val="restart"/>
          </w:tcPr>
          <w:p>
            <w:pPr>
              <w:jc w:val="right"/>
              <w:ind w:right="80"/>
              <w:spacing w:after="0" w:line="229" w:lineRule="exact"/>
              <w:rPr>
                <w:sz w:val="20"/>
                <w:szCs w:val="20"/>
                <w:color w:val="auto"/>
              </w:rPr>
            </w:pPr>
            <w:r>
              <w:rPr>
                <w:rFonts w:ascii="Arial" w:cs="Arial" w:eastAsia="Arial" w:hAnsi="Arial"/>
                <w:sz w:val="14"/>
                <w:szCs w:val="14"/>
                <w:b w:val="1"/>
                <w:bCs w:val="1"/>
                <w:color w:val="auto"/>
              </w:rPr>
              <w:t>Equity Incentive Plan Awards</w:t>
            </w:r>
            <w:r>
              <w:rPr>
                <w:rFonts w:ascii="Arial" w:cs="Arial" w:eastAsia="Arial" w:hAnsi="Arial"/>
                <w:sz w:val="23"/>
                <w:szCs w:val="23"/>
                <w:b w:val="1"/>
                <w:bCs w:val="1"/>
                <w:color w:val="auto"/>
                <w:vertAlign w:val="superscript"/>
              </w:rPr>
              <w:t>(2)</w:t>
            </w:r>
          </w:p>
        </w:tc>
        <w:tc>
          <w:tcPr>
            <w:tcW w:w="11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4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2920" w:type="dxa"/>
            <w:vAlign w:val="bottom"/>
            <w:gridSpan w:val="4"/>
            <w:vMerge w:val="continue"/>
          </w:tcPr>
          <w:p>
            <w:pPr>
              <w:spacing w:after="0"/>
              <w:rPr>
                <w:sz w:val="11"/>
                <w:szCs w:val="11"/>
                <w:color w:val="auto"/>
              </w:rPr>
            </w:pPr>
          </w:p>
        </w:tc>
        <w:tc>
          <w:tcPr>
            <w:tcW w:w="1120" w:type="dxa"/>
            <w:vAlign w:val="bottom"/>
          </w:tcPr>
          <w:p>
            <w:pPr>
              <w:jc w:val="right"/>
              <w:ind w:right="41"/>
              <w:spacing w:after="0" w:line="125" w:lineRule="exact"/>
              <w:rPr>
                <w:sz w:val="20"/>
                <w:szCs w:val="20"/>
                <w:color w:val="auto"/>
              </w:rPr>
            </w:pPr>
            <w:r>
              <w:rPr>
                <w:rFonts w:ascii="Arial" w:cs="Arial" w:eastAsia="Arial" w:hAnsi="Arial"/>
                <w:sz w:val="14"/>
                <w:szCs w:val="14"/>
                <w:b w:val="1"/>
                <w:bCs w:val="1"/>
                <w:color w:val="auto"/>
              </w:rPr>
              <w:t>Shares of</w:t>
            </w:r>
          </w:p>
        </w:tc>
        <w:tc>
          <w:tcPr>
            <w:tcW w:w="900" w:type="dxa"/>
            <w:vAlign w:val="bottom"/>
          </w:tcPr>
          <w:p>
            <w:pPr>
              <w:ind w:left="120"/>
              <w:spacing w:after="0" w:line="125" w:lineRule="exact"/>
              <w:rPr>
                <w:sz w:val="20"/>
                <w:szCs w:val="20"/>
                <w:color w:val="auto"/>
              </w:rPr>
            </w:pPr>
            <w:r>
              <w:rPr>
                <w:rFonts w:ascii="Arial" w:cs="Arial" w:eastAsia="Arial" w:hAnsi="Arial"/>
                <w:sz w:val="14"/>
                <w:szCs w:val="14"/>
                <w:b w:val="1"/>
                <w:bCs w:val="1"/>
                <w:color w:val="auto"/>
              </w:rPr>
              <w:t>Stock and</w:t>
            </w:r>
          </w:p>
        </w:tc>
        <w:tc>
          <w:tcPr>
            <w:tcW w:w="0" w:type="dxa"/>
            <w:vAlign w:val="bottom"/>
          </w:tcPr>
          <w:p>
            <w:pPr>
              <w:spacing w:after="0"/>
              <w:rPr>
                <w:sz w:val="1"/>
                <w:szCs w:val="1"/>
                <w:color w:val="auto"/>
              </w:rPr>
            </w:pPr>
          </w:p>
        </w:tc>
      </w:tr>
      <w:tr>
        <w:trPr>
          <w:trHeight w:val="173"/>
        </w:trPr>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Borders>
              <w:top w:val="single" w:sz="8" w:color="404040"/>
            </w:tcBorders>
          </w:tcPr>
          <w:p>
            <w:pPr>
              <w:jc w:val="right"/>
              <w:spacing w:after="0"/>
              <w:rPr>
                <w:sz w:val="20"/>
                <w:szCs w:val="20"/>
                <w:color w:val="auto"/>
              </w:rPr>
            </w:pPr>
            <w:r>
              <w:rPr>
                <w:rFonts w:ascii="Arial" w:cs="Arial" w:eastAsia="Arial" w:hAnsi="Arial"/>
                <w:sz w:val="14"/>
                <w:szCs w:val="14"/>
                <w:b w:val="1"/>
                <w:bCs w:val="1"/>
                <w:color w:val="auto"/>
              </w:rPr>
              <w:t>Target</w:t>
            </w:r>
          </w:p>
        </w:tc>
        <w:tc>
          <w:tcPr>
            <w:tcW w:w="40" w:type="dxa"/>
            <w:vAlign w:val="bottom"/>
          </w:tcPr>
          <w:p>
            <w:pPr>
              <w:spacing w:after="0"/>
              <w:rPr>
                <w:sz w:val="15"/>
                <w:szCs w:val="15"/>
                <w:color w:val="auto"/>
              </w:rPr>
            </w:pPr>
          </w:p>
        </w:tc>
        <w:tc>
          <w:tcPr>
            <w:tcW w:w="860" w:type="dxa"/>
            <w:vAlign w:val="bottom"/>
            <w:tcBorders>
              <w:top w:val="single" w:sz="8" w:color="404040"/>
            </w:tcBorders>
          </w:tcPr>
          <w:p>
            <w:pPr>
              <w:jc w:val="right"/>
              <w:spacing w:after="0"/>
              <w:rPr>
                <w:sz w:val="20"/>
                <w:szCs w:val="20"/>
                <w:color w:val="auto"/>
              </w:rPr>
            </w:pPr>
            <w:r>
              <w:rPr>
                <w:rFonts w:ascii="Arial" w:cs="Arial" w:eastAsia="Arial" w:hAnsi="Arial"/>
                <w:sz w:val="14"/>
                <w:szCs w:val="14"/>
                <w:b w:val="1"/>
                <w:bCs w:val="1"/>
                <w:color w:val="auto"/>
              </w:rPr>
              <w:t>Threshold</w:t>
            </w:r>
          </w:p>
        </w:tc>
        <w:tc>
          <w:tcPr>
            <w:tcW w:w="980" w:type="dxa"/>
            <w:vAlign w:val="bottom"/>
            <w:tcBorders>
              <w:top w:val="single" w:sz="8" w:color="404040"/>
            </w:tcBorders>
          </w:tcPr>
          <w:p>
            <w:pPr>
              <w:jc w:val="right"/>
              <w:ind w:right="39"/>
              <w:spacing w:after="0"/>
              <w:rPr>
                <w:sz w:val="20"/>
                <w:szCs w:val="20"/>
                <w:color w:val="auto"/>
              </w:rPr>
            </w:pPr>
            <w:r>
              <w:rPr>
                <w:rFonts w:ascii="Arial" w:cs="Arial" w:eastAsia="Arial" w:hAnsi="Arial"/>
                <w:sz w:val="14"/>
                <w:szCs w:val="14"/>
                <w:b w:val="1"/>
                <w:bCs w:val="1"/>
                <w:color w:val="auto"/>
              </w:rPr>
              <w:t>Target</w:t>
            </w:r>
          </w:p>
        </w:tc>
        <w:tc>
          <w:tcPr>
            <w:tcW w:w="1000" w:type="dxa"/>
            <w:vAlign w:val="bottom"/>
            <w:tcBorders>
              <w:top w:val="single" w:sz="8" w:color="404040"/>
            </w:tcBorders>
          </w:tcPr>
          <w:p>
            <w:pPr>
              <w:jc w:val="right"/>
              <w:spacing w:after="0"/>
              <w:rPr>
                <w:sz w:val="20"/>
                <w:szCs w:val="20"/>
                <w:color w:val="auto"/>
              </w:rPr>
            </w:pPr>
            <w:r>
              <w:rPr>
                <w:rFonts w:ascii="Arial" w:cs="Arial" w:eastAsia="Arial" w:hAnsi="Arial"/>
                <w:sz w:val="14"/>
                <w:szCs w:val="14"/>
                <w:b w:val="1"/>
                <w:bCs w:val="1"/>
                <w:color w:val="auto"/>
              </w:rPr>
              <w:t>Maximum</w:t>
            </w:r>
          </w:p>
        </w:tc>
        <w:tc>
          <w:tcPr>
            <w:tcW w:w="80" w:type="dxa"/>
            <w:vAlign w:val="bottom"/>
          </w:tcPr>
          <w:p>
            <w:pPr>
              <w:spacing w:after="0"/>
              <w:rPr>
                <w:sz w:val="15"/>
                <w:szCs w:val="15"/>
                <w:color w:val="auto"/>
              </w:rPr>
            </w:pPr>
          </w:p>
        </w:tc>
        <w:tc>
          <w:tcPr>
            <w:tcW w:w="1120" w:type="dxa"/>
            <w:vAlign w:val="bottom"/>
          </w:tcPr>
          <w:p>
            <w:pPr>
              <w:jc w:val="right"/>
              <w:ind w:right="41"/>
              <w:spacing w:after="0"/>
              <w:rPr>
                <w:sz w:val="20"/>
                <w:szCs w:val="20"/>
                <w:color w:val="auto"/>
              </w:rPr>
            </w:pPr>
            <w:r>
              <w:rPr>
                <w:rFonts w:ascii="Arial" w:cs="Arial" w:eastAsia="Arial" w:hAnsi="Arial"/>
                <w:sz w:val="14"/>
                <w:szCs w:val="14"/>
                <w:b w:val="1"/>
                <w:bCs w:val="1"/>
                <w:color w:val="auto"/>
              </w:rPr>
              <w:t>Stock or</w:t>
            </w:r>
          </w:p>
        </w:tc>
        <w:tc>
          <w:tcPr>
            <w:tcW w:w="900" w:type="dxa"/>
            <w:vAlign w:val="bottom"/>
          </w:tcPr>
          <w:p>
            <w:pPr>
              <w:jc w:val="right"/>
              <w:ind w:right="2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97"/>
        </w:trPr>
        <w:tc>
          <w:tcPr>
            <w:tcW w:w="1420" w:type="dxa"/>
            <w:vAlign w:val="bottom"/>
            <w:tcBorders>
              <w:bottom w:val="single" w:sz="8" w:color="404040"/>
            </w:tcBorders>
          </w:tcPr>
          <w:p>
            <w:pPr>
              <w:ind w:left="4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404040"/>
            </w:tcBorders>
          </w:tcPr>
          <w:p>
            <w:pPr>
              <w:ind w:left="160"/>
              <w:spacing w:after="0"/>
              <w:rPr>
                <w:sz w:val="20"/>
                <w:szCs w:val="20"/>
                <w:color w:val="auto"/>
              </w:rPr>
            </w:pPr>
            <w:r>
              <w:rPr>
                <w:rFonts w:ascii="Arial" w:cs="Arial" w:eastAsia="Arial" w:hAnsi="Arial"/>
                <w:sz w:val="14"/>
                <w:szCs w:val="14"/>
                <w:b w:val="1"/>
                <w:bCs w:val="1"/>
                <w:color w:val="auto"/>
              </w:rPr>
              <w:t>Grant Date</w:t>
            </w:r>
          </w:p>
        </w:tc>
        <w:tc>
          <w:tcPr>
            <w:tcW w:w="1120" w:type="dxa"/>
            <w:vAlign w:val="bottom"/>
            <w:tcBorders>
              <w:bottom w:val="single" w:sz="8" w:color="404040"/>
            </w:tcBorders>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404040"/>
            </w:tcBorders>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404040"/>
            </w:tcBorders>
          </w:tcPr>
          <w:p>
            <w:pPr>
              <w:jc w:val="right"/>
              <w:ind w:right="1"/>
              <w:spacing w:after="0"/>
              <w:rPr>
                <w:sz w:val="20"/>
                <w:szCs w:val="20"/>
                <w:color w:val="auto"/>
              </w:rPr>
            </w:pPr>
            <w:r>
              <w:rPr>
                <w:rFonts w:ascii="Arial" w:cs="Arial" w:eastAsia="Arial" w:hAnsi="Arial"/>
                <w:sz w:val="14"/>
                <w:szCs w:val="14"/>
                <w:b w:val="1"/>
                <w:bCs w:val="1"/>
                <w:color w:val="auto"/>
              </w:rPr>
              <w:t>Units (#)</w:t>
            </w:r>
          </w:p>
        </w:tc>
        <w:tc>
          <w:tcPr>
            <w:tcW w:w="900" w:type="dxa"/>
            <w:vAlign w:val="bottom"/>
            <w:tcBorders>
              <w:bottom w:val="single" w:sz="8" w:color="404040"/>
            </w:tcBorders>
          </w:tcPr>
          <w:p>
            <w:pPr>
              <w:ind w:left="100"/>
              <w:spacing w:after="0"/>
              <w:rPr>
                <w:sz w:val="20"/>
                <w:szCs w:val="20"/>
                <w:color w:val="auto"/>
              </w:rPr>
            </w:pPr>
            <w:r>
              <w:rPr>
                <w:rFonts w:ascii="Arial" w:cs="Arial" w:eastAsia="Arial" w:hAnsi="Arial"/>
                <w:sz w:val="14"/>
                <w:szCs w:val="14"/>
                <w:b w:val="1"/>
                <w:bCs w:val="1"/>
                <w:color w:val="auto"/>
              </w:rPr>
              <w:t>Awards ($)</w:t>
            </w:r>
          </w:p>
        </w:tc>
        <w:tc>
          <w:tcPr>
            <w:tcW w:w="0" w:type="dxa"/>
            <w:vAlign w:val="bottom"/>
          </w:tcPr>
          <w:p>
            <w:pPr>
              <w:spacing w:after="0"/>
              <w:rPr>
                <w:sz w:val="1"/>
                <w:szCs w:val="1"/>
                <w:color w:val="auto"/>
              </w:rPr>
            </w:pPr>
          </w:p>
        </w:tc>
      </w:tr>
      <w:tr>
        <w:trPr>
          <w:trHeight w:val="304"/>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Charles Compton</w:t>
            </w: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10,741</w:t>
            </w:r>
          </w:p>
        </w:tc>
        <w:tc>
          <w:tcPr>
            <w:tcW w:w="980" w:type="dxa"/>
            <w:vAlign w:val="bottom"/>
          </w:tcPr>
          <w:p>
            <w:pPr>
              <w:jc w:val="right"/>
              <w:spacing w:after="0"/>
              <w:rPr>
                <w:sz w:val="20"/>
                <w:szCs w:val="20"/>
                <w:color w:val="auto"/>
              </w:rPr>
            </w:pPr>
            <w:r>
              <w:rPr>
                <w:rFonts w:ascii="Arial" w:cs="Arial" w:eastAsia="Arial" w:hAnsi="Arial"/>
                <w:sz w:val="16"/>
                <w:szCs w:val="16"/>
                <w:color w:val="auto"/>
              </w:rPr>
              <w:t>64,446</w:t>
            </w:r>
            <w:r>
              <w:rPr>
                <w:rFonts w:ascii="Arial" w:cs="Arial" w:eastAsia="Arial" w:hAnsi="Arial"/>
                <w:sz w:val="26"/>
                <w:szCs w:val="26"/>
                <w:color w:val="auto"/>
                <w:vertAlign w:val="superscript"/>
              </w:rPr>
              <w:t>(3)</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96,669</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449,833</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$15,160</w:t>
            </w:r>
          </w:p>
        </w:tc>
        <w:tc>
          <w:tcPr>
            <w:tcW w:w="980" w:type="dxa"/>
            <w:vAlign w:val="bottom"/>
          </w:tcPr>
          <w:p>
            <w:pPr>
              <w:jc w:val="right"/>
              <w:ind w:right="19"/>
              <w:spacing w:after="0" w:line="297" w:lineRule="exact"/>
              <w:rPr>
                <w:sz w:val="20"/>
                <w:szCs w:val="20"/>
                <w:color w:val="auto"/>
              </w:rPr>
            </w:pPr>
            <w:r>
              <w:rPr>
                <w:rFonts w:ascii="Arial" w:cs="Arial" w:eastAsia="Arial" w:hAnsi="Arial"/>
                <w:sz w:val="16"/>
                <w:szCs w:val="16"/>
                <w:color w:val="auto"/>
              </w:rPr>
              <w:t>$ 90,960</w:t>
            </w:r>
            <w:r>
              <w:rPr>
                <w:rFonts w:ascii="Arial" w:cs="Arial" w:eastAsia="Arial" w:hAnsi="Arial"/>
                <w:sz w:val="26"/>
                <w:szCs w:val="26"/>
                <w:color w:val="auto"/>
                <w:vertAlign w:val="superscript"/>
              </w:rPr>
              <w:t>(4)</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$136,440</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90,960</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line="297" w:lineRule="exact"/>
              <w:rPr>
                <w:sz w:val="20"/>
                <w:szCs w:val="20"/>
                <w:color w:val="auto"/>
              </w:rPr>
            </w:pPr>
            <w:r>
              <w:rPr>
                <w:rFonts w:ascii="Arial" w:cs="Arial" w:eastAsia="Arial" w:hAnsi="Arial"/>
                <w:sz w:val="16"/>
                <w:szCs w:val="16"/>
                <w:color w:val="auto"/>
              </w:rPr>
              <w:t>150,375</w:t>
            </w:r>
            <w:r>
              <w:rPr>
                <w:rFonts w:ascii="Arial" w:cs="Arial" w:eastAsia="Arial" w:hAnsi="Arial"/>
                <w:sz w:val="26"/>
                <w:szCs w:val="26"/>
                <w:color w:val="auto"/>
                <w:vertAlign w:val="superscript"/>
              </w:rPr>
              <w:t>(5)</w:t>
            </w:r>
          </w:p>
        </w:tc>
        <w:tc>
          <w:tcPr>
            <w:tcW w:w="900" w:type="dxa"/>
            <w:vAlign w:val="bottom"/>
          </w:tcPr>
          <w:p>
            <w:pPr>
              <w:ind w:left="120"/>
              <w:spacing w:after="0"/>
              <w:rPr>
                <w:sz w:val="20"/>
                <w:szCs w:val="20"/>
                <w:color w:val="auto"/>
              </w:rPr>
            </w:pPr>
            <w:r>
              <w:rPr>
                <w:rFonts w:ascii="Arial" w:cs="Arial" w:eastAsia="Arial" w:hAnsi="Arial"/>
                <w:sz w:val="16"/>
                <w:szCs w:val="16"/>
                <w:color w:val="auto"/>
              </w:rPr>
              <w:t>1,049,618</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08/10/2025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32,407</w:t>
            </w:r>
          </w:p>
        </w:tc>
        <w:tc>
          <w:tcPr>
            <w:tcW w:w="980" w:type="dxa"/>
            <w:vAlign w:val="bottom"/>
          </w:tcPr>
          <w:p>
            <w:pPr>
              <w:jc w:val="right"/>
              <w:ind w:right="19"/>
              <w:spacing w:after="0" w:line="297" w:lineRule="exact"/>
              <w:rPr>
                <w:sz w:val="20"/>
                <w:szCs w:val="20"/>
                <w:color w:val="auto"/>
              </w:rPr>
            </w:pPr>
            <w:r>
              <w:rPr>
                <w:rFonts w:ascii="Arial" w:cs="Arial" w:eastAsia="Arial" w:hAnsi="Arial"/>
                <w:sz w:val="16"/>
                <w:szCs w:val="16"/>
                <w:color w:val="auto"/>
              </w:rPr>
              <w:t>194,444</w:t>
            </w:r>
            <w:r>
              <w:rPr>
                <w:rFonts w:ascii="Arial" w:cs="Arial" w:eastAsia="Arial" w:hAnsi="Arial"/>
                <w:sz w:val="26"/>
                <w:szCs w:val="26"/>
                <w:color w:val="auto"/>
                <w:vertAlign w:val="superscript"/>
              </w:rPr>
              <w:t>(3)</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291,666</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ind w:left="120"/>
              <w:spacing w:after="0"/>
              <w:rPr>
                <w:sz w:val="20"/>
                <w:szCs w:val="20"/>
                <w:color w:val="auto"/>
              </w:rPr>
            </w:pPr>
            <w:r>
              <w:rPr>
                <w:rFonts w:ascii="Arial" w:cs="Arial" w:eastAsia="Arial" w:hAnsi="Arial"/>
                <w:sz w:val="16"/>
                <w:szCs w:val="16"/>
                <w:color w:val="auto"/>
              </w:rPr>
              <w:t>1,359,164</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08/10/2025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41,666</w:t>
            </w:r>
          </w:p>
        </w:tc>
        <w:tc>
          <w:tcPr>
            <w:tcW w:w="980" w:type="dxa"/>
            <w:vAlign w:val="bottom"/>
          </w:tcPr>
          <w:p>
            <w:pPr>
              <w:jc w:val="right"/>
              <w:spacing w:after="0" w:line="297" w:lineRule="exact"/>
              <w:rPr>
                <w:sz w:val="20"/>
                <w:szCs w:val="20"/>
                <w:color w:val="auto"/>
              </w:rPr>
            </w:pPr>
            <w:r>
              <w:rPr>
                <w:rFonts w:ascii="Arial" w:cs="Arial" w:eastAsia="Arial" w:hAnsi="Arial"/>
                <w:sz w:val="16"/>
                <w:szCs w:val="16"/>
                <w:color w:val="auto"/>
              </w:rPr>
              <w:t>83,333</w:t>
            </w:r>
            <w:r>
              <w:rPr>
                <w:rFonts w:ascii="Arial" w:cs="Arial" w:eastAsia="Arial" w:hAnsi="Arial"/>
                <w:sz w:val="26"/>
                <w:szCs w:val="26"/>
                <w:color w:val="auto"/>
                <w:vertAlign w:val="superscript"/>
              </w:rPr>
              <w:t>(6)</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249,999</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ind w:left="120"/>
              <w:spacing w:after="0"/>
              <w:rPr>
                <w:sz w:val="20"/>
                <w:szCs w:val="20"/>
                <w:color w:val="auto"/>
              </w:rPr>
            </w:pPr>
            <w:r>
              <w:rPr>
                <w:rFonts w:ascii="Arial" w:cs="Arial" w:eastAsia="Arial" w:hAnsi="Arial"/>
                <w:sz w:val="16"/>
                <w:szCs w:val="16"/>
                <w:color w:val="auto"/>
              </w:rPr>
              <w:t>1,149,995</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08/10/2025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$45,433</w:t>
            </w:r>
          </w:p>
        </w:tc>
        <w:tc>
          <w:tcPr>
            <w:tcW w:w="980" w:type="dxa"/>
            <w:vAlign w:val="bottom"/>
          </w:tcPr>
          <w:p>
            <w:pPr>
              <w:jc w:val="right"/>
              <w:spacing w:after="0" w:line="297" w:lineRule="exact"/>
              <w:rPr>
                <w:sz w:val="20"/>
                <w:szCs w:val="20"/>
                <w:color w:val="auto"/>
              </w:rPr>
            </w:pPr>
            <w:r>
              <w:rPr>
                <w:rFonts w:ascii="Arial" w:cs="Arial" w:eastAsia="Arial" w:hAnsi="Arial"/>
                <w:sz w:val="16"/>
                <w:szCs w:val="16"/>
                <w:color w:val="auto"/>
              </w:rPr>
              <w:t>$272,600</w:t>
            </w:r>
            <w:r>
              <w:rPr>
                <w:rFonts w:ascii="Arial" w:cs="Arial" w:eastAsia="Arial" w:hAnsi="Arial"/>
                <w:sz w:val="26"/>
                <w:szCs w:val="26"/>
                <w:color w:val="auto"/>
                <w:vertAlign w:val="superscript"/>
              </w:rPr>
              <w:t>(4)</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$408,900</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272,600</w:t>
            </w:r>
          </w:p>
        </w:tc>
        <w:tc>
          <w:tcPr>
            <w:tcW w:w="0" w:type="dxa"/>
            <w:vAlign w:val="bottom"/>
          </w:tcPr>
          <w:p>
            <w:pPr>
              <w:spacing w:after="0"/>
              <w:rPr>
                <w:sz w:val="1"/>
                <w:szCs w:val="1"/>
                <w:color w:val="auto"/>
              </w:rPr>
            </w:pPr>
          </w:p>
        </w:tc>
      </w:tr>
      <w:tr>
        <w:trPr>
          <w:trHeight w:val="271"/>
        </w:trPr>
        <w:tc>
          <w:tcPr>
            <w:tcW w:w="1420" w:type="dxa"/>
            <w:vAlign w:val="bottom"/>
            <w:tcBorders>
              <w:bottom w:val="single" w:sz="8" w:color="404040"/>
            </w:tcBorders>
          </w:tcPr>
          <w:p>
            <w:pPr>
              <w:spacing w:after="0"/>
              <w:rPr>
                <w:sz w:val="23"/>
                <w:szCs w:val="23"/>
                <w:color w:val="auto"/>
              </w:rPr>
            </w:pPr>
          </w:p>
        </w:tc>
        <w:tc>
          <w:tcPr>
            <w:tcW w:w="940" w:type="dxa"/>
            <w:vAlign w:val="bottom"/>
            <w:tcBorders>
              <w:bottom w:val="single" w:sz="8" w:color="404040"/>
            </w:tcBorders>
          </w:tcPr>
          <w:p>
            <w:pPr>
              <w:ind w:left="80"/>
              <w:spacing w:after="0"/>
              <w:rPr>
                <w:sz w:val="20"/>
                <w:szCs w:val="20"/>
                <w:color w:val="auto"/>
              </w:rPr>
            </w:pPr>
            <w:r>
              <w:rPr>
                <w:rFonts w:ascii="Arial" w:cs="Arial" w:eastAsia="Arial" w:hAnsi="Arial"/>
                <w:sz w:val="16"/>
                <w:szCs w:val="16"/>
                <w:color w:val="auto"/>
              </w:rPr>
              <w:t>08/10/2025</w:t>
            </w:r>
          </w:p>
        </w:tc>
        <w:tc>
          <w:tcPr>
            <w:tcW w:w="1120" w:type="dxa"/>
            <w:vAlign w:val="bottom"/>
            <w:tcBorders>
              <w:bottom w:val="single" w:sz="8" w:color="404040"/>
            </w:tcBorders>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404040"/>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04040"/>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04040"/>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04040"/>
            </w:tcBorders>
          </w:tcPr>
          <w:p>
            <w:pPr>
              <w:jc w:val="right"/>
              <w:ind w:right="101"/>
              <w:spacing w:after="0" w:line="271" w:lineRule="exact"/>
              <w:rPr>
                <w:sz w:val="20"/>
                <w:szCs w:val="20"/>
                <w:color w:val="auto"/>
              </w:rPr>
            </w:pPr>
            <w:r>
              <w:rPr>
                <w:rFonts w:ascii="Arial" w:cs="Arial" w:eastAsia="Arial" w:hAnsi="Arial"/>
                <w:sz w:val="16"/>
                <w:szCs w:val="16"/>
                <w:color w:val="auto"/>
              </w:rPr>
              <w:t>277,777</w:t>
            </w:r>
            <w:r>
              <w:rPr>
                <w:rFonts w:ascii="Arial" w:cs="Arial" w:eastAsia="Arial" w:hAnsi="Arial"/>
                <w:sz w:val="26"/>
                <w:szCs w:val="26"/>
                <w:color w:val="auto"/>
                <w:vertAlign w:val="superscript"/>
              </w:rPr>
              <w:t>(7)</w:t>
            </w:r>
          </w:p>
        </w:tc>
        <w:tc>
          <w:tcPr>
            <w:tcW w:w="900" w:type="dxa"/>
            <w:vAlign w:val="bottom"/>
            <w:tcBorders>
              <w:bottom w:val="single" w:sz="8" w:color="404040"/>
            </w:tcBorders>
          </w:tcPr>
          <w:p>
            <w:pPr>
              <w:ind w:left="120"/>
              <w:spacing w:after="0"/>
              <w:rPr>
                <w:sz w:val="20"/>
                <w:szCs w:val="20"/>
                <w:color w:val="auto"/>
              </w:rPr>
            </w:pPr>
            <w:r>
              <w:rPr>
                <w:rFonts w:ascii="Arial" w:cs="Arial" w:eastAsia="Arial" w:hAnsi="Arial"/>
                <w:sz w:val="16"/>
                <w:szCs w:val="16"/>
                <w:color w:val="auto"/>
              </w:rPr>
              <w:t>1,941,661</w:t>
            </w:r>
          </w:p>
        </w:tc>
        <w:tc>
          <w:tcPr>
            <w:tcW w:w="0" w:type="dxa"/>
            <w:vAlign w:val="bottom"/>
          </w:tcPr>
          <w:p>
            <w:pPr>
              <w:spacing w:after="0"/>
              <w:rPr>
                <w:sz w:val="1"/>
                <w:szCs w:val="1"/>
                <w:color w:val="auto"/>
              </w:rPr>
            </w:pPr>
          </w:p>
        </w:tc>
      </w:tr>
      <w:tr>
        <w:trPr>
          <w:trHeight w:val="290"/>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Artur Bergman</w:t>
            </w:r>
          </w:p>
        </w:tc>
        <w:tc>
          <w:tcPr>
            <w:tcW w:w="940" w:type="dxa"/>
            <w:vAlign w:val="bottom"/>
          </w:tcPr>
          <w:p>
            <w:pPr>
              <w:ind w:left="60"/>
              <w:spacing w:after="0"/>
              <w:rPr>
                <w:sz w:val="20"/>
                <w:szCs w:val="20"/>
                <w:color w:val="auto"/>
              </w:rPr>
            </w:pPr>
            <w:r>
              <w:rPr>
                <w:rFonts w:ascii="Arial" w:cs="Arial" w:eastAsia="Arial" w:hAnsi="Arial"/>
                <w:sz w:val="16"/>
                <w:szCs w:val="16"/>
                <w:color w:val="auto"/>
              </w:rPr>
              <w:t>02/11/2025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line="290" w:lineRule="exact"/>
              <w:rPr>
                <w:sz w:val="20"/>
                <w:szCs w:val="20"/>
                <w:color w:val="auto"/>
              </w:rPr>
            </w:pPr>
            <w:r>
              <w:rPr>
                <w:rFonts w:ascii="Arial" w:cs="Arial" w:eastAsia="Arial" w:hAnsi="Arial"/>
                <w:sz w:val="16"/>
                <w:szCs w:val="16"/>
                <w:color w:val="auto"/>
              </w:rPr>
              <w:t>22,697</w:t>
            </w:r>
            <w:r>
              <w:rPr>
                <w:rFonts w:ascii="Arial" w:cs="Arial" w:eastAsia="Arial" w:hAnsi="Arial"/>
                <w:sz w:val="26"/>
                <w:szCs w:val="26"/>
                <w:color w:val="auto"/>
                <w:vertAlign w:val="superscript"/>
              </w:rPr>
              <w:t>(8)</w:t>
            </w:r>
          </w:p>
        </w:tc>
        <w:tc>
          <w:tcPr>
            <w:tcW w:w="900" w:type="dxa"/>
            <w:vAlign w:val="bottom"/>
          </w:tcPr>
          <w:p>
            <w:pPr>
              <w:jc w:val="right"/>
              <w:spacing w:after="0"/>
              <w:rPr>
                <w:sz w:val="20"/>
                <w:szCs w:val="20"/>
                <w:color w:val="auto"/>
              </w:rPr>
            </w:pPr>
            <w:r>
              <w:rPr>
                <w:rFonts w:ascii="Arial" w:cs="Arial" w:eastAsia="Arial" w:hAnsi="Arial"/>
                <w:sz w:val="16"/>
                <w:szCs w:val="16"/>
                <w:color w:val="auto"/>
              </w:rPr>
              <w:t>228,332</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20,743</w:t>
            </w:r>
          </w:p>
        </w:tc>
        <w:tc>
          <w:tcPr>
            <w:tcW w:w="980" w:type="dxa"/>
            <w:vAlign w:val="bottom"/>
          </w:tcPr>
          <w:p>
            <w:pPr>
              <w:jc w:val="right"/>
              <w:ind w:right="19"/>
              <w:spacing w:after="0" w:line="297" w:lineRule="exact"/>
              <w:rPr>
                <w:sz w:val="20"/>
                <w:szCs w:val="20"/>
                <w:color w:val="auto"/>
              </w:rPr>
            </w:pPr>
            <w:r>
              <w:rPr>
                <w:rFonts w:ascii="Arial" w:cs="Arial" w:eastAsia="Arial" w:hAnsi="Arial"/>
                <w:sz w:val="16"/>
                <w:szCs w:val="16"/>
                <w:color w:val="auto"/>
              </w:rPr>
              <w:t>124,462</w:t>
            </w:r>
            <w:r>
              <w:rPr>
                <w:rFonts w:ascii="Arial" w:cs="Arial" w:eastAsia="Arial" w:hAnsi="Arial"/>
                <w:sz w:val="26"/>
                <w:szCs w:val="26"/>
                <w:color w:val="auto"/>
                <w:vertAlign w:val="superscript"/>
              </w:rPr>
              <w:t>(3)</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186,693</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868,745</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37,338</w:t>
            </w:r>
          </w:p>
        </w:tc>
        <w:tc>
          <w:tcPr>
            <w:tcW w:w="980" w:type="dxa"/>
            <w:vAlign w:val="bottom"/>
          </w:tcPr>
          <w:p>
            <w:pPr>
              <w:jc w:val="right"/>
              <w:spacing w:after="0" w:line="297" w:lineRule="exact"/>
              <w:rPr>
                <w:sz w:val="20"/>
                <w:szCs w:val="20"/>
                <w:color w:val="auto"/>
              </w:rPr>
            </w:pPr>
            <w:r>
              <w:rPr>
                <w:rFonts w:ascii="Arial" w:cs="Arial" w:eastAsia="Arial" w:hAnsi="Arial"/>
                <w:sz w:val="16"/>
                <w:szCs w:val="16"/>
                <w:color w:val="auto"/>
              </w:rPr>
              <w:t>74,677</w:t>
            </w:r>
            <w:r>
              <w:rPr>
                <w:rFonts w:ascii="Arial" w:cs="Arial" w:eastAsia="Arial" w:hAnsi="Arial"/>
                <w:sz w:val="26"/>
                <w:szCs w:val="26"/>
                <w:color w:val="auto"/>
                <w:vertAlign w:val="superscript"/>
              </w:rPr>
              <w:t>(6)</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224,031</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ind w:left="120"/>
              <w:spacing w:after="0"/>
              <w:rPr>
                <w:sz w:val="20"/>
                <w:szCs w:val="20"/>
                <w:color w:val="auto"/>
              </w:rPr>
            </w:pPr>
            <w:r>
              <w:rPr>
                <w:rFonts w:ascii="Arial" w:cs="Arial" w:eastAsia="Arial" w:hAnsi="Arial"/>
                <w:sz w:val="16"/>
                <w:szCs w:val="16"/>
                <w:color w:val="auto"/>
              </w:rPr>
              <w:t>1,090,284</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$27,500</w:t>
            </w:r>
          </w:p>
        </w:tc>
        <w:tc>
          <w:tcPr>
            <w:tcW w:w="980" w:type="dxa"/>
            <w:vAlign w:val="bottom"/>
          </w:tcPr>
          <w:p>
            <w:pPr>
              <w:jc w:val="right"/>
              <w:spacing w:after="0" w:line="297" w:lineRule="exact"/>
              <w:rPr>
                <w:sz w:val="20"/>
                <w:szCs w:val="20"/>
                <w:color w:val="auto"/>
              </w:rPr>
            </w:pPr>
            <w:r>
              <w:rPr>
                <w:rFonts w:ascii="Arial" w:cs="Arial" w:eastAsia="Arial" w:hAnsi="Arial"/>
                <w:sz w:val="16"/>
                <w:szCs w:val="16"/>
                <w:color w:val="auto"/>
              </w:rPr>
              <w:t>$165,000</w:t>
            </w:r>
            <w:r>
              <w:rPr>
                <w:rFonts w:ascii="Arial" w:cs="Arial" w:eastAsia="Arial" w:hAnsi="Arial"/>
                <w:sz w:val="26"/>
                <w:szCs w:val="26"/>
                <w:color w:val="auto"/>
                <w:vertAlign w:val="superscript"/>
              </w:rPr>
              <w:t>(4)</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$247,500</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165,000</w:t>
            </w:r>
          </w:p>
        </w:tc>
        <w:tc>
          <w:tcPr>
            <w:tcW w:w="0" w:type="dxa"/>
            <w:vAlign w:val="bottom"/>
          </w:tcPr>
          <w:p>
            <w:pPr>
              <w:spacing w:after="0"/>
              <w:rPr>
                <w:sz w:val="1"/>
                <w:szCs w:val="1"/>
                <w:color w:val="auto"/>
              </w:rPr>
            </w:pPr>
          </w:p>
        </w:tc>
      </w:tr>
      <w:tr>
        <w:trPr>
          <w:trHeight w:val="271"/>
        </w:trPr>
        <w:tc>
          <w:tcPr>
            <w:tcW w:w="1420" w:type="dxa"/>
            <w:vAlign w:val="bottom"/>
            <w:tcBorders>
              <w:bottom w:val="single" w:sz="8" w:color="404040"/>
            </w:tcBorders>
          </w:tcPr>
          <w:p>
            <w:pPr>
              <w:spacing w:after="0"/>
              <w:rPr>
                <w:sz w:val="23"/>
                <w:szCs w:val="23"/>
                <w:color w:val="auto"/>
              </w:rPr>
            </w:pPr>
          </w:p>
        </w:tc>
        <w:tc>
          <w:tcPr>
            <w:tcW w:w="940" w:type="dxa"/>
            <w:vAlign w:val="bottom"/>
            <w:tcBorders>
              <w:bottom w:val="single" w:sz="8" w:color="404040"/>
            </w:tcBorders>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tcBorders>
              <w:bottom w:val="single" w:sz="8" w:color="404040"/>
            </w:tcBorders>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404040"/>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04040"/>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04040"/>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04040"/>
            </w:tcBorders>
          </w:tcPr>
          <w:p>
            <w:pPr>
              <w:jc w:val="right"/>
              <w:ind w:right="121"/>
              <w:spacing w:after="0" w:line="271" w:lineRule="exact"/>
              <w:rPr>
                <w:sz w:val="20"/>
                <w:szCs w:val="20"/>
                <w:color w:val="auto"/>
              </w:rPr>
            </w:pPr>
            <w:r>
              <w:rPr>
                <w:rFonts w:ascii="Arial" w:cs="Arial" w:eastAsia="Arial" w:hAnsi="Arial"/>
                <w:sz w:val="16"/>
                <w:szCs w:val="16"/>
                <w:color w:val="auto"/>
              </w:rPr>
              <w:t>298,711</w:t>
            </w:r>
            <w:r>
              <w:rPr>
                <w:rFonts w:ascii="Arial" w:cs="Arial" w:eastAsia="Arial" w:hAnsi="Arial"/>
                <w:sz w:val="26"/>
                <w:szCs w:val="26"/>
                <w:color w:val="auto"/>
                <w:vertAlign w:val="superscript"/>
              </w:rPr>
              <w:t>(5)</w:t>
            </w:r>
          </w:p>
        </w:tc>
        <w:tc>
          <w:tcPr>
            <w:tcW w:w="900" w:type="dxa"/>
            <w:vAlign w:val="bottom"/>
            <w:tcBorders>
              <w:bottom w:val="single" w:sz="8" w:color="404040"/>
            </w:tcBorders>
          </w:tcPr>
          <w:p>
            <w:pPr>
              <w:ind w:left="120"/>
              <w:spacing w:after="0"/>
              <w:rPr>
                <w:sz w:val="20"/>
                <w:szCs w:val="20"/>
                <w:color w:val="auto"/>
              </w:rPr>
            </w:pPr>
            <w:r>
              <w:rPr>
                <w:rFonts w:ascii="Arial" w:cs="Arial" w:eastAsia="Arial" w:hAnsi="Arial"/>
                <w:sz w:val="16"/>
                <w:szCs w:val="16"/>
                <w:color w:val="auto"/>
              </w:rPr>
              <w:t>2,085,003</w:t>
            </w:r>
          </w:p>
        </w:tc>
        <w:tc>
          <w:tcPr>
            <w:tcW w:w="0" w:type="dxa"/>
            <w:vAlign w:val="bottom"/>
          </w:tcPr>
          <w:p>
            <w:pPr>
              <w:spacing w:after="0"/>
              <w:rPr>
                <w:sz w:val="1"/>
                <w:szCs w:val="1"/>
                <w:color w:val="auto"/>
              </w:rPr>
            </w:pPr>
          </w:p>
        </w:tc>
      </w:tr>
      <w:tr>
        <w:trPr>
          <w:trHeight w:val="290"/>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Richard Wong</w:t>
            </w:r>
          </w:p>
        </w:tc>
        <w:tc>
          <w:tcPr>
            <w:tcW w:w="940" w:type="dxa"/>
            <w:vAlign w:val="bottom"/>
          </w:tcPr>
          <w:p>
            <w:pPr>
              <w:ind w:left="80"/>
              <w:spacing w:after="0"/>
              <w:rPr>
                <w:sz w:val="20"/>
                <w:szCs w:val="20"/>
                <w:color w:val="auto"/>
              </w:rPr>
            </w:pPr>
            <w:r>
              <w:rPr>
                <w:rFonts w:ascii="Arial" w:cs="Arial" w:eastAsia="Arial" w:hAnsi="Arial"/>
                <w:sz w:val="16"/>
                <w:szCs w:val="16"/>
                <w:color w:val="auto"/>
              </w:rPr>
              <w:t>08/01/2025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$20,569</w:t>
            </w:r>
          </w:p>
        </w:tc>
        <w:tc>
          <w:tcPr>
            <w:tcW w:w="980" w:type="dxa"/>
            <w:vAlign w:val="bottom"/>
          </w:tcPr>
          <w:p>
            <w:pPr>
              <w:jc w:val="right"/>
              <w:spacing w:after="0" w:line="290" w:lineRule="exact"/>
              <w:rPr>
                <w:sz w:val="20"/>
                <w:szCs w:val="20"/>
                <w:color w:val="auto"/>
              </w:rPr>
            </w:pPr>
            <w:r>
              <w:rPr>
                <w:rFonts w:ascii="Arial" w:cs="Arial" w:eastAsia="Arial" w:hAnsi="Arial"/>
                <w:sz w:val="16"/>
                <w:szCs w:val="16"/>
                <w:color w:val="auto"/>
              </w:rPr>
              <w:t>$123,417</w:t>
            </w:r>
            <w:r>
              <w:rPr>
                <w:rFonts w:ascii="Arial" w:cs="Arial" w:eastAsia="Arial" w:hAnsi="Arial"/>
                <w:sz w:val="26"/>
                <w:szCs w:val="26"/>
                <w:color w:val="auto"/>
                <w:vertAlign w:val="superscript"/>
              </w:rPr>
              <w:t>(4)</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$185,126</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123,417</w:t>
            </w:r>
          </w:p>
        </w:tc>
        <w:tc>
          <w:tcPr>
            <w:tcW w:w="0" w:type="dxa"/>
            <w:vAlign w:val="bottom"/>
          </w:tcPr>
          <w:p>
            <w:pPr>
              <w:spacing w:after="0"/>
              <w:rPr>
                <w:sz w:val="1"/>
                <w:szCs w:val="1"/>
                <w:color w:val="auto"/>
              </w:rPr>
            </w:pPr>
          </w:p>
        </w:tc>
      </w:tr>
      <w:tr>
        <w:trPr>
          <w:trHeight w:val="271"/>
        </w:trPr>
        <w:tc>
          <w:tcPr>
            <w:tcW w:w="1420" w:type="dxa"/>
            <w:vAlign w:val="bottom"/>
            <w:tcBorders>
              <w:bottom w:val="single" w:sz="8" w:color="404040"/>
            </w:tcBorders>
          </w:tcPr>
          <w:p>
            <w:pPr>
              <w:spacing w:after="0"/>
              <w:rPr>
                <w:sz w:val="23"/>
                <w:szCs w:val="23"/>
                <w:color w:val="auto"/>
              </w:rPr>
            </w:pPr>
          </w:p>
        </w:tc>
        <w:tc>
          <w:tcPr>
            <w:tcW w:w="940" w:type="dxa"/>
            <w:vAlign w:val="bottom"/>
            <w:tcBorders>
              <w:bottom w:val="single" w:sz="8" w:color="404040"/>
            </w:tcBorders>
          </w:tcPr>
          <w:p>
            <w:pPr>
              <w:ind w:left="60"/>
              <w:spacing w:after="0"/>
              <w:rPr>
                <w:sz w:val="20"/>
                <w:szCs w:val="20"/>
                <w:color w:val="auto"/>
              </w:rPr>
            </w:pPr>
            <w:r>
              <w:rPr>
                <w:rFonts w:ascii="Arial" w:cs="Arial" w:eastAsia="Arial" w:hAnsi="Arial"/>
                <w:sz w:val="16"/>
                <w:szCs w:val="16"/>
                <w:color w:val="auto"/>
              </w:rPr>
              <w:t>09/03/2025</w:t>
            </w:r>
          </w:p>
        </w:tc>
        <w:tc>
          <w:tcPr>
            <w:tcW w:w="1120" w:type="dxa"/>
            <w:vAlign w:val="bottom"/>
            <w:tcBorders>
              <w:bottom w:val="single" w:sz="8" w:color="404040"/>
            </w:tcBorders>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404040"/>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04040"/>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04040"/>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04040"/>
            </w:tcBorders>
          </w:tcPr>
          <w:p>
            <w:pPr>
              <w:jc w:val="right"/>
              <w:ind w:right="81"/>
              <w:spacing w:after="0" w:line="271" w:lineRule="exact"/>
              <w:rPr>
                <w:sz w:val="20"/>
                <w:szCs w:val="20"/>
                <w:color w:val="auto"/>
              </w:rPr>
            </w:pPr>
            <w:r>
              <w:rPr>
                <w:rFonts w:ascii="Arial" w:cs="Arial" w:eastAsia="Arial" w:hAnsi="Arial"/>
                <w:sz w:val="16"/>
                <w:szCs w:val="16"/>
                <w:color w:val="auto"/>
              </w:rPr>
              <w:t>1,130,323</w:t>
            </w:r>
            <w:r>
              <w:rPr>
                <w:rFonts w:ascii="Arial" w:cs="Arial" w:eastAsia="Arial" w:hAnsi="Arial"/>
                <w:sz w:val="26"/>
                <w:szCs w:val="26"/>
                <w:color w:val="auto"/>
                <w:vertAlign w:val="superscript"/>
              </w:rPr>
              <w:t>(9)</w:t>
            </w:r>
          </w:p>
        </w:tc>
        <w:tc>
          <w:tcPr>
            <w:tcW w:w="900" w:type="dxa"/>
            <w:vAlign w:val="bottom"/>
            <w:tcBorders>
              <w:bottom w:val="single" w:sz="8" w:color="404040"/>
            </w:tcBorders>
          </w:tcPr>
          <w:p>
            <w:pPr>
              <w:ind w:left="120"/>
              <w:spacing w:after="0"/>
              <w:rPr>
                <w:sz w:val="20"/>
                <w:szCs w:val="20"/>
                <w:color w:val="auto"/>
              </w:rPr>
            </w:pPr>
            <w:r>
              <w:rPr>
                <w:rFonts w:ascii="Arial" w:cs="Arial" w:eastAsia="Arial" w:hAnsi="Arial"/>
                <w:sz w:val="16"/>
                <w:szCs w:val="16"/>
                <w:color w:val="auto"/>
              </w:rPr>
              <w:t>8,319,177</w:t>
            </w:r>
          </w:p>
        </w:tc>
        <w:tc>
          <w:tcPr>
            <w:tcW w:w="0" w:type="dxa"/>
            <w:vAlign w:val="bottom"/>
          </w:tcPr>
          <w:p>
            <w:pPr>
              <w:spacing w:after="0"/>
              <w:rPr>
                <w:sz w:val="1"/>
                <w:szCs w:val="1"/>
                <w:color w:val="auto"/>
              </w:rPr>
            </w:pPr>
          </w:p>
        </w:tc>
      </w:tr>
      <w:tr>
        <w:trPr>
          <w:trHeight w:val="216"/>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Scott Lovett</w:t>
            </w:r>
          </w:p>
        </w:tc>
        <w:tc>
          <w:tcPr>
            <w:tcW w:w="9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450,000</w:t>
            </w:r>
          </w:p>
        </w:tc>
        <w:tc>
          <w:tcPr>
            <w:tcW w:w="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0"/>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13,426</w:t>
            </w:r>
          </w:p>
        </w:tc>
        <w:tc>
          <w:tcPr>
            <w:tcW w:w="980" w:type="dxa"/>
            <w:vAlign w:val="bottom"/>
          </w:tcPr>
          <w:p>
            <w:pPr>
              <w:jc w:val="right"/>
              <w:spacing w:after="0"/>
              <w:rPr>
                <w:sz w:val="20"/>
                <w:szCs w:val="20"/>
                <w:color w:val="auto"/>
              </w:rPr>
            </w:pPr>
            <w:r>
              <w:rPr>
                <w:rFonts w:ascii="Arial" w:cs="Arial" w:eastAsia="Arial" w:hAnsi="Arial"/>
                <w:sz w:val="16"/>
                <w:szCs w:val="16"/>
                <w:color w:val="auto"/>
              </w:rPr>
              <w:t>80,558</w:t>
            </w:r>
            <w:r>
              <w:rPr>
                <w:rFonts w:ascii="Arial" w:cs="Arial" w:eastAsia="Arial" w:hAnsi="Arial"/>
                <w:sz w:val="26"/>
                <w:szCs w:val="26"/>
                <w:color w:val="auto"/>
                <w:vertAlign w:val="superscript"/>
              </w:rPr>
              <w:t>(3)</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120,837</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562,295</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24,168</w:t>
            </w:r>
          </w:p>
        </w:tc>
        <w:tc>
          <w:tcPr>
            <w:tcW w:w="980" w:type="dxa"/>
            <w:vAlign w:val="bottom"/>
          </w:tcPr>
          <w:p>
            <w:pPr>
              <w:jc w:val="right"/>
              <w:spacing w:after="0" w:line="297" w:lineRule="exact"/>
              <w:rPr>
                <w:sz w:val="20"/>
                <w:szCs w:val="20"/>
                <w:color w:val="auto"/>
              </w:rPr>
            </w:pPr>
            <w:r>
              <w:rPr>
                <w:rFonts w:ascii="Arial" w:cs="Arial" w:eastAsia="Arial" w:hAnsi="Arial"/>
                <w:sz w:val="16"/>
                <w:szCs w:val="16"/>
                <w:color w:val="auto"/>
              </w:rPr>
              <w:t>48,335</w:t>
            </w:r>
            <w:r>
              <w:rPr>
                <w:rFonts w:ascii="Arial" w:cs="Arial" w:eastAsia="Arial" w:hAnsi="Arial"/>
                <w:sz w:val="26"/>
                <w:szCs w:val="26"/>
                <w:color w:val="auto"/>
                <w:vertAlign w:val="superscript"/>
              </w:rPr>
              <w:t>(6)</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145,005</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705,691</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01"/>
              <w:spacing w:after="0" w:line="297" w:lineRule="exact"/>
              <w:rPr>
                <w:sz w:val="20"/>
                <w:szCs w:val="20"/>
                <w:color w:val="auto"/>
              </w:rPr>
            </w:pPr>
            <w:r>
              <w:rPr>
                <w:rFonts w:ascii="Arial" w:cs="Arial" w:eastAsia="Arial" w:hAnsi="Arial"/>
                <w:sz w:val="16"/>
                <w:szCs w:val="16"/>
                <w:color w:val="auto"/>
              </w:rPr>
              <w:t>193,340</w:t>
            </w:r>
            <w:r>
              <w:rPr>
                <w:rFonts w:ascii="Arial" w:cs="Arial" w:eastAsia="Arial" w:hAnsi="Arial"/>
                <w:sz w:val="26"/>
                <w:szCs w:val="26"/>
                <w:color w:val="auto"/>
                <w:vertAlign w:val="superscript"/>
              </w:rPr>
              <w:t>(5)</w:t>
            </w:r>
          </w:p>
        </w:tc>
        <w:tc>
          <w:tcPr>
            <w:tcW w:w="900" w:type="dxa"/>
            <w:vAlign w:val="bottom"/>
          </w:tcPr>
          <w:p>
            <w:pPr>
              <w:ind w:left="120"/>
              <w:spacing w:after="0"/>
              <w:rPr>
                <w:sz w:val="20"/>
                <w:szCs w:val="20"/>
                <w:color w:val="auto"/>
              </w:rPr>
            </w:pPr>
            <w:r>
              <w:rPr>
                <w:rFonts w:ascii="Arial" w:cs="Arial" w:eastAsia="Arial" w:hAnsi="Arial"/>
                <w:sz w:val="16"/>
                <w:szCs w:val="16"/>
                <w:color w:val="auto"/>
              </w:rPr>
              <w:t>1,349,513</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08/10/2025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4,629</w:t>
            </w:r>
          </w:p>
        </w:tc>
        <w:tc>
          <w:tcPr>
            <w:tcW w:w="980" w:type="dxa"/>
            <w:vAlign w:val="bottom"/>
          </w:tcPr>
          <w:p>
            <w:pPr>
              <w:jc w:val="right"/>
              <w:ind w:right="19"/>
              <w:spacing w:after="0" w:line="297" w:lineRule="exact"/>
              <w:rPr>
                <w:sz w:val="20"/>
                <w:szCs w:val="20"/>
                <w:color w:val="auto"/>
              </w:rPr>
            </w:pPr>
            <w:r>
              <w:rPr>
                <w:rFonts w:ascii="Arial" w:cs="Arial" w:eastAsia="Arial" w:hAnsi="Arial"/>
                <w:sz w:val="16"/>
                <w:szCs w:val="16"/>
                <w:color w:val="auto"/>
              </w:rPr>
              <w:t>27,777</w:t>
            </w:r>
            <w:r>
              <w:rPr>
                <w:rFonts w:ascii="Arial" w:cs="Arial" w:eastAsia="Arial" w:hAnsi="Arial"/>
                <w:sz w:val="26"/>
                <w:szCs w:val="26"/>
                <w:color w:val="auto"/>
                <w:vertAlign w:val="superscript"/>
              </w:rPr>
              <w:t>(3)</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41,665</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194,161</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08/10/2025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46,296</w:t>
            </w:r>
          </w:p>
        </w:tc>
        <w:tc>
          <w:tcPr>
            <w:tcW w:w="980" w:type="dxa"/>
            <w:vAlign w:val="bottom"/>
          </w:tcPr>
          <w:p>
            <w:pPr>
              <w:jc w:val="right"/>
              <w:ind w:right="19"/>
              <w:spacing w:after="0" w:line="297" w:lineRule="exact"/>
              <w:rPr>
                <w:sz w:val="20"/>
                <w:szCs w:val="20"/>
                <w:color w:val="auto"/>
              </w:rPr>
            </w:pPr>
            <w:r>
              <w:rPr>
                <w:rFonts w:ascii="Arial" w:cs="Arial" w:eastAsia="Arial" w:hAnsi="Arial"/>
                <w:sz w:val="16"/>
                <w:szCs w:val="16"/>
                <w:color w:val="auto"/>
              </w:rPr>
              <w:t>277,777</w:t>
            </w:r>
            <w:r>
              <w:rPr>
                <w:rFonts w:ascii="Arial" w:cs="Arial" w:eastAsia="Arial" w:hAnsi="Arial"/>
                <w:sz w:val="26"/>
                <w:szCs w:val="26"/>
                <w:color w:val="auto"/>
                <w:vertAlign w:val="superscript"/>
              </w:rPr>
              <w:t>(3)</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416,665</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ind w:left="120"/>
              <w:spacing w:after="0"/>
              <w:rPr>
                <w:sz w:val="20"/>
                <w:szCs w:val="20"/>
                <w:color w:val="auto"/>
              </w:rPr>
            </w:pPr>
            <w:r>
              <w:rPr>
                <w:rFonts w:ascii="Arial" w:cs="Arial" w:eastAsia="Arial" w:hAnsi="Arial"/>
                <w:sz w:val="16"/>
                <w:szCs w:val="16"/>
                <w:color w:val="auto"/>
              </w:rPr>
              <w:t>1,941,661</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08/10/2025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8,333</w:t>
            </w:r>
          </w:p>
        </w:tc>
        <w:tc>
          <w:tcPr>
            <w:tcW w:w="980" w:type="dxa"/>
            <w:vAlign w:val="bottom"/>
          </w:tcPr>
          <w:p>
            <w:pPr>
              <w:jc w:val="right"/>
              <w:ind w:right="19"/>
              <w:spacing w:after="0" w:line="297" w:lineRule="exact"/>
              <w:rPr>
                <w:sz w:val="20"/>
                <w:szCs w:val="20"/>
                <w:color w:val="auto"/>
              </w:rPr>
            </w:pPr>
            <w:r>
              <w:rPr>
                <w:rFonts w:ascii="Arial" w:cs="Arial" w:eastAsia="Arial" w:hAnsi="Arial"/>
                <w:sz w:val="16"/>
                <w:szCs w:val="16"/>
                <w:color w:val="auto"/>
              </w:rPr>
              <w:t>16,666</w:t>
            </w:r>
            <w:r>
              <w:rPr>
                <w:rFonts w:ascii="Arial" w:cs="Arial" w:eastAsia="Arial" w:hAnsi="Arial"/>
                <w:sz w:val="26"/>
                <w:szCs w:val="26"/>
                <w:color w:val="auto"/>
                <w:vertAlign w:val="superscript"/>
              </w:rPr>
              <w:t>(6)</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49,998</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229,991</w:t>
            </w:r>
          </w:p>
        </w:tc>
        <w:tc>
          <w:tcPr>
            <w:tcW w:w="0" w:type="dxa"/>
            <w:vAlign w:val="bottom"/>
          </w:tcPr>
          <w:p>
            <w:pPr>
              <w:spacing w:after="0"/>
              <w:rPr>
                <w:sz w:val="1"/>
                <w:szCs w:val="1"/>
                <w:color w:val="auto"/>
              </w:rPr>
            </w:pPr>
          </w:p>
        </w:tc>
      </w:tr>
      <w:tr>
        <w:trPr>
          <w:trHeight w:val="271"/>
        </w:trPr>
        <w:tc>
          <w:tcPr>
            <w:tcW w:w="1420" w:type="dxa"/>
            <w:vAlign w:val="bottom"/>
            <w:tcBorders>
              <w:bottom w:val="single" w:sz="8" w:color="404040"/>
            </w:tcBorders>
          </w:tcPr>
          <w:p>
            <w:pPr>
              <w:spacing w:after="0"/>
              <w:rPr>
                <w:sz w:val="23"/>
                <w:szCs w:val="23"/>
                <w:color w:val="auto"/>
              </w:rPr>
            </w:pPr>
          </w:p>
        </w:tc>
        <w:tc>
          <w:tcPr>
            <w:tcW w:w="940" w:type="dxa"/>
            <w:vAlign w:val="bottom"/>
            <w:tcBorders>
              <w:bottom w:val="single" w:sz="8" w:color="404040"/>
            </w:tcBorders>
          </w:tcPr>
          <w:p>
            <w:pPr>
              <w:ind w:left="80"/>
              <w:spacing w:after="0"/>
              <w:rPr>
                <w:sz w:val="20"/>
                <w:szCs w:val="20"/>
                <w:color w:val="auto"/>
              </w:rPr>
            </w:pPr>
            <w:r>
              <w:rPr>
                <w:rFonts w:ascii="Arial" w:cs="Arial" w:eastAsia="Arial" w:hAnsi="Arial"/>
                <w:sz w:val="16"/>
                <w:szCs w:val="16"/>
                <w:color w:val="auto"/>
              </w:rPr>
              <w:t>08/10/2025</w:t>
            </w:r>
          </w:p>
        </w:tc>
        <w:tc>
          <w:tcPr>
            <w:tcW w:w="1120" w:type="dxa"/>
            <w:vAlign w:val="bottom"/>
            <w:tcBorders>
              <w:bottom w:val="single" w:sz="8" w:color="404040"/>
            </w:tcBorders>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404040"/>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04040"/>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04040"/>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04040"/>
            </w:tcBorders>
          </w:tcPr>
          <w:p>
            <w:pPr>
              <w:jc w:val="right"/>
              <w:ind w:right="101"/>
              <w:spacing w:after="0" w:line="271" w:lineRule="exact"/>
              <w:rPr>
                <w:sz w:val="20"/>
                <w:szCs w:val="20"/>
                <w:color w:val="auto"/>
              </w:rPr>
            </w:pPr>
            <w:r>
              <w:rPr>
                <w:rFonts w:ascii="Arial" w:cs="Arial" w:eastAsia="Arial" w:hAnsi="Arial"/>
                <w:sz w:val="16"/>
                <w:szCs w:val="16"/>
                <w:color w:val="auto"/>
              </w:rPr>
              <w:t>66,666</w:t>
            </w:r>
            <w:r>
              <w:rPr>
                <w:rFonts w:ascii="Arial" w:cs="Arial" w:eastAsia="Arial" w:hAnsi="Arial"/>
                <w:sz w:val="26"/>
                <w:szCs w:val="26"/>
                <w:color w:val="auto"/>
                <w:vertAlign w:val="superscript"/>
              </w:rPr>
              <w:t>(7)</w:t>
            </w:r>
          </w:p>
        </w:tc>
        <w:tc>
          <w:tcPr>
            <w:tcW w:w="900" w:type="dxa"/>
            <w:vAlign w:val="bottom"/>
            <w:tcBorders>
              <w:bottom w:val="single" w:sz="8" w:color="404040"/>
            </w:tcBorders>
          </w:tcPr>
          <w:p>
            <w:pPr>
              <w:jc w:val="right"/>
              <w:ind w:right="20"/>
              <w:spacing w:after="0"/>
              <w:rPr>
                <w:sz w:val="20"/>
                <w:szCs w:val="20"/>
                <w:color w:val="auto"/>
              </w:rPr>
            </w:pPr>
            <w:r>
              <w:rPr>
                <w:rFonts w:ascii="Arial" w:cs="Arial" w:eastAsia="Arial" w:hAnsi="Arial"/>
                <w:sz w:val="16"/>
                <w:szCs w:val="16"/>
                <w:color w:val="auto"/>
              </w:rPr>
              <w:t>465,995</w:t>
            </w:r>
          </w:p>
        </w:tc>
        <w:tc>
          <w:tcPr>
            <w:tcW w:w="0" w:type="dxa"/>
            <w:vAlign w:val="bottom"/>
          </w:tcPr>
          <w:p>
            <w:pPr>
              <w:spacing w:after="0"/>
              <w:rPr>
                <w:sz w:val="1"/>
                <w:szCs w:val="1"/>
                <w:color w:val="auto"/>
              </w:rPr>
            </w:pPr>
          </w:p>
        </w:tc>
      </w:tr>
      <w:tr>
        <w:trPr>
          <w:trHeight w:val="290"/>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Todd Nightingale</w:t>
            </w: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$99,999</w:t>
            </w:r>
          </w:p>
        </w:tc>
        <w:tc>
          <w:tcPr>
            <w:tcW w:w="980" w:type="dxa"/>
            <w:vAlign w:val="bottom"/>
          </w:tcPr>
          <w:p>
            <w:pPr>
              <w:jc w:val="right"/>
              <w:spacing w:after="0" w:line="290" w:lineRule="exact"/>
              <w:rPr>
                <w:sz w:val="20"/>
                <w:szCs w:val="20"/>
                <w:color w:val="auto"/>
              </w:rPr>
            </w:pPr>
            <w:r>
              <w:rPr>
                <w:rFonts w:ascii="Arial" w:cs="Arial" w:eastAsia="Arial" w:hAnsi="Arial"/>
                <w:sz w:val="16"/>
                <w:szCs w:val="16"/>
                <w:color w:val="auto"/>
              </w:rPr>
              <w:t>$​600,000</w:t>
            </w:r>
            <w:r>
              <w:rPr>
                <w:rFonts w:ascii="Arial" w:cs="Arial" w:eastAsia="Arial" w:hAnsi="Arial"/>
                <w:sz w:val="26"/>
                <w:szCs w:val="26"/>
                <w:color w:val="auto"/>
                <w:vertAlign w:val="superscript"/>
              </w:rPr>
              <w:t>(4)</w:t>
            </w:r>
          </w:p>
        </w:tc>
        <w:tc>
          <w:tcPr>
            <w:tcW w:w="1080" w:type="dxa"/>
            <w:vAlign w:val="bottom"/>
            <w:gridSpan w:val="2"/>
          </w:tcPr>
          <w:p>
            <w:pPr>
              <w:jc w:val="right"/>
              <w:ind w:right="320"/>
              <w:spacing w:after="0"/>
              <w:rPr>
                <w:sz w:val="20"/>
                <w:szCs w:val="20"/>
                <w:color w:val="auto"/>
              </w:rPr>
            </w:pPr>
            <w:r>
              <w:rPr>
                <w:rFonts w:ascii="Arial" w:cs="Arial" w:eastAsia="Arial" w:hAnsi="Arial"/>
                <w:sz w:val="16"/>
                <w:szCs w:val="16"/>
                <w:color w:val="auto"/>
              </w:rPr>
              <w:t>$​900,000</w:t>
            </w: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 600,000</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03/06/2025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42,293</w:t>
            </w:r>
          </w:p>
        </w:tc>
        <w:tc>
          <w:tcPr>
            <w:tcW w:w="980" w:type="dxa"/>
            <w:vAlign w:val="bottom"/>
          </w:tcPr>
          <w:p>
            <w:pPr>
              <w:jc w:val="right"/>
              <w:ind w:right="19"/>
              <w:spacing w:after="0" w:line="297" w:lineRule="exact"/>
              <w:rPr>
                <w:sz w:val="20"/>
                <w:szCs w:val="20"/>
                <w:color w:val="auto"/>
              </w:rPr>
            </w:pPr>
            <w:r>
              <w:rPr>
                <w:rFonts w:ascii="Arial" w:cs="Arial" w:eastAsia="Arial" w:hAnsi="Arial"/>
                <w:sz w:val="16"/>
                <w:szCs w:val="16"/>
                <w:color w:val="auto"/>
              </w:rPr>
              <w:t>253,759</w:t>
            </w:r>
            <w:r>
              <w:rPr>
                <w:rFonts w:ascii="Arial" w:cs="Arial" w:eastAsia="Arial" w:hAnsi="Arial"/>
                <w:sz w:val="26"/>
                <w:szCs w:val="26"/>
                <w:color w:val="auto"/>
                <w:vertAlign w:val="superscript"/>
              </w:rPr>
              <w:t>(3)</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380,638</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ind w:left="120"/>
              <w:spacing w:after="0"/>
              <w:rPr>
                <w:sz w:val="20"/>
                <w:szCs w:val="20"/>
                <w:color w:val="auto"/>
              </w:rPr>
            </w:pPr>
            <w:r>
              <w:rPr>
                <w:rFonts w:ascii="Arial" w:cs="Arial" w:eastAsia="Arial" w:hAnsi="Arial"/>
                <w:sz w:val="16"/>
                <w:szCs w:val="16"/>
                <w:color w:val="auto"/>
              </w:rPr>
              <w:t>1,649,434</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03/06/2025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54,377</w:t>
            </w:r>
          </w:p>
        </w:tc>
        <w:tc>
          <w:tcPr>
            <w:tcW w:w="980" w:type="dxa"/>
            <w:vAlign w:val="bottom"/>
          </w:tcPr>
          <w:p>
            <w:pPr>
              <w:jc w:val="right"/>
              <w:spacing w:after="0" w:line="297" w:lineRule="exact"/>
              <w:rPr>
                <w:sz w:val="20"/>
                <w:szCs w:val="20"/>
                <w:color w:val="auto"/>
              </w:rPr>
            </w:pPr>
            <w:r>
              <w:rPr>
                <w:rFonts w:ascii="Arial" w:cs="Arial" w:eastAsia="Arial" w:hAnsi="Arial"/>
                <w:sz w:val="16"/>
                <w:szCs w:val="16"/>
                <w:color w:val="auto"/>
              </w:rPr>
              <w:t>108,754</w:t>
            </w:r>
            <w:r>
              <w:rPr>
                <w:rFonts w:ascii="Arial" w:cs="Arial" w:eastAsia="Arial" w:hAnsi="Arial"/>
                <w:sz w:val="26"/>
                <w:szCs w:val="26"/>
                <w:color w:val="auto"/>
                <w:vertAlign w:val="superscript"/>
              </w:rPr>
              <w:t>(6)</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326,262</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ind w:left="120"/>
              <w:spacing w:after="0"/>
              <w:rPr>
                <w:sz w:val="20"/>
                <w:szCs w:val="20"/>
                <w:color w:val="auto"/>
              </w:rPr>
            </w:pPr>
            <w:r>
              <w:rPr>
                <w:rFonts w:ascii="Arial" w:cs="Arial" w:eastAsia="Arial" w:hAnsi="Arial"/>
                <w:sz w:val="16"/>
                <w:szCs w:val="16"/>
                <w:color w:val="auto"/>
              </w:rPr>
              <w:t>1,464,916</w:t>
            </w:r>
          </w:p>
        </w:tc>
        <w:tc>
          <w:tcPr>
            <w:tcW w:w="0" w:type="dxa"/>
            <w:vAlign w:val="bottom"/>
          </w:tcPr>
          <w:p>
            <w:pPr>
              <w:spacing w:after="0"/>
              <w:rPr>
                <w:sz w:val="1"/>
                <w:szCs w:val="1"/>
                <w:color w:val="auto"/>
              </w:rPr>
            </w:pPr>
          </w:p>
        </w:tc>
      </w:tr>
      <w:tr>
        <w:trPr>
          <w:trHeight w:val="271"/>
        </w:trPr>
        <w:tc>
          <w:tcPr>
            <w:tcW w:w="1420" w:type="dxa"/>
            <w:vAlign w:val="bottom"/>
            <w:tcBorders>
              <w:bottom w:val="single" w:sz="8" w:color="404040"/>
            </w:tcBorders>
          </w:tcPr>
          <w:p>
            <w:pPr>
              <w:spacing w:after="0"/>
              <w:rPr>
                <w:sz w:val="23"/>
                <w:szCs w:val="23"/>
                <w:color w:val="auto"/>
              </w:rPr>
            </w:pPr>
          </w:p>
        </w:tc>
        <w:tc>
          <w:tcPr>
            <w:tcW w:w="940" w:type="dxa"/>
            <w:vAlign w:val="bottom"/>
            <w:tcBorders>
              <w:bottom w:val="single" w:sz="8" w:color="404040"/>
            </w:tcBorders>
          </w:tcPr>
          <w:p>
            <w:pPr>
              <w:ind w:left="60"/>
              <w:spacing w:after="0"/>
              <w:rPr>
                <w:sz w:val="20"/>
                <w:szCs w:val="20"/>
                <w:color w:val="auto"/>
              </w:rPr>
            </w:pPr>
            <w:r>
              <w:rPr>
                <w:rFonts w:ascii="Arial" w:cs="Arial" w:eastAsia="Arial" w:hAnsi="Arial"/>
                <w:sz w:val="16"/>
                <w:szCs w:val="16"/>
                <w:color w:val="auto"/>
              </w:rPr>
              <w:t>03/06/2025</w:t>
            </w:r>
          </w:p>
        </w:tc>
        <w:tc>
          <w:tcPr>
            <w:tcW w:w="1120" w:type="dxa"/>
            <w:vAlign w:val="bottom"/>
            <w:tcBorders>
              <w:bottom w:val="single" w:sz="8" w:color="404040"/>
            </w:tcBorders>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404040"/>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404040"/>
            </w:tcBorders>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404040"/>
            </w:tcBorders>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404040"/>
            </w:tcBorders>
          </w:tcPr>
          <w:p>
            <w:pPr>
              <w:jc w:val="right"/>
              <w:ind w:right="101"/>
              <w:spacing w:after="0" w:line="271" w:lineRule="exact"/>
              <w:rPr>
                <w:sz w:val="20"/>
                <w:szCs w:val="20"/>
                <w:color w:val="auto"/>
              </w:rPr>
            </w:pPr>
            <w:r>
              <w:rPr>
                <w:rFonts w:ascii="Arial" w:cs="Arial" w:eastAsia="Arial" w:hAnsi="Arial"/>
                <w:sz w:val="16"/>
                <w:szCs w:val="16"/>
                <w:color w:val="auto"/>
              </w:rPr>
              <w:t>362,513</w:t>
            </w:r>
            <w:r>
              <w:rPr>
                <w:rFonts w:ascii="Arial" w:cs="Arial" w:eastAsia="Arial" w:hAnsi="Arial"/>
                <w:sz w:val="26"/>
                <w:szCs w:val="26"/>
                <w:color w:val="auto"/>
                <w:vertAlign w:val="superscript"/>
              </w:rPr>
              <w:t>(5)</w:t>
            </w:r>
          </w:p>
        </w:tc>
        <w:tc>
          <w:tcPr>
            <w:tcW w:w="900" w:type="dxa"/>
            <w:vAlign w:val="bottom"/>
            <w:tcBorders>
              <w:bottom w:val="single" w:sz="8" w:color="404040"/>
            </w:tcBorders>
          </w:tcPr>
          <w:p>
            <w:pPr>
              <w:ind w:left="120"/>
              <w:spacing w:after="0"/>
              <w:rPr>
                <w:sz w:val="20"/>
                <w:szCs w:val="20"/>
                <w:color w:val="auto"/>
              </w:rPr>
            </w:pPr>
            <w:r>
              <w:rPr>
                <w:rFonts w:ascii="Arial" w:cs="Arial" w:eastAsia="Arial" w:hAnsi="Arial"/>
                <w:sz w:val="16"/>
                <w:szCs w:val="16"/>
                <w:color w:val="auto"/>
              </w:rPr>
              <w:t>2,356,335</w:t>
            </w:r>
          </w:p>
        </w:tc>
        <w:tc>
          <w:tcPr>
            <w:tcW w:w="0" w:type="dxa"/>
            <w:vAlign w:val="bottom"/>
          </w:tcPr>
          <w:p>
            <w:pPr>
              <w:spacing w:after="0"/>
              <w:rPr>
                <w:sz w:val="1"/>
                <w:szCs w:val="1"/>
                <w:color w:val="auto"/>
              </w:rPr>
            </w:pPr>
          </w:p>
        </w:tc>
      </w:tr>
      <w:tr>
        <w:trPr>
          <w:trHeight w:val="290"/>
        </w:trPr>
        <w:tc>
          <w:tcPr>
            <w:tcW w:w="1420" w:type="dxa"/>
            <w:vAlign w:val="bottom"/>
          </w:tcPr>
          <w:p>
            <w:pPr>
              <w:ind w:left="40"/>
              <w:spacing w:after="0"/>
              <w:rPr>
                <w:sz w:val="20"/>
                <w:szCs w:val="20"/>
                <w:color w:val="auto"/>
              </w:rPr>
            </w:pPr>
            <w:r>
              <w:rPr>
                <w:rFonts w:ascii="Arial" w:cs="Arial" w:eastAsia="Arial" w:hAnsi="Arial"/>
                <w:sz w:val="16"/>
                <w:szCs w:val="16"/>
                <w:b w:val="1"/>
                <w:bCs w:val="1"/>
                <w:color w:val="auto"/>
              </w:rPr>
              <w:t>Ronald Kisling</w:t>
            </w: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11,189</w:t>
            </w:r>
          </w:p>
        </w:tc>
        <w:tc>
          <w:tcPr>
            <w:tcW w:w="980" w:type="dxa"/>
            <w:vAlign w:val="bottom"/>
          </w:tcPr>
          <w:p>
            <w:pPr>
              <w:jc w:val="right"/>
              <w:spacing w:after="0" w:line="290" w:lineRule="exact"/>
              <w:rPr>
                <w:sz w:val="20"/>
                <w:szCs w:val="20"/>
                <w:color w:val="auto"/>
              </w:rPr>
            </w:pPr>
            <w:r>
              <w:rPr>
                <w:rFonts w:ascii="Arial" w:cs="Arial" w:eastAsia="Arial" w:hAnsi="Arial"/>
                <w:sz w:val="16"/>
                <w:szCs w:val="16"/>
                <w:color w:val="auto"/>
              </w:rPr>
              <w:t>67,132</w:t>
            </w:r>
            <w:r>
              <w:rPr>
                <w:rFonts w:ascii="Arial" w:cs="Arial" w:eastAsia="Arial" w:hAnsi="Arial"/>
                <w:sz w:val="26"/>
                <w:szCs w:val="26"/>
                <w:color w:val="auto"/>
                <w:vertAlign w:val="superscript"/>
              </w:rPr>
              <w:t>(3)</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100,698</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468,581</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20,139</w:t>
            </w:r>
          </w:p>
        </w:tc>
        <w:tc>
          <w:tcPr>
            <w:tcW w:w="980" w:type="dxa"/>
            <w:vAlign w:val="bottom"/>
          </w:tcPr>
          <w:p>
            <w:pPr>
              <w:jc w:val="right"/>
              <w:spacing w:after="0" w:line="297" w:lineRule="exact"/>
              <w:rPr>
                <w:sz w:val="20"/>
                <w:szCs w:val="20"/>
                <w:color w:val="auto"/>
              </w:rPr>
            </w:pPr>
            <w:r>
              <w:rPr>
                <w:rFonts w:ascii="Arial" w:cs="Arial" w:eastAsia="Arial" w:hAnsi="Arial"/>
                <w:sz w:val="16"/>
                <w:szCs w:val="16"/>
                <w:color w:val="auto"/>
              </w:rPr>
              <w:t>40,279</w:t>
            </w:r>
            <w:r>
              <w:rPr>
                <w:rFonts w:ascii="Arial" w:cs="Arial" w:eastAsia="Arial" w:hAnsi="Arial"/>
                <w:sz w:val="26"/>
                <w:szCs w:val="26"/>
                <w:color w:val="auto"/>
                <w:vertAlign w:val="superscript"/>
              </w:rPr>
              <w:t>(6)</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120,837</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588,073</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$25,000</w:t>
            </w:r>
          </w:p>
        </w:tc>
        <w:tc>
          <w:tcPr>
            <w:tcW w:w="980" w:type="dxa"/>
            <w:vAlign w:val="bottom"/>
          </w:tcPr>
          <w:p>
            <w:pPr>
              <w:jc w:val="right"/>
              <w:spacing w:after="0" w:line="297" w:lineRule="exact"/>
              <w:rPr>
                <w:sz w:val="20"/>
                <w:szCs w:val="20"/>
                <w:color w:val="auto"/>
              </w:rPr>
            </w:pPr>
            <w:r>
              <w:rPr>
                <w:rFonts w:ascii="Arial" w:cs="Arial" w:eastAsia="Arial" w:hAnsi="Arial"/>
                <w:sz w:val="16"/>
                <w:szCs w:val="16"/>
                <w:color w:val="auto"/>
              </w:rPr>
              <w:t>$150,000</w:t>
            </w:r>
            <w:r>
              <w:rPr>
                <w:rFonts w:ascii="Arial" w:cs="Arial" w:eastAsia="Arial" w:hAnsi="Arial"/>
                <w:sz w:val="26"/>
                <w:szCs w:val="26"/>
                <w:color w:val="auto"/>
                <w:vertAlign w:val="superscript"/>
              </w:rPr>
              <w:t>(4)</w:t>
            </w:r>
          </w:p>
        </w:tc>
        <w:tc>
          <w:tcPr>
            <w:tcW w:w="1000" w:type="dxa"/>
            <w:vAlign w:val="bottom"/>
          </w:tcPr>
          <w:p>
            <w:pPr>
              <w:jc w:val="right"/>
              <w:ind w:right="159"/>
              <w:spacing w:after="0"/>
              <w:rPr>
                <w:sz w:val="20"/>
                <w:szCs w:val="20"/>
                <w:color w:val="auto"/>
              </w:rPr>
            </w:pPr>
            <w:r>
              <w:rPr>
                <w:rFonts w:ascii="Arial" w:cs="Arial" w:eastAsia="Arial" w:hAnsi="Arial"/>
                <w:sz w:val="16"/>
                <w:szCs w:val="16"/>
                <w:color w:val="auto"/>
              </w:rPr>
              <w:t>$225,000</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150,000</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6"/>
                <w:szCs w:val="16"/>
                <w:color w:val="auto"/>
              </w:rPr>
              <w:t>02/26/2025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1"/>
              <w:spacing w:after="0" w:line="297" w:lineRule="exact"/>
              <w:rPr>
                <w:sz w:val="20"/>
                <w:szCs w:val="20"/>
                <w:color w:val="auto"/>
              </w:rPr>
            </w:pPr>
            <w:r>
              <w:rPr>
                <w:rFonts w:ascii="Arial" w:cs="Arial" w:eastAsia="Arial" w:hAnsi="Arial"/>
                <w:sz w:val="16"/>
                <w:szCs w:val="16"/>
                <w:color w:val="auto"/>
              </w:rPr>
              <w:t>161,117</w:t>
            </w:r>
            <w:r>
              <w:rPr>
                <w:rFonts w:ascii="Arial" w:cs="Arial" w:eastAsia="Arial" w:hAnsi="Arial"/>
                <w:sz w:val="26"/>
                <w:szCs w:val="26"/>
                <w:color w:val="auto"/>
                <w:vertAlign w:val="superscript"/>
              </w:rPr>
              <w:t>(5)</w:t>
            </w:r>
          </w:p>
        </w:tc>
        <w:tc>
          <w:tcPr>
            <w:tcW w:w="900" w:type="dxa"/>
            <w:vAlign w:val="bottom"/>
          </w:tcPr>
          <w:p>
            <w:pPr>
              <w:ind w:left="120"/>
              <w:spacing w:after="0"/>
              <w:rPr>
                <w:sz w:val="20"/>
                <w:szCs w:val="20"/>
                <w:color w:val="auto"/>
              </w:rPr>
            </w:pPr>
            <w:r>
              <w:rPr>
                <w:rFonts w:ascii="Arial" w:cs="Arial" w:eastAsia="Arial" w:hAnsi="Arial"/>
                <w:sz w:val="16"/>
                <w:szCs w:val="16"/>
                <w:color w:val="auto"/>
              </w:rPr>
              <w:t>1,124,597</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08/01/2025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line="297" w:lineRule="exact"/>
              <w:rPr>
                <w:sz w:val="20"/>
                <w:szCs w:val="20"/>
                <w:color w:val="auto"/>
              </w:rPr>
            </w:pPr>
            <w:r>
              <w:rPr>
                <w:rFonts w:ascii="Arial" w:cs="Arial" w:eastAsia="Arial" w:hAnsi="Arial"/>
                <w:sz w:val="16"/>
                <w:szCs w:val="16"/>
                <w:color w:val="auto"/>
              </w:rPr>
              <w:t>11,597</w:t>
            </w:r>
            <w:r>
              <w:rPr>
                <w:rFonts w:ascii="Arial" w:cs="Arial" w:eastAsia="Arial" w:hAnsi="Arial"/>
                <w:sz w:val="26"/>
                <w:szCs w:val="26"/>
                <w:color w:val="auto"/>
                <w:vertAlign w:val="superscript"/>
              </w:rPr>
              <w:t>(10)</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08/01/2025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line="297" w:lineRule="exact"/>
              <w:rPr>
                <w:sz w:val="20"/>
                <w:szCs w:val="20"/>
                <w:color w:val="auto"/>
              </w:rPr>
            </w:pPr>
            <w:r>
              <w:rPr>
                <w:rFonts w:ascii="Arial" w:cs="Arial" w:eastAsia="Arial" w:hAnsi="Arial"/>
                <w:sz w:val="16"/>
                <w:szCs w:val="16"/>
                <w:color w:val="auto"/>
              </w:rPr>
              <w:t>13,426</w:t>
            </w:r>
            <w:r>
              <w:rPr>
                <w:rFonts w:ascii="Arial" w:cs="Arial" w:eastAsia="Arial" w:hAnsi="Arial"/>
                <w:sz w:val="26"/>
                <w:szCs w:val="26"/>
                <w:color w:val="auto"/>
                <w:vertAlign w:val="superscript"/>
              </w:rPr>
              <w:t>(10)</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08/01/2025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1"/>
              <w:spacing w:after="0" w:line="297" w:lineRule="exact"/>
              <w:rPr>
                <w:sz w:val="20"/>
                <w:szCs w:val="20"/>
                <w:color w:val="auto"/>
              </w:rPr>
            </w:pPr>
            <w:r>
              <w:rPr>
                <w:rFonts w:ascii="Arial" w:cs="Arial" w:eastAsia="Arial" w:hAnsi="Arial"/>
                <w:sz w:val="16"/>
                <w:szCs w:val="16"/>
                <w:color w:val="auto"/>
              </w:rPr>
              <w:t>7,492</w:t>
            </w:r>
            <w:r>
              <w:rPr>
                <w:rFonts w:ascii="Arial" w:cs="Arial" w:eastAsia="Arial" w:hAnsi="Arial"/>
                <w:sz w:val="26"/>
                <w:szCs w:val="26"/>
                <w:color w:val="auto"/>
                <w:vertAlign w:val="superscript"/>
              </w:rPr>
              <w:t>(10)</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97"/>
        </w:trPr>
        <w:tc>
          <w:tcPr>
            <w:tcW w:w="1420" w:type="dxa"/>
            <w:vAlign w:val="bottom"/>
          </w:tcPr>
          <w:p>
            <w:pPr>
              <w:spacing w:after="0"/>
              <w:rPr>
                <w:sz w:val="24"/>
                <w:szCs w:val="24"/>
                <w:color w:val="auto"/>
              </w:rPr>
            </w:pPr>
          </w:p>
        </w:tc>
        <w:tc>
          <w:tcPr>
            <w:tcW w:w="940" w:type="dxa"/>
            <w:vAlign w:val="bottom"/>
          </w:tcPr>
          <w:p>
            <w:pPr>
              <w:ind w:left="80"/>
              <w:spacing w:after="0"/>
              <w:rPr>
                <w:sz w:val="20"/>
                <w:szCs w:val="20"/>
                <w:color w:val="auto"/>
              </w:rPr>
            </w:pPr>
            <w:r>
              <w:rPr>
                <w:rFonts w:ascii="Arial" w:cs="Arial" w:eastAsia="Arial" w:hAnsi="Arial"/>
                <w:sz w:val="16"/>
                <w:szCs w:val="16"/>
                <w:color w:val="auto"/>
              </w:rPr>
              <w:t>08/01/2025</w:t>
            </w:r>
          </w:p>
        </w:tc>
        <w:tc>
          <w:tcPr>
            <w:tcW w:w="1120" w:type="dxa"/>
            <w:vAlign w:val="bottom"/>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297" w:lineRule="exact"/>
              <w:rPr>
                <w:sz w:val="20"/>
                <w:szCs w:val="20"/>
                <w:color w:val="auto"/>
              </w:rPr>
            </w:pPr>
            <w:r>
              <w:rPr>
                <w:rFonts w:ascii="Arial" w:cs="Arial" w:eastAsia="Arial" w:hAnsi="Arial"/>
                <w:sz w:val="16"/>
                <w:szCs w:val="16"/>
                <w:color w:val="auto"/>
              </w:rPr>
              <w:t>115,000</w:t>
            </w:r>
            <w:r>
              <w:rPr>
                <w:rFonts w:ascii="Arial" w:cs="Arial" w:eastAsia="Arial" w:hAnsi="Arial"/>
                <w:sz w:val="26"/>
                <w:szCs w:val="26"/>
                <w:color w:val="auto"/>
                <w:vertAlign w:val="superscript"/>
              </w:rPr>
              <w:t>(11)</w:t>
            </w:r>
          </w:p>
        </w:tc>
        <w:tc>
          <w:tcPr>
            <w:tcW w:w="80" w:type="dxa"/>
            <w:vAlign w:val="bottom"/>
          </w:tcPr>
          <w:p>
            <w:pPr>
              <w:spacing w:after="0"/>
              <w:rPr>
                <w:sz w:val="24"/>
                <w:szCs w:val="24"/>
                <w:color w:val="auto"/>
              </w:rPr>
            </w:pPr>
          </w:p>
        </w:tc>
        <w:tc>
          <w:tcPr>
            <w:tcW w:w="1120" w:type="dxa"/>
            <w:vAlign w:val="bottom"/>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44"/>
        </w:trPr>
        <w:tc>
          <w:tcPr>
            <w:tcW w:w="1420" w:type="dxa"/>
            <w:vAlign w:val="bottom"/>
            <w:tcBorders>
              <w:bottom w:val="single" w:sz="8" w:color="404040"/>
            </w:tcBorders>
          </w:tcPr>
          <w:p>
            <w:pPr>
              <w:spacing w:after="0"/>
              <w:rPr>
                <w:sz w:val="21"/>
                <w:szCs w:val="21"/>
                <w:color w:val="auto"/>
              </w:rPr>
            </w:pPr>
          </w:p>
        </w:tc>
        <w:tc>
          <w:tcPr>
            <w:tcW w:w="940" w:type="dxa"/>
            <w:vAlign w:val="bottom"/>
            <w:tcBorders>
              <w:bottom w:val="single" w:sz="8" w:color="404040"/>
            </w:tcBorders>
          </w:tcPr>
          <w:p>
            <w:pPr>
              <w:ind w:left="80"/>
              <w:spacing w:after="0"/>
              <w:rPr>
                <w:sz w:val="20"/>
                <w:szCs w:val="20"/>
                <w:color w:val="auto"/>
              </w:rPr>
            </w:pPr>
            <w:r>
              <w:rPr>
                <w:rFonts w:ascii="Arial" w:cs="Arial" w:eastAsia="Arial" w:hAnsi="Arial"/>
                <w:sz w:val="16"/>
                <w:szCs w:val="16"/>
                <w:color w:val="auto"/>
              </w:rPr>
              <w:t>08/01/2025</w:t>
            </w:r>
          </w:p>
        </w:tc>
        <w:tc>
          <w:tcPr>
            <w:tcW w:w="1120" w:type="dxa"/>
            <w:vAlign w:val="bottom"/>
            <w:tcBorders>
              <w:bottom w:val="single" w:sz="8" w:color="404040"/>
            </w:tcBorders>
            <w:gridSpan w:val="2"/>
          </w:tcPr>
          <w:p>
            <w:pPr>
              <w:ind w:left="8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404040"/>
            </w:tcBorders>
          </w:tcPr>
          <w:p>
            <w:pPr>
              <w:jc w:val="right"/>
              <w:spacing w:after="0"/>
              <w:rPr>
                <w:sz w:val="20"/>
                <w:szCs w:val="20"/>
                <w:color w:val="auto"/>
              </w:rPr>
            </w:pPr>
            <w:r>
              <w:rPr>
                <w:rFonts w:ascii="Arial" w:cs="Arial" w:eastAsia="Arial" w:hAnsi="Arial"/>
                <w:sz w:val="16"/>
                <w:szCs w:val="16"/>
                <w:color w:val="auto"/>
              </w:rPr>
              <w:t>5,594</w:t>
            </w:r>
          </w:p>
        </w:tc>
        <w:tc>
          <w:tcPr>
            <w:tcW w:w="980" w:type="dxa"/>
            <w:vAlign w:val="bottom"/>
            <w:tcBorders>
              <w:bottom w:val="single" w:sz="8" w:color="404040"/>
            </w:tcBorders>
          </w:tcPr>
          <w:p>
            <w:pPr>
              <w:jc w:val="right"/>
              <w:ind w:right="179"/>
              <w:spacing w:after="0"/>
              <w:rPr>
                <w:sz w:val="20"/>
                <w:szCs w:val="20"/>
                <w:color w:val="auto"/>
              </w:rPr>
            </w:pPr>
            <w:r>
              <w:rPr>
                <w:rFonts w:ascii="Arial" w:cs="Arial" w:eastAsia="Arial" w:hAnsi="Arial"/>
                <w:sz w:val="16"/>
                <w:szCs w:val="16"/>
                <w:color w:val="auto"/>
              </w:rPr>
              <w:t>33,566</w:t>
            </w:r>
          </w:p>
        </w:tc>
        <w:tc>
          <w:tcPr>
            <w:tcW w:w="1000" w:type="dxa"/>
            <w:vAlign w:val="bottom"/>
            <w:tcBorders>
              <w:bottom w:val="single" w:sz="8" w:color="404040"/>
            </w:tcBorders>
          </w:tcPr>
          <w:p>
            <w:pPr>
              <w:jc w:val="right"/>
              <w:spacing w:after="0" w:line="243" w:lineRule="exact"/>
              <w:rPr>
                <w:sz w:val="20"/>
                <w:szCs w:val="20"/>
                <w:color w:val="auto"/>
              </w:rPr>
            </w:pPr>
            <w:r>
              <w:rPr>
                <w:rFonts w:ascii="Arial" w:cs="Arial" w:eastAsia="Arial" w:hAnsi="Arial"/>
                <w:sz w:val="16"/>
                <w:szCs w:val="16"/>
                <w:color w:val="auto"/>
              </w:rPr>
              <w:t>50,349</w:t>
            </w:r>
            <w:r>
              <w:rPr>
                <w:rFonts w:ascii="Arial" w:cs="Arial" w:eastAsia="Arial" w:hAnsi="Arial"/>
                <w:sz w:val="26"/>
                <w:szCs w:val="26"/>
                <w:color w:val="auto"/>
                <w:vertAlign w:val="superscript"/>
              </w:rPr>
              <w:t>(12)</w:t>
            </w:r>
          </w:p>
        </w:tc>
        <w:tc>
          <w:tcPr>
            <w:tcW w:w="80" w:type="dxa"/>
            <w:vAlign w:val="bottom"/>
            <w:tcBorders>
              <w:bottom w:val="single" w:sz="8" w:color="404040"/>
            </w:tcBorders>
          </w:tcPr>
          <w:p>
            <w:pPr>
              <w:spacing w:after="0"/>
              <w:rPr>
                <w:sz w:val="21"/>
                <w:szCs w:val="21"/>
                <w:color w:val="auto"/>
              </w:rPr>
            </w:pPr>
          </w:p>
        </w:tc>
        <w:tc>
          <w:tcPr>
            <w:tcW w:w="1120" w:type="dxa"/>
            <w:vAlign w:val="bottom"/>
            <w:tcBorders>
              <w:bottom w:val="single" w:sz="8" w:color="404040"/>
            </w:tcBorders>
          </w:tcPr>
          <w:p>
            <w:pPr>
              <w:jc w:val="right"/>
              <w:ind w:right="2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404040"/>
            </w:tcBorders>
          </w:tcPr>
          <w:p>
            <w:pPr>
              <w:jc w:val="right"/>
              <w:ind w:right="4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left="1000" w:right="640" w:hanging="348"/>
        <w:spacing w:after="0" w:line="233" w:lineRule="auto"/>
        <w:tabs>
          <w:tab w:leader="none" w:pos="10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Amounts shown in this column represent the cash commission awards provided for Mr. Lovett pursuant to our Commission Plan. The Commission Plan does not provide for a threshold or maximum amount to Mr. Lovett. See “2025 Summary Compensation Table” above for amounts achieved under the Commission Plan.</w:t>
      </w:r>
    </w:p>
    <w:p>
      <w:pPr>
        <w:jc w:val="both"/>
        <w:ind w:left="1000" w:right="640" w:hanging="348"/>
        <w:spacing w:after="0" w:line="231" w:lineRule="auto"/>
        <w:tabs>
          <w:tab w:leader="none" w:pos="100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Our 2025 Bonus Program provided for payment of bonuses based on our achievement of the 2025 Objectives with amounts earned by the Named Executive Officers to be paid in the form of fully vested RSUs. For Messrs. Compton, Bergman, Wong, Nightingale, and Kisling, the amounts shown in the “Estimated Future Payouts Under Equity Incentive Plan Awards” column of this table include the applicable dollar</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020" w:right="299"/>
        <w:spacing w:after="0" w:line="229" w:lineRule="auto"/>
        <w:rPr>
          <w:sz w:val="20"/>
          <w:szCs w:val="20"/>
          <w:color w:val="auto"/>
        </w:rPr>
      </w:pPr>
      <w:r>
        <w:rPr>
          <w:rFonts w:ascii="Arial" w:cs="Arial" w:eastAsia="Arial" w:hAnsi="Arial"/>
          <w:sz w:val="13"/>
          <w:szCs w:val="13"/>
          <w:color w:val="auto"/>
        </w:rPr>
        <w:t>values of the bonus award, which was converted to a number of fully vested RSUs that were issued with respect to the bonuses earned under our 2025 Bonus Program (as determined by dividing the applicable dollar value of the bonus earned by the closing price of our common stock on February 20, 2026, of $18.08, rounded down to the nearest whole RSU. Additional information on the payment of the 2025 Bonus Program bonuses is set out in footnote 1 to the Summary Compensation Table and footnote 4 to this table.</w:t>
      </w:r>
    </w:p>
    <w:p>
      <w:pPr>
        <w:jc w:val="both"/>
        <w:ind w:left="1000" w:right="299" w:hanging="348"/>
        <w:spacing w:after="0" w:line="225"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These awards were granted by our Compensation Committee in February, March, and August 2025 and may be earned from 0% to 150% based on the achievement of certain pre-established performance goals during fiscal year 2025. Once earned, this award would be subject to time-based vesting, with 33% of the earned shares vesting on February 28, 2026, and 8.375% quarterly thereafter on May 28, August 28, November 28, and February 28, subject to the grantee continuing to provide services to us through each vesting date. 135.4% of the pre-established performance goals were met, and the grantees were eligible to receive 135.4% of the target number of shares.</w:t>
      </w:r>
    </w:p>
    <w:p>
      <w:pPr>
        <w:spacing w:after="0" w:line="10" w:lineRule="exact"/>
        <w:rPr>
          <w:rFonts w:ascii="Arial" w:cs="Arial" w:eastAsia="Arial" w:hAnsi="Arial"/>
          <w:sz w:val="13"/>
          <w:szCs w:val="13"/>
          <w:color w:val="auto"/>
        </w:rPr>
      </w:pPr>
    </w:p>
    <w:p>
      <w:pPr>
        <w:ind w:left="1000" w:right="299" w:hanging="348"/>
        <w:spacing w:after="0" w:line="243"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Amounts in this row reflect the threshold, target and maximum bonus dollar amounts payable in the form of fully vested RSUs granted under the 2025 Bonus Program, as further explained in footnote 2 to this table and in footnote 1 to the Summary Compensation Table.</w:t>
      </w:r>
    </w:p>
    <w:p>
      <w:pPr>
        <w:spacing w:after="0" w:line="15" w:lineRule="exact"/>
        <w:rPr>
          <w:rFonts w:ascii="Arial" w:cs="Arial" w:eastAsia="Arial" w:hAnsi="Arial"/>
          <w:sz w:val="13"/>
          <w:szCs w:val="13"/>
          <w:color w:val="auto"/>
        </w:rPr>
      </w:pPr>
    </w:p>
    <w:p>
      <w:pPr>
        <w:ind w:left="1000" w:right="299" w:hanging="348"/>
        <w:spacing w:after="0" w:line="183" w:lineRule="auto"/>
        <w:tabs>
          <w:tab w:leader="none" w:pos="1000" w:val="left"/>
        </w:tabs>
        <w:numPr>
          <w:ilvl w:val="0"/>
          <w:numId w:val="43"/>
        </w:numPr>
        <w:rPr>
          <w:rFonts w:ascii="Arial" w:cs="Arial" w:eastAsia="Arial" w:hAnsi="Arial"/>
          <w:sz w:val="25"/>
          <w:szCs w:val="25"/>
          <w:color w:val="auto"/>
          <w:vertAlign w:val="superscript"/>
        </w:rPr>
      </w:pPr>
      <w:r>
        <w:rPr>
          <w:rFonts w:ascii="Arial" w:cs="Arial" w:eastAsia="Arial" w:hAnsi="Arial"/>
          <w:sz w:val="13"/>
          <w:szCs w:val="13"/>
          <w:color w:val="auto"/>
        </w:rPr>
        <w:t>Consists of time-based vesting RSUs, which vested as to 1/12</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of the shares on May 15, 2025, and are eligible to vest through the third anniversary of the vesting commencement date, subject to the grantee’s continuous service through each vesting date.</w:t>
      </w:r>
    </w:p>
    <w:p>
      <w:pPr>
        <w:jc w:val="both"/>
        <w:ind w:left="1000" w:right="299" w:hanging="348"/>
        <w:spacing w:after="0" w:line="231"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These awards were granted by our Compensation Committee in February, March, and August 2025 and may be earned from 0% to 300% based on our total shareholder return relative to the total shareholder return that comprise the Russell 2000 Index at the end of the performance period, which is the earlier of February 26, 2028 and a change in control.</w:t>
      </w:r>
    </w:p>
    <w:p>
      <w:pPr>
        <w:spacing w:after="0" w:line="17" w:lineRule="exact"/>
        <w:rPr>
          <w:rFonts w:ascii="Arial" w:cs="Arial" w:eastAsia="Arial" w:hAnsi="Arial"/>
          <w:sz w:val="13"/>
          <w:szCs w:val="13"/>
          <w:color w:val="auto"/>
        </w:rPr>
      </w:pPr>
    </w:p>
    <w:p>
      <w:pPr>
        <w:ind w:left="1000" w:right="319" w:hanging="348"/>
        <w:spacing w:after="0" w:line="183" w:lineRule="auto"/>
        <w:tabs>
          <w:tab w:leader="none" w:pos="1000" w:val="left"/>
        </w:tabs>
        <w:numPr>
          <w:ilvl w:val="0"/>
          <w:numId w:val="43"/>
        </w:numPr>
        <w:rPr>
          <w:rFonts w:ascii="Arial" w:cs="Arial" w:eastAsia="Arial" w:hAnsi="Arial"/>
          <w:sz w:val="25"/>
          <w:szCs w:val="25"/>
          <w:color w:val="auto"/>
          <w:vertAlign w:val="superscript"/>
        </w:rPr>
      </w:pPr>
      <w:r>
        <w:rPr>
          <w:rFonts w:ascii="Arial" w:cs="Arial" w:eastAsia="Arial" w:hAnsi="Arial"/>
          <w:sz w:val="13"/>
          <w:szCs w:val="13"/>
          <w:color w:val="auto"/>
        </w:rPr>
        <w:t>Consists of time-based vesting RSUs, which vested as to 1/12</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of the shares on August 15, 2025, and are eligible to vest through the third anniversary of the vesting commencement date, subject to the grantee’s continuous service through each vesting date.</w:t>
      </w:r>
    </w:p>
    <w:p>
      <w:pPr>
        <w:spacing w:after="0" w:line="10" w:lineRule="exact"/>
        <w:rPr>
          <w:rFonts w:ascii="Arial" w:cs="Arial" w:eastAsia="Arial" w:hAnsi="Arial"/>
          <w:sz w:val="25"/>
          <w:szCs w:val="25"/>
          <w:color w:val="auto"/>
          <w:vertAlign w:val="superscript"/>
        </w:rPr>
      </w:pPr>
    </w:p>
    <w:p>
      <w:pPr>
        <w:ind w:left="1000" w:hanging="348"/>
        <w:spacing w:after="0"/>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RSUs granted as part of base salary reduction.</w:t>
      </w:r>
    </w:p>
    <w:p>
      <w:pPr>
        <w:spacing w:after="0" w:line="20" w:lineRule="exact"/>
        <w:rPr>
          <w:rFonts w:ascii="Arial" w:cs="Arial" w:eastAsia="Arial" w:hAnsi="Arial"/>
          <w:sz w:val="13"/>
          <w:szCs w:val="13"/>
          <w:color w:val="auto"/>
        </w:rPr>
      </w:pPr>
    </w:p>
    <w:p>
      <w:pPr>
        <w:jc w:val="both"/>
        <w:ind w:left="1000" w:right="299" w:hanging="348"/>
        <w:spacing w:after="0" w:line="191" w:lineRule="auto"/>
        <w:tabs>
          <w:tab w:leader="none" w:pos="1000" w:val="left"/>
        </w:tabs>
        <w:numPr>
          <w:ilvl w:val="0"/>
          <w:numId w:val="43"/>
        </w:numPr>
        <w:rPr>
          <w:rFonts w:ascii="Arial" w:cs="Arial" w:eastAsia="Arial" w:hAnsi="Arial"/>
          <w:sz w:val="25"/>
          <w:szCs w:val="25"/>
          <w:color w:val="auto"/>
          <w:vertAlign w:val="superscript"/>
        </w:rPr>
      </w:pPr>
      <w:r>
        <w:rPr>
          <w:rFonts w:ascii="Arial" w:cs="Arial" w:eastAsia="Arial" w:hAnsi="Arial"/>
          <w:sz w:val="13"/>
          <w:szCs w:val="13"/>
          <w:color w:val="auto"/>
        </w:rPr>
        <w:t>Consists of time-based vesting RSUs, granted in connection with the appointment of Mr. Wong, which will vest as to 1/4</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of the shares on August 15, 2026, and vest as to the remainder of the shares in 12 equal quarterly installments thereafter, subject to Mr. Wong’s continuous service through each such date.</w:t>
      </w:r>
    </w:p>
    <w:p>
      <w:pPr>
        <w:spacing w:after="0" w:line="11" w:lineRule="exact"/>
        <w:rPr>
          <w:rFonts w:ascii="Arial" w:cs="Arial" w:eastAsia="Arial" w:hAnsi="Arial"/>
          <w:sz w:val="25"/>
          <w:szCs w:val="25"/>
          <w:color w:val="auto"/>
          <w:vertAlign w:val="superscript"/>
        </w:rPr>
      </w:pPr>
    </w:p>
    <w:p>
      <w:pPr>
        <w:jc w:val="both"/>
        <w:ind w:left="1000" w:right="299" w:hanging="348"/>
        <w:spacing w:after="0" w:line="233"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These represent RSUs that were modified in connection with the Kisling Separation Agreement. As described in footnotes 1 and 10 to the Summary Compensation Table above, the incremental fair value of those modifications was negative under ASC 718, and they are reported as $0.</w:t>
      </w:r>
    </w:p>
    <w:p>
      <w:pPr>
        <w:spacing w:after="0" w:line="10" w:lineRule="exact"/>
        <w:rPr>
          <w:rFonts w:ascii="Arial" w:cs="Arial" w:eastAsia="Arial" w:hAnsi="Arial"/>
          <w:sz w:val="13"/>
          <w:szCs w:val="13"/>
          <w:color w:val="auto"/>
        </w:rPr>
      </w:pPr>
    </w:p>
    <w:p>
      <w:pPr>
        <w:jc w:val="both"/>
        <w:ind w:left="1000" w:right="319" w:hanging="348"/>
        <w:spacing w:after="0" w:line="233"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These represent Stock Price Hurdle PSUs that were modified in connection with the Kisling Separation Agreement. As described in footnotes 1 and 10 to the Summary Compensation Table above, the incremental fair value of those modifications was negative under ASC 718, and they are reported as $0.</w:t>
      </w:r>
    </w:p>
    <w:p>
      <w:pPr>
        <w:jc w:val="both"/>
        <w:ind w:left="1000" w:right="299" w:hanging="348"/>
        <w:spacing w:after="0" w:line="231" w:lineRule="auto"/>
        <w:tabs>
          <w:tab w:leader="none" w:pos="100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These represent Financial PSUs that were modified in connection with the Kisling Separation Agreement. As described in footnotes 1 and 10 to the Summary Compensation Table above, the incremental fair value of those modifications was negative under ASC 718, and they are reported as $0.</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50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EE3434"/>
        </w:rPr>
        <w:t>2025 Outstanding Equity Awards as of Fiscal Year-End Table</w:t>
      </w:r>
    </w:p>
    <w:p>
      <w:pPr>
        <w:spacing w:after="0" w:line="139" w:lineRule="exact"/>
        <w:rPr>
          <w:sz w:val="20"/>
          <w:szCs w:val="20"/>
          <w:color w:val="auto"/>
        </w:rPr>
      </w:pPr>
    </w:p>
    <w:p>
      <w:pPr>
        <w:ind w:left="820" w:right="820"/>
        <w:spacing w:after="0" w:line="286" w:lineRule="auto"/>
        <w:rPr>
          <w:sz w:val="20"/>
          <w:szCs w:val="20"/>
          <w:color w:val="auto"/>
        </w:rPr>
      </w:pPr>
      <w:r>
        <w:rPr>
          <w:rFonts w:ascii="Arial" w:cs="Arial" w:eastAsia="Arial" w:hAnsi="Arial"/>
          <w:sz w:val="16"/>
          <w:szCs w:val="16"/>
          <w:color w:val="auto"/>
        </w:rPr>
        <w:t>The following table shows, certain information regarding outstanding equity awards held at December 31, 2025, by our Named Executive Officers: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1080" w:type="dxa"/>
            <w:vAlign w:val="bottom"/>
            <w:tcBorders>
              <w:bottom w:val="single" w:sz="8" w:color="404040"/>
            </w:tcBorders>
          </w:tcPr>
          <w:p>
            <w:pPr>
              <w:spacing w:after="0"/>
              <w:rPr>
                <w:sz w:val="19"/>
                <w:szCs w:val="19"/>
                <w:color w:val="auto"/>
              </w:rPr>
            </w:pPr>
          </w:p>
        </w:tc>
        <w:tc>
          <w:tcPr>
            <w:tcW w:w="740" w:type="dxa"/>
            <w:vAlign w:val="bottom"/>
            <w:tcBorders>
              <w:bottom w:val="single" w:sz="8" w:color="404040"/>
            </w:tcBorders>
          </w:tcPr>
          <w:p>
            <w:pPr>
              <w:spacing w:after="0"/>
              <w:rPr>
                <w:sz w:val="19"/>
                <w:szCs w:val="19"/>
                <w:color w:val="auto"/>
              </w:rPr>
            </w:pPr>
          </w:p>
        </w:tc>
        <w:tc>
          <w:tcPr>
            <w:tcW w:w="1920" w:type="dxa"/>
            <w:vAlign w:val="bottom"/>
            <w:tcBorders>
              <w:bottom w:val="single" w:sz="8" w:color="404040"/>
            </w:tcBorders>
            <w:gridSpan w:val="2"/>
          </w:tcPr>
          <w:p>
            <w:pPr>
              <w:jc w:val="right"/>
              <w:ind w:right="657"/>
              <w:spacing w:after="0"/>
              <w:rPr>
                <w:sz w:val="20"/>
                <w:szCs w:val="20"/>
                <w:color w:val="auto"/>
              </w:rPr>
            </w:pPr>
            <w:r>
              <w:rPr>
                <w:rFonts w:ascii="Arial" w:cs="Arial" w:eastAsia="Arial" w:hAnsi="Arial"/>
                <w:sz w:val="13"/>
                <w:szCs w:val="13"/>
                <w:b w:val="1"/>
                <w:bCs w:val="1"/>
                <w:color w:val="auto"/>
              </w:rPr>
              <w:t>Option Awards</w:t>
            </w:r>
            <w:r>
              <w:rPr>
                <w:rFonts w:ascii="Arial" w:cs="Arial" w:eastAsia="Arial" w:hAnsi="Arial"/>
                <w:sz w:val="20"/>
                <w:szCs w:val="20"/>
                <w:b w:val="1"/>
                <w:bCs w:val="1"/>
                <w:color w:val="auto"/>
                <w:vertAlign w:val="superscript"/>
              </w:rPr>
              <w:t>(1)</w:t>
            </w:r>
          </w:p>
        </w:tc>
        <w:tc>
          <w:tcPr>
            <w:tcW w:w="600" w:type="dxa"/>
            <w:vAlign w:val="bottom"/>
            <w:tcBorders>
              <w:bottom w:val="single" w:sz="8" w:color="404040"/>
            </w:tcBorders>
          </w:tcPr>
          <w:p>
            <w:pPr>
              <w:spacing w:after="0"/>
              <w:rPr>
                <w:sz w:val="19"/>
                <w:szCs w:val="19"/>
                <w:color w:val="auto"/>
              </w:rPr>
            </w:pPr>
          </w:p>
        </w:tc>
        <w:tc>
          <w:tcPr>
            <w:tcW w:w="660" w:type="dxa"/>
            <w:vAlign w:val="bottom"/>
            <w:tcBorders>
              <w:bottom w:val="single" w:sz="8" w:color="404040"/>
            </w:tcBorders>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Borders>
              <w:bottom w:val="single" w:sz="8" w:color="404040"/>
            </w:tcBorders>
          </w:tcPr>
          <w:p>
            <w:pPr>
              <w:spacing w:after="0"/>
              <w:rPr>
                <w:sz w:val="19"/>
                <w:szCs w:val="19"/>
                <w:color w:val="auto"/>
              </w:rPr>
            </w:pPr>
          </w:p>
        </w:tc>
        <w:tc>
          <w:tcPr>
            <w:tcW w:w="1800" w:type="dxa"/>
            <w:vAlign w:val="bottom"/>
            <w:tcBorders>
              <w:bottom w:val="single" w:sz="8" w:color="404040"/>
            </w:tcBorders>
            <w:gridSpan w:val="2"/>
          </w:tcPr>
          <w:p>
            <w:pPr>
              <w:jc w:val="right"/>
              <w:ind w:right="517"/>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20"/>
                <w:szCs w:val="20"/>
                <w:b w:val="1"/>
                <w:bCs w:val="1"/>
                <w:color w:val="auto"/>
                <w:vertAlign w:val="superscript"/>
              </w:rPr>
              <w:t>(1)</w:t>
            </w:r>
          </w:p>
        </w:tc>
        <w:tc>
          <w:tcPr>
            <w:tcW w:w="880" w:type="dxa"/>
            <w:vAlign w:val="bottom"/>
            <w:tcBorders>
              <w:bottom w:val="single" w:sz="8" w:color="404040"/>
            </w:tcBorders>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20" w:type="dxa"/>
            <w:vAlign w:val="bottom"/>
            <w:gridSpan w:val="2"/>
          </w:tcPr>
          <w:p>
            <w:pPr>
              <w:jc w:val="right"/>
              <w:ind w:right="97"/>
              <w:spacing w:after="0" w:line="138" w:lineRule="exact"/>
              <w:rPr>
                <w:sz w:val="20"/>
                <w:szCs w:val="20"/>
                <w:color w:val="auto"/>
              </w:rPr>
            </w:pPr>
            <w:r>
              <w:rPr>
                <w:rFonts w:ascii="Arial" w:cs="Arial" w:eastAsia="Arial" w:hAnsi="Arial"/>
                <w:sz w:val="13"/>
                <w:szCs w:val="13"/>
                <w:b w:val="1"/>
                <w:bCs w:val="1"/>
                <w:color w:val="auto"/>
              </w:rPr>
              <w:t>Restricted Stock</w:t>
            </w:r>
          </w:p>
        </w:tc>
        <w:tc>
          <w:tcPr>
            <w:tcW w:w="1840" w:type="dxa"/>
            <w:vAlign w:val="bottom"/>
            <w:gridSpan w:val="2"/>
          </w:tcPr>
          <w:p>
            <w:pPr>
              <w:jc w:val="right"/>
              <w:ind w:right="17"/>
              <w:spacing w:after="0" w:line="138" w:lineRule="exact"/>
              <w:rPr>
                <w:sz w:val="20"/>
                <w:szCs w:val="20"/>
                <w:color w:val="auto"/>
              </w:rPr>
            </w:pPr>
            <w:r>
              <w:rPr>
                <w:rFonts w:ascii="Arial" w:cs="Arial" w:eastAsia="Arial" w:hAnsi="Arial"/>
                <w:sz w:val="13"/>
                <w:szCs w:val="13"/>
                <w:b w:val="1"/>
                <w:bCs w:val="1"/>
                <w:color w:val="auto"/>
              </w:rPr>
              <w:t>Performance-Based</w:t>
            </w:r>
          </w:p>
        </w:tc>
        <w:tc>
          <w:tcPr>
            <w:tcW w:w="0" w:type="dxa"/>
            <w:vAlign w:val="bottom"/>
          </w:tcPr>
          <w:p>
            <w:pPr>
              <w:spacing w:after="0"/>
              <w:rPr>
                <w:sz w:val="1"/>
                <w:szCs w:val="1"/>
                <w:color w:val="auto"/>
              </w:rPr>
            </w:pPr>
          </w:p>
        </w:tc>
      </w:tr>
      <w:tr>
        <w:trPr>
          <w:trHeight w:val="176"/>
        </w:trPr>
        <w:tc>
          <w:tcPr>
            <w:tcW w:w="1140" w:type="dxa"/>
            <w:vAlign w:val="bottom"/>
            <w:tcBorders>
              <w:bottom w:val="single" w:sz="8" w:color="404040"/>
            </w:tcBorders>
          </w:tcPr>
          <w:p>
            <w:pPr>
              <w:spacing w:after="0"/>
              <w:rPr>
                <w:sz w:val="15"/>
                <w:szCs w:val="15"/>
                <w:color w:val="auto"/>
              </w:rPr>
            </w:pPr>
          </w:p>
        </w:tc>
        <w:tc>
          <w:tcPr>
            <w:tcW w:w="1080" w:type="dxa"/>
            <w:vAlign w:val="bottom"/>
            <w:tcBorders>
              <w:bottom w:val="single" w:sz="8" w:color="404040"/>
            </w:tcBorders>
          </w:tcPr>
          <w:p>
            <w:pPr>
              <w:spacing w:after="0"/>
              <w:rPr>
                <w:sz w:val="15"/>
                <w:szCs w:val="15"/>
                <w:color w:val="auto"/>
              </w:rPr>
            </w:pPr>
          </w:p>
        </w:tc>
        <w:tc>
          <w:tcPr>
            <w:tcW w:w="740" w:type="dxa"/>
            <w:vAlign w:val="bottom"/>
            <w:tcBorders>
              <w:bottom w:val="single" w:sz="8" w:color="404040"/>
            </w:tcBorders>
          </w:tcPr>
          <w:p>
            <w:pPr>
              <w:spacing w:after="0"/>
              <w:rPr>
                <w:sz w:val="15"/>
                <w:szCs w:val="15"/>
                <w:color w:val="auto"/>
              </w:rPr>
            </w:pPr>
          </w:p>
        </w:tc>
        <w:tc>
          <w:tcPr>
            <w:tcW w:w="960" w:type="dxa"/>
            <w:vAlign w:val="bottom"/>
            <w:tcBorders>
              <w:bottom w:val="single" w:sz="8" w:color="404040"/>
            </w:tcBorders>
          </w:tcPr>
          <w:p>
            <w:pPr>
              <w:spacing w:after="0"/>
              <w:rPr>
                <w:sz w:val="15"/>
                <w:szCs w:val="15"/>
                <w:color w:val="auto"/>
              </w:rPr>
            </w:pPr>
          </w:p>
        </w:tc>
        <w:tc>
          <w:tcPr>
            <w:tcW w:w="960" w:type="dxa"/>
            <w:vAlign w:val="bottom"/>
            <w:tcBorders>
              <w:bottom w:val="single" w:sz="8" w:color="404040"/>
            </w:tcBorders>
          </w:tcPr>
          <w:p>
            <w:pPr>
              <w:spacing w:after="0"/>
              <w:rPr>
                <w:sz w:val="15"/>
                <w:szCs w:val="15"/>
                <w:color w:val="auto"/>
              </w:rPr>
            </w:pPr>
          </w:p>
        </w:tc>
        <w:tc>
          <w:tcPr>
            <w:tcW w:w="600" w:type="dxa"/>
            <w:vAlign w:val="bottom"/>
            <w:tcBorders>
              <w:bottom w:val="single" w:sz="8" w:color="404040"/>
            </w:tcBorders>
          </w:tcPr>
          <w:p>
            <w:pPr>
              <w:spacing w:after="0"/>
              <w:rPr>
                <w:sz w:val="15"/>
                <w:szCs w:val="15"/>
                <w:color w:val="auto"/>
              </w:rPr>
            </w:pPr>
          </w:p>
        </w:tc>
        <w:tc>
          <w:tcPr>
            <w:tcW w:w="660" w:type="dxa"/>
            <w:vAlign w:val="bottom"/>
            <w:tcBorders>
              <w:bottom w:val="single" w:sz="8" w:color="404040"/>
            </w:tcBorders>
          </w:tcPr>
          <w:p>
            <w:pPr>
              <w:spacing w:after="0"/>
              <w:rPr>
                <w:sz w:val="15"/>
                <w:szCs w:val="15"/>
                <w:color w:val="auto"/>
              </w:rPr>
            </w:pPr>
          </w:p>
        </w:tc>
        <w:tc>
          <w:tcPr>
            <w:tcW w:w="40" w:type="dxa"/>
            <w:vAlign w:val="bottom"/>
            <w:tcBorders>
              <w:bottom w:val="single" w:sz="8" w:color="404040"/>
            </w:tcBorders>
          </w:tcPr>
          <w:p>
            <w:pPr>
              <w:spacing w:after="0"/>
              <w:rPr>
                <w:sz w:val="15"/>
                <w:szCs w:val="15"/>
                <w:color w:val="auto"/>
              </w:rPr>
            </w:pPr>
          </w:p>
        </w:tc>
        <w:tc>
          <w:tcPr>
            <w:tcW w:w="1180" w:type="dxa"/>
            <w:vAlign w:val="bottom"/>
            <w:tcBorders>
              <w:bottom w:val="single" w:sz="8" w:color="404040"/>
            </w:tcBorders>
          </w:tcPr>
          <w:p>
            <w:pPr>
              <w:spacing w:after="0"/>
              <w:rPr>
                <w:sz w:val="15"/>
                <w:szCs w:val="15"/>
                <w:color w:val="auto"/>
              </w:rPr>
            </w:pPr>
          </w:p>
        </w:tc>
        <w:tc>
          <w:tcPr>
            <w:tcW w:w="840" w:type="dxa"/>
            <w:vAlign w:val="bottom"/>
            <w:tcBorders>
              <w:bottom w:val="single" w:sz="8" w:color="404040"/>
            </w:tcBorders>
          </w:tcPr>
          <w:p>
            <w:pPr>
              <w:jc w:val="right"/>
              <w:ind w:right="57"/>
              <w:spacing w:after="0"/>
              <w:rPr>
                <w:sz w:val="20"/>
                <w:szCs w:val="20"/>
                <w:color w:val="auto"/>
              </w:rPr>
            </w:pPr>
            <w:r>
              <w:rPr>
                <w:rFonts w:ascii="Arial" w:cs="Arial" w:eastAsia="Arial" w:hAnsi="Arial"/>
                <w:sz w:val="13"/>
                <w:szCs w:val="13"/>
                <w:b w:val="1"/>
                <w:bCs w:val="1"/>
                <w:color w:val="auto"/>
              </w:rPr>
              <w:t>Units</w:t>
            </w:r>
          </w:p>
        </w:tc>
        <w:tc>
          <w:tcPr>
            <w:tcW w:w="1840" w:type="dxa"/>
            <w:vAlign w:val="bottom"/>
            <w:tcBorders>
              <w:bottom w:val="single" w:sz="8" w:color="404040"/>
            </w:tcBorders>
            <w:gridSpan w:val="2"/>
          </w:tcPr>
          <w:p>
            <w:pPr>
              <w:jc w:val="right"/>
              <w:spacing w:after="0"/>
              <w:rPr>
                <w:sz w:val="20"/>
                <w:szCs w:val="20"/>
                <w:color w:val="auto"/>
              </w:rPr>
            </w:pPr>
            <w:r>
              <w:rPr>
                <w:rFonts w:ascii="Arial" w:cs="Arial" w:eastAsia="Arial" w:hAnsi="Arial"/>
                <w:sz w:val="13"/>
                <w:szCs w:val="13"/>
                <w:b w:val="1"/>
                <w:bCs w:val="1"/>
                <w:color w:val="auto"/>
              </w:rPr>
              <w:t>Restricted Stock Units</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jc w:val="right"/>
              <w:ind w:right="17"/>
              <w:spacing w:after="0" w:line="142"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166"/>
        </w:trPr>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Equity</w:t>
            </w:r>
          </w:p>
        </w:tc>
        <w:tc>
          <w:tcPr>
            <w:tcW w:w="880" w:type="dxa"/>
            <w:vAlign w:val="bottom"/>
          </w:tcPr>
          <w:p>
            <w:pPr>
              <w:jc w:val="right"/>
              <w:ind w:right="17"/>
              <w:spacing w:after="0"/>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Incentive</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Plan</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Market</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Awards:</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Number of</w:t>
            </w:r>
          </w:p>
        </w:tc>
        <w:tc>
          <w:tcPr>
            <w:tcW w:w="9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 of</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Number of</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Number of</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Value of</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Unearned</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Securities</w:t>
            </w:r>
          </w:p>
        </w:tc>
        <w:tc>
          <w:tcPr>
            <w:tcW w:w="9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Securities</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Shares or</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Shares,</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Underlying</w:t>
            </w:r>
          </w:p>
        </w:tc>
        <w:tc>
          <w:tcPr>
            <w:tcW w:w="9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Underlying</w:t>
            </w:r>
          </w:p>
        </w:tc>
        <w:tc>
          <w:tcPr>
            <w:tcW w:w="600" w:type="dxa"/>
            <w:vAlign w:val="bottom"/>
            <w:vMerge w:val="restart"/>
          </w:tcPr>
          <w:p>
            <w:pPr>
              <w:jc w:val="right"/>
              <w:ind w:right="17"/>
              <w:spacing w:after="0"/>
              <w:rPr>
                <w:sz w:val="20"/>
                <w:szCs w:val="20"/>
                <w:color w:val="auto"/>
              </w:rPr>
            </w:pPr>
            <w:r>
              <w:rPr>
                <w:rFonts w:ascii="Arial" w:cs="Arial" w:eastAsia="Arial" w:hAnsi="Arial"/>
                <w:sz w:val="13"/>
                <w:szCs w:val="13"/>
                <w:b w:val="1"/>
                <w:bCs w:val="1"/>
                <w:color w:val="auto"/>
              </w:rPr>
              <w:t>Option</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Shares or</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Units of</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Units or</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Units or</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Vesting</w:t>
            </w:r>
          </w:p>
        </w:tc>
        <w:tc>
          <w:tcPr>
            <w:tcW w:w="740" w:type="dxa"/>
            <w:vAlign w:val="bottom"/>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Unexercised</w:t>
            </w:r>
          </w:p>
        </w:tc>
        <w:tc>
          <w:tcPr>
            <w:tcW w:w="9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Unexercised</w:t>
            </w:r>
          </w:p>
        </w:tc>
        <w:tc>
          <w:tcPr>
            <w:tcW w:w="600" w:type="dxa"/>
            <w:vAlign w:val="bottom"/>
            <w:vMerge w:val="continue"/>
          </w:tcPr>
          <w:p>
            <w:pPr>
              <w:spacing w:after="0"/>
              <w:rPr>
                <w:sz w:val="11"/>
                <w:szCs w:val="11"/>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rPr>
              <w:t>Option</w:t>
            </w:r>
          </w:p>
        </w:tc>
        <w:tc>
          <w:tcPr>
            <w:tcW w:w="11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Units of Stock</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w w:val="99"/>
              </w:rPr>
              <w:t>Stock That</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Other Rights</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w w:val="99"/>
              </w:rPr>
              <w:t>Other Rights</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74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Grant</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Options</w:t>
            </w:r>
          </w:p>
        </w:tc>
        <w:tc>
          <w:tcPr>
            <w:tcW w:w="9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Options</w:t>
            </w:r>
          </w:p>
        </w:tc>
        <w:tc>
          <w:tcPr>
            <w:tcW w:w="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7"/>
              </w:rPr>
              <w:t>Exercise</w:t>
            </w:r>
          </w:p>
        </w:tc>
        <w:tc>
          <w:tcPr>
            <w:tcW w:w="700" w:type="dxa"/>
            <w:vAlign w:val="bottom"/>
            <w:gridSpan w:val="2"/>
            <w:vMerge w:val="continue"/>
          </w:tcPr>
          <w:p>
            <w:pPr>
              <w:spacing w:after="0"/>
              <w:rPr>
                <w:sz w:val="11"/>
                <w:szCs w:val="11"/>
                <w:color w:val="auto"/>
              </w:rPr>
            </w:pPr>
          </w:p>
        </w:tc>
        <w:tc>
          <w:tcPr>
            <w:tcW w:w="11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That Have Not</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Have Not</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That Have</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That Have</w:t>
            </w: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10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8"/>
              </w:rPr>
              <w:t>Commencement</w:t>
            </w:r>
          </w:p>
        </w:tc>
        <w:tc>
          <w:tcPr>
            <w:tcW w:w="740" w:type="dxa"/>
            <w:vAlign w:val="bottom"/>
            <w:vMerge w:val="continue"/>
          </w:tcPr>
          <w:p>
            <w:pPr>
              <w:spacing w:after="0"/>
              <w:rPr>
                <w:sz w:val="11"/>
                <w:szCs w:val="11"/>
                <w:color w:val="auto"/>
              </w:rPr>
            </w:pP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Exercisable</w:t>
            </w:r>
          </w:p>
        </w:tc>
        <w:tc>
          <w:tcPr>
            <w:tcW w:w="9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9"/>
              </w:rPr>
              <w:t>Unexercisable</w:t>
            </w:r>
          </w:p>
        </w:tc>
        <w:tc>
          <w:tcPr>
            <w:tcW w:w="1300" w:type="dxa"/>
            <w:vAlign w:val="bottom"/>
            <w:gridSpan w:val="3"/>
          </w:tcPr>
          <w:p>
            <w:pPr>
              <w:jc w:val="right"/>
              <w:ind w:right="80"/>
              <w:spacing w:after="0" w:line="135" w:lineRule="exact"/>
              <w:rPr>
                <w:sz w:val="20"/>
                <w:szCs w:val="20"/>
                <w:color w:val="auto"/>
              </w:rPr>
            </w:pPr>
            <w:r>
              <w:rPr>
                <w:rFonts w:ascii="Arial" w:cs="Arial" w:eastAsia="Arial" w:hAnsi="Arial"/>
                <w:sz w:val="13"/>
                <w:szCs w:val="13"/>
                <w:b w:val="1"/>
                <w:bCs w:val="1"/>
                <w:color w:val="auto"/>
              </w:rPr>
              <w:t>Price Expiration</w:t>
            </w:r>
          </w:p>
        </w:tc>
        <w:tc>
          <w:tcPr>
            <w:tcW w:w="11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Vested</w:t>
            </w:r>
          </w:p>
        </w:tc>
        <w:tc>
          <w:tcPr>
            <w:tcW w:w="84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Vested</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Not Vested</w:t>
            </w:r>
          </w:p>
        </w:tc>
        <w:tc>
          <w:tcPr>
            <w:tcW w:w="88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Not Vested</w:t>
            </w:r>
          </w:p>
        </w:tc>
        <w:tc>
          <w:tcPr>
            <w:tcW w:w="0" w:type="dxa"/>
            <w:vAlign w:val="bottom"/>
          </w:tcPr>
          <w:p>
            <w:pPr>
              <w:spacing w:after="0"/>
              <w:rPr>
                <w:sz w:val="1"/>
                <w:szCs w:val="1"/>
                <w:color w:val="auto"/>
              </w:rPr>
            </w:pPr>
          </w:p>
        </w:tc>
      </w:tr>
      <w:tr>
        <w:trPr>
          <w:trHeight w:val="189"/>
        </w:trPr>
        <w:tc>
          <w:tcPr>
            <w:tcW w:w="1140" w:type="dxa"/>
            <w:vAlign w:val="bottom"/>
            <w:tcBorders>
              <w:bottom w:val="single" w:sz="8" w:color="404040"/>
            </w:tcBorders>
          </w:tcPr>
          <w:p>
            <w:pPr>
              <w:spacing w:after="0"/>
              <w:rPr>
                <w:sz w:val="16"/>
                <w:szCs w:val="16"/>
                <w:color w:val="auto"/>
              </w:rPr>
            </w:pPr>
          </w:p>
        </w:tc>
        <w:tc>
          <w:tcPr>
            <w:tcW w:w="1080" w:type="dxa"/>
            <w:vAlign w:val="bottom"/>
            <w:tcBorders>
              <w:bottom w:val="single" w:sz="8" w:color="404040"/>
            </w:tcBorders>
          </w:tcPr>
          <w:p>
            <w:pPr>
              <w:jc w:val="right"/>
              <w:spacing w:after="0"/>
              <w:rPr>
                <w:sz w:val="20"/>
                <w:szCs w:val="20"/>
                <w:color w:val="auto"/>
              </w:rPr>
            </w:pPr>
            <w:r>
              <w:rPr>
                <w:rFonts w:ascii="Arial" w:cs="Arial" w:eastAsia="Arial" w:hAnsi="Arial"/>
                <w:sz w:val="13"/>
                <w:szCs w:val="13"/>
                <w:b w:val="1"/>
                <w:bCs w:val="1"/>
                <w:color w:val="auto"/>
              </w:rPr>
              <w:t>Date</w:t>
            </w:r>
          </w:p>
        </w:tc>
        <w:tc>
          <w:tcPr>
            <w:tcW w:w="740" w:type="dxa"/>
            <w:vAlign w:val="bottom"/>
            <w:tcBorders>
              <w:bottom w:val="single" w:sz="8" w:color="404040"/>
            </w:tcBorders>
          </w:tcPr>
          <w:p>
            <w:pPr>
              <w:ind w:left="340"/>
              <w:spacing w:after="0"/>
              <w:rPr>
                <w:sz w:val="20"/>
                <w:szCs w:val="20"/>
                <w:color w:val="auto"/>
              </w:rPr>
            </w:pPr>
            <w:r>
              <w:rPr>
                <w:rFonts w:ascii="Arial" w:cs="Arial" w:eastAsia="Arial" w:hAnsi="Arial"/>
                <w:sz w:val="13"/>
                <w:szCs w:val="13"/>
                <w:b w:val="1"/>
                <w:bCs w:val="1"/>
                <w:color w:val="auto"/>
              </w:rPr>
              <w:t>Date</w:t>
            </w:r>
          </w:p>
        </w:tc>
        <w:tc>
          <w:tcPr>
            <w:tcW w:w="960" w:type="dxa"/>
            <w:vAlign w:val="bottom"/>
            <w:tcBorders>
              <w:bottom w:val="single" w:sz="8" w:color="404040"/>
            </w:tcBorders>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404040"/>
            </w:tcBorders>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404040"/>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404040"/>
            </w:tcBorders>
            <w:gridSpan w:val="2"/>
          </w:tcPr>
          <w:p>
            <w:pPr>
              <w:ind w:left="400"/>
              <w:spacing w:after="0"/>
              <w:rPr>
                <w:sz w:val="20"/>
                <w:szCs w:val="20"/>
                <w:color w:val="auto"/>
              </w:rPr>
            </w:pPr>
            <w:r>
              <w:rPr>
                <w:rFonts w:ascii="Arial" w:cs="Arial" w:eastAsia="Arial" w:hAnsi="Arial"/>
                <w:sz w:val="13"/>
                <w:szCs w:val="13"/>
                <w:b w:val="1"/>
                <w:bCs w:val="1"/>
                <w:color w:val="auto"/>
                <w:w w:val="99"/>
              </w:rPr>
              <w:t>Date</w:t>
            </w:r>
          </w:p>
        </w:tc>
        <w:tc>
          <w:tcPr>
            <w:tcW w:w="1180" w:type="dxa"/>
            <w:vAlign w:val="bottom"/>
            <w:tcBorders>
              <w:bottom w:val="single" w:sz="8" w:color="404040"/>
            </w:tcBorders>
          </w:tcPr>
          <w:p>
            <w:pPr>
              <w:jc w:val="right"/>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(2)</w:t>
            </w:r>
          </w:p>
        </w:tc>
        <w:tc>
          <w:tcPr>
            <w:tcW w:w="840" w:type="dxa"/>
            <w:vAlign w:val="bottom"/>
            <w:tcBorders>
              <w:bottom w:val="single" w:sz="8" w:color="404040"/>
            </w:tcBorders>
          </w:tcPr>
          <w:p>
            <w:pPr>
              <w:jc w:val="right"/>
              <w:ind w:right="57"/>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w:t>
            </w:r>
          </w:p>
        </w:tc>
        <w:tc>
          <w:tcPr>
            <w:tcW w:w="960" w:type="dxa"/>
            <w:vAlign w:val="bottom"/>
            <w:tcBorders>
              <w:bottom w:val="single" w:sz="8" w:color="404040"/>
            </w:tcBorders>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404040"/>
            </w:tcBorders>
          </w:tcPr>
          <w:p>
            <w:pPr>
              <w:jc w:val="right"/>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259"/>
        </w:trPr>
        <w:tc>
          <w:tcPr>
            <w:tcW w:w="1140" w:type="dxa"/>
            <w:vAlign w:val="bottom"/>
          </w:tcPr>
          <w:p>
            <w:pPr>
              <w:ind w:left="40"/>
              <w:spacing w:after="0"/>
              <w:rPr>
                <w:sz w:val="20"/>
                <w:szCs w:val="20"/>
                <w:color w:val="auto"/>
              </w:rPr>
            </w:pPr>
            <w:r>
              <w:rPr>
                <w:rFonts w:ascii="Arial" w:cs="Arial" w:eastAsia="Arial" w:hAnsi="Arial"/>
                <w:sz w:val="13"/>
                <w:szCs w:val="13"/>
                <w:b w:val="1"/>
                <w:bCs w:val="1"/>
                <w:color w:val="auto"/>
                <w:w w:val="99"/>
              </w:rPr>
              <w:t>Charles Compton</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01/15/2024</w:t>
            </w:r>
          </w:p>
        </w:tc>
        <w:tc>
          <w:tcPr>
            <w:tcW w:w="740" w:type="dxa"/>
            <w:vAlign w:val="bottom"/>
          </w:tcPr>
          <w:p>
            <w:pPr>
              <w:ind w:left="20"/>
              <w:spacing w:after="0"/>
              <w:rPr>
                <w:sz w:val="20"/>
                <w:szCs w:val="20"/>
                <w:color w:val="auto"/>
              </w:rPr>
            </w:pPr>
            <w:r>
              <w:rPr>
                <w:rFonts w:ascii="Arial" w:cs="Arial" w:eastAsia="Arial" w:hAnsi="Arial"/>
                <w:sz w:val="13"/>
                <w:szCs w:val="13"/>
                <w:color w:val="auto"/>
              </w:rPr>
              <w:t>2/20/2024</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ind w:left="460"/>
              <w:spacing w:after="0"/>
              <w:rPr>
                <w:sz w:val="20"/>
                <w:szCs w:val="20"/>
                <w:color w:val="auto"/>
              </w:rPr>
            </w:pPr>
            <w:r>
              <w:rPr>
                <w:rFonts w:ascii="Arial" w:cs="Arial" w:eastAsia="Arial" w:hAnsi="Arial"/>
                <w:sz w:val="13"/>
                <w:szCs w:val="13"/>
                <w:color w:val="auto"/>
              </w:rPr>
              <w:t>111,474</w:t>
            </w:r>
            <w:r>
              <w:rPr>
                <w:rFonts w:ascii="Arial" w:cs="Arial" w:eastAsia="Arial" w:hAnsi="Arial"/>
                <w:sz w:val="20"/>
                <w:szCs w:val="20"/>
                <w:color w:val="auto"/>
                <w:vertAlign w:val="superscript"/>
              </w:rPr>
              <w:t>(4)</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1,134,805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02/15/2025</w:t>
            </w:r>
          </w:p>
        </w:tc>
        <w:tc>
          <w:tcPr>
            <w:tcW w:w="740" w:type="dxa"/>
            <w:vAlign w:val="bottom"/>
          </w:tcPr>
          <w:p>
            <w:pPr>
              <w:ind w:left="20"/>
              <w:spacing w:after="0"/>
              <w:rPr>
                <w:sz w:val="20"/>
                <w:szCs w:val="20"/>
                <w:color w:val="auto"/>
              </w:rPr>
            </w:pPr>
            <w:r>
              <w:rPr>
                <w:rFonts w:ascii="Arial" w:cs="Arial" w:eastAsia="Arial" w:hAnsi="Arial"/>
                <w:sz w:val="13"/>
                <w:szCs w:val="13"/>
                <w:color w:val="auto"/>
              </w:rPr>
              <w:t>2/26/2025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112,782</w:t>
            </w:r>
            <w:r>
              <w:rPr>
                <w:rFonts w:ascii="Arial" w:cs="Arial" w:eastAsia="Arial" w:hAnsi="Arial"/>
                <w:sz w:val="20"/>
                <w:szCs w:val="20"/>
                <w:color w:val="auto"/>
                <w:vertAlign w:val="superscript"/>
              </w:rPr>
              <w:t>(5)</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1,148,121</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2/26/2025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87,259</w:t>
            </w:r>
            <w:r>
              <w:rPr>
                <w:rFonts w:ascii="Arial" w:cs="Arial" w:eastAsia="Arial" w:hAnsi="Arial"/>
                <w:sz w:val="20"/>
                <w:szCs w:val="20"/>
                <w:color w:val="auto"/>
                <w:vertAlign w:val="superscript"/>
              </w:rPr>
              <w:t>(6)</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888,297</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06/16/2025</w:t>
            </w:r>
          </w:p>
        </w:tc>
        <w:tc>
          <w:tcPr>
            <w:tcW w:w="740" w:type="dxa"/>
            <w:vAlign w:val="bottom"/>
          </w:tcPr>
          <w:p>
            <w:pPr>
              <w:ind w:left="40"/>
              <w:spacing w:after="0"/>
              <w:rPr>
                <w:sz w:val="20"/>
                <w:szCs w:val="20"/>
                <w:color w:val="auto"/>
              </w:rPr>
            </w:pPr>
            <w:r>
              <w:rPr>
                <w:rFonts w:ascii="Arial" w:cs="Arial" w:eastAsia="Arial" w:hAnsi="Arial"/>
                <w:sz w:val="13"/>
                <w:szCs w:val="13"/>
                <w:color w:val="auto"/>
              </w:rPr>
              <w:t>8/10/2025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ind w:left="480"/>
              <w:spacing w:after="0"/>
              <w:rPr>
                <w:sz w:val="20"/>
                <w:szCs w:val="20"/>
                <w:color w:val="auto"/>
              </w:rPr>
            </w:pPr>
            <w:r>
              <w:rPr>
                <w:rFonts w:ascii="Arial" w:cs="Arial" w:eastAsia="Arial" w:hAnsi="Arial"/>
                <w:sz w:val="13"/>
                <w:szCs w:val="13"/>
                <w:color w:val="auto"/>
              </w:rPr>
              <w:t>231,481</w:t>
            </w:r>
            <w:r>
              <w:rPr>
                <w:rFonts w:ascii="Arial" w:cs="Arial" w:eastAsia="Arial" w:hAnsi="Arial"/>
                <w:sz w:val="20"/>
                <w:szCs w:val="20"/>
                <w:color w:val="auto"/>
                <w:vertAlign w:val="superscript"/>
              </w:rPr>
              <w:t>(7)</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2,356,477</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c>
          <w:tcPr>
            <w:tcW w:w="740" w:type="dxa"/>
            <w:vAlign w:val="bottom"/>
          </w:tcPr>
          <w:p>
            <w:pPr>
              <w:ind w:left="40"/>
              <w:spacing w:after="0"/>
              <w:rPr>
                <w:sz w:val="20"/>
                <w:szCs w:val="20"/>
                <w:color w:val="auto"/>
              </w:rPr>
            </w:pPr>
            <w:r>
              <w:rPr>
                <w:rFonts w:ascii="Arial" w:cs="Arial" w:eastAsia="Arial" w:hAnsi="Arial"/>
                <w:sz w:val="13"/>
                <w:szCs w:val="13"/>
                <w:color w:val="auto"/>
              </w:rPr>
              <w:t>8/10/2025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263,277</w:t>
            </w:r>
            <w:r>
              <w:rPr>
                <w:rFonts w:ascii="Arial" w:cs="Arial" w:eastAsia="Arial" w:hAnsi="Arial"/>
                <w:sz w:val="20"/>
                <w:szCs w:val="20"/>
                <w:color w:val="auto"/>
                <w:vertAlign w:val="superscript"/>
              </w:rPr>
              <w:t>(6)</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2,680,160</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0"/>
        </w:trPr>
        <w:tc>
          <w:tcPr>
            <w:tcW w:w="1140" w:type="dxa"/>
            <w:vAlign w:val="bottom"/>
            <w:tcBorders>
              <w:bottom w:val="single" w:sz="8" w:color="404040"/>
            </w:tcBorders>
          </w:tcPr>
          <w:p>
            <w:pPr>
              <w:spacing w:after="0"/>
              <w:rPr>
                <w:sz w:val="19"/>
                <w:szCs w:val="19"/>
                <w:color w:val="auto"/>
              </w:rPr>
            </w:pPr>
          </w:p>
        </w:tc>
        <w:tc>
          <w:tcPr>
            <w:tcW w:w="1080" w:type="dxa"/>
            <w:vAlign w:val="bottom"/>
            <w:tcBorders>
              <w:bottom w:val="single" w:sz="8" w:color="404040"/>
            </w:tcBorders>
          </w:tcPr>
          <w:p>
            <w:pPr>
              <w:jc w:val="right"/>
              <w:ind w:right="17"/>
              <w:spacing w:after="0"/>
              <w:rPr>
                <w:sz w:val="20"/>
                <w:szCs w:val="20"/>
                <w:color w:val="auto"/>
              </w:rPr>
            </w:pPr>
            <w:r>
              <w:rPr>
                <w:rFonts w:ascii="Arial" w:cs="Arial" w:eastAsia="Arial" w:hAnsi="Arial"/>
                <w:sz w:val="13"/>
                <w:szCs w:val="13"/>
                <w:color w:val="auto"/>
              </w:rPr>
              <w:t>02/26/2025</w:t>
            </w:r>
          </w:p>
        </w:tc>
        <w:tc>
          <w:tcPr>
            <w:tcW w:w="740" w:type="dxa"/>
            <w:vAlign w:val="bottom"/>
            <w:tcBorders>
              <w:bottom w:val="single" w:sz="8" w:color="404040"/>
            </w:tcBorders>
          </w:tcPr>
          <w:p>
            <w:pPr>
              <w:ind w:left="40"/>
              <w:spacing w:after="0"/>
              <w:rPr>
                <w:sz w:val="20"/>
                <w:szCs w:val="20"/>
                <w:color w:val="auto"/>
              </w:rPr>
            </w:pPr>
            <w:r>
              <w:rPr>
                <w:rFonts w:ascii="Arial" w:cs="Arial" w:eastAsia="Arial" w:hAnsi="Arial"/>
                <w:sz w:val="13"/>
                <w:szCs w:val="13"/>
                <w:color w:val="auto"/>
              </w:rPr>
              <w:t>8/10/2025</w:t>
            </w:r>
          </w:p>
        </w:tc>
        <w:tc>
          <w:tcPr>
            <w:tcW w:w="960" w:type="dxa"/>
            <w:vAlign w:val="bottom"/>
            <w:tcBorders>
              <w:bottom w:val="single" w:sz="8" w:color="404040"/>
            </w:tcBorders>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404040"/>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404040"/>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404040"/>
            </w:tcBorders>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404040"/>
            </w:tcBorders>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04040"/>
            </w:tcBorders>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404040"/>
            </w:tcBorders>
          </w:tcPr>
          <w:p>
            <w:pPr>
              <w:jc w:val="right"/>
              <w:ind w:right="37"/>
              <w:spacing w:after="0" w:line="221" w:lineRule="exact"/>
              <w:rPr>
                <w:sz w:val="20"/>
                <w:szCs w:val="20"/>
                <w:color w:val="auto"/>
              </w:rPr>
            </w:pPr>
            <w:r>
              <w:rPr>
                <w:rFonts w:ascii="Arial" w:cs="Arial" w:eastAsia="Arial" w:hAnsi="Arial"/>
                <w:sz w:val="13"/>
                <w:szCs w:val="13"/>
                <w:color w:val="auto"/>
              </w:rPr>
              <w:t>249,999</w:t>
            </w:r>
            <w:r>
              <w:rPr>
                <w:rFonts w:ascii="Arial" w:cs="Arial" w:eastAsia="Arial" w:hAnsi="Arial"/>
                <w:sz w:val="20"/>
                <w:szCs w:val="20"/>
                <w:color w:val="auto"/>
                <w:vertAlign w:val="superscript"/>
              </w:rPr>
              <w:t>(8)</w:t>
            </w:r>
          </w:p>
        </w:tc>
        <w:tc>
          <w:tcPr>
            <w:tcW w:w="880" w:type="dxa"/>
            <w:vAlign w:val="bottom"/>
            <w:tcBorders>
              <w:bottom w:val="single" w:sz="8" w:color="404040"/>
            </w:tcBorders>
          </w:tcPr>
          <w:p>
            <w:pPr>
              <w:jc w:val="right"/>
              <w:spacing w:after="0"/>
              <w:rPr>
                <w:sz w:val="20"/>
                <w:szCs w:val="20"/>
                <w:color w:val="auto"/>
              </w:rPr>
            </w:pPr>
            <w:r>
              <w:rPr>
                <w:rFonts w:ascii="Arial" w:cs="Arial" w:eastAsia="Arial" w:hAnsi="Arial"/>
                <w:sz w:val="13"/>
                <w:szCs w:val="13"/>
                <w:color w:val="auto"/>
              </w:rPr>
              <w:t>2,544,990</w:t>
            </w:r>
          </w:p>
        </w:tc>
        <w:tc>
          <w:tcPr>
            <w:tcW w:w="0" w:type="dxa"/>
            <w:vAlign w:val="bottom"/>
          </w:tcPr>
          <w:p>
            <w:pPr>
              <w:spacing w:after="0"/>
              <w:rPr>
                <w:sz w:val="1"/>
                <w:szCs w:val="1"/>
                <w:color w:val="auto"/>
              </w:rPr>
            </w:pPr>
          </w:p>
        </w:tc>
      </w:tr>
      <w:tr>
        <w:trPr>
          <w:trHeight w:val="259"/>
        </w:trPr>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Artur Bergman</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11/2/2023</w:t>
            </w:r>
          </w:p>
        </w:tc>
        <w:tc>
          <w:tcPr>
            <w:tcW w:w="740" w:type="dxa"/>
            <w:vAlign w:val="bottom"/>
          </w:tcPr>
          <w:p>
            <w:pPr>
              <w:ind w:left="20"/>
              <w:spacing w:after="0"/>
              <w:rPr>
                <w:sz w:val="20"/>
                <w:szCs w:val="20"/>
                <w:color w:val="auto"/>
              </w:rPr>
            </w:pPr>
            <w:r>
              <w:rPr>
                <w:rFonts w:ascii="Arial" w:cs="Arial" w:eastAsia="Arial" w:hAnsi="Arial"/>
                <w:sz w:val="13"/>
                <w:szCs w:val="13"/>
                <w:color w:val="auto"/>
              </w:rPr>
              <w:t>11/2/2023</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ind w:left="480"/>
              <w:spacing w:after="0"/>
              <w:rPr>
                <w:sz w:val="20"/>
                <w:szCs w:val="20"/>
                <w:color w:val="auto"/>
              </w:rPr>
            </w:pPr>
            <w:r>
              <w:rPr>
                <w:rFonts w:ascii="Arial" w:cs="Arial" w:eastAsia="Arial" w:hAnsi="Arial"/>
                <w:sz w:val="13"/>
                <w:szCs w:val="13"/>
                <w:color w:val="auto"/>
              </w:rPr>
              <w:t>150,584</w:t>
            </w:r>
            <w:r>
              <w:rPr>
                <w:rFonts w:ascii="Arial" w:cs="Arial" w:eastAsia="Arial" w:hAnsi="Arial"/>
                <w:sz w:val="20"/>
                <w:szCs w:val="20"/>
                <w:color w:val="auto"/>
                <w:vertAlign w:val="superscript"/>
              </w:rPr>
              <w:t>(9)</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1,532,945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11/2/2023</w:t>
            </w:r>
          </w:p>
        </w:tc>
        <w:tc>
          <w:tcPr>
            <w:tcW w:w="740" w:type="dxa"/>
            <w:vAlign w:val="bottom"/>
          </w:tcPr>
          <w:p>
            <w:pPr>
              <w:ind w:left="20"/>
              <w:spacing w:after="0"/>
              <w:rPr>
                <w:sz w:val="20"/>
                <w:szCs w:val="20"/>
                <w:color w:val="auto"/>
              </w:rPr>
            </w:pPr>
            <w:r>
              <w:rPr>
                <w:rFonts w:ascii="Arial" w:cs="Arial" w:eastAsia="Arial" w:hAnsi="Arial"/>
                <w:sz w:val="13"/>
                <w:szCs w:val="13"/>
                <w:color w:val="auto"/>
              </w:rPr>
              <w:t>11/2/2023</w:t>
            </w:r>
          </w:p>
        </w:tc>
        <w:tc>
          <w:tcPr>
            <w:tcW w:w="960" w:type="dxa"/>
            <w:vAlign w:val="bottom"/>
          </w:tcPr>
          <w:p>
            <w:pPr>
              <w:jc w:val="right"/>
              <w:spacing w:after="0"/>
              <w:rPr>
                <w:sz w:val="20"/>
                <w:szCs w:val="20"/>
                <w:color w:val="auto"/>
              </w:rPr>
            </w:pPr>
            <w:r>
              <w:rPr>
                <w:rFonts w:ascii="Arial" w:cs="Arial" w:eastAsia="Arial" w:hAnsi="Arial"/>
                <w:sz w:val="13"/>
                <w:szCs w:val="13"/>
                <w:color w:val="auto"/>
              </w:rPr>
              <w:t>338,814</w:t>
            </w:r>
            <w:r>
              <w:rPr>
                <w:rFonts w:ascii="Arial" w:cs="Arial" w:eastAsia="Arial" w:hAnsi="Arial"/>
                <w:sz w:val="20"/>
                <w:szCs w:val="20"/>
                <w:color w:val="auto"/>
                <w:vertAlign w:val="superscript"/>
              </w:rPr>
              <w:t>(10)</w:t>
            </w:r>
          </w:p>
        </w:tc>
        <w:tc>
          <w:tcPr>
            <w:tcW w:w="960" w:type="dxa"/>
            <w:vAlign w:val="bottom"/>
          </w:tcPr>
          <w:p>
            <w:pPr>
              <w:jc w:val="right"/>
              <w:spacing w:after="0"/>
              <w:rPr>
                <w:sz w:val="20"/>
                <w:szCs w:val="20"/>
                <w:color w:val="auto"/>
              </w:rPr>
            </w:pPr>
            <w:r>
              <w:rPr>
                <w:rFonts w:ascii="Arial" w:cs="Arial" w:eastAsia="Arial" w:hAnsi="Arial"/>
                <w:sz w:val="13"/>
                <w:szCs w:val="13"/>
                <w:color w:val="auto"/>
              </w:rPr>
              <w:t>263,524</w:t>
            </w:r>
          </w:p>
        </w:tc>
        <w:tc>
          <w:tcPr>
            <w:tcW w:w="600" w:type="dxa"/>
            <w:vAlign w:val="bottom"/>
          </w:tcPr>
          <w:p>
            <w:pPr>
              <w:jc w:val="right"/>
              <w:spacing w:after="0"/>
              <w:rPr>
                <w:sz w:val="20"/>
                <w:szCs w:val="20"/>
                <w:color w:val="auto"/>
              </w:rPr>
            </w:pPr>
            <w:r>
              <w:rPr>
                <w:rFonts w:ascii="Arial" w:cs="Arial" w:eastAsia="Arial" w:hAnsi="Arial"/>
                <w:sz w:val="13"/>
                <w:szCs w:val="13"/>
                <w:color w:val="auto"/>
              </w:rPr>
              <w:t>16.47</w:t>
            </w:r>
          </w:p>
        </w:tc>
        <w:tc>
          <w:tcPr>
            <w:tcW w:w="660" w:type="dxa"/>
            <w:vAlign w:val="bottom"/>
          </w:tcPr>
          <w:p>
            <w:pPr>
              <w:jc w:val="right"/>
              <w:spacing w:after="0"/>
              <w:rPr>
                <w:sz w:val="20"/>
                <w:szCs w:val="20"/>
                <w:color w:val="auto"/>
              </w:rPr>
            </w:pPr>
            <w:r>
              <w:rPr>
                <w:rFonts w:ascii="Arial" w:cs="Arial" w:eastAsia="Arial" w:hAnsi="Arial"/>
                <w:sz w:val="13"/>
                <w:szCs w:val="13"/>
                <w:color w:val="auto"/>
              </w:rPr>
              <w:t>11/1/2033</w:t>
            </w:r>
          </w:p>
        </w:tc>
        <w:tc>
          <w:tcPr>
            <w:tcW w:w="40" w:type="dxa"/>
            <w:vAlign w:val="bottom"/>
          </w:tcPr>
          <w:p>
            <w:pPr>
              <w:spacing w:after="0"/>
              <w:rPr>
                <w:sz w:val="22"/>
                <w:szCs w:val="22"/>
                <w:color w:val="auto"/>
              </w:rPr>
            </w:pPr>
          </w:p>
        </w:tc>
        <w:tc>
          <w:tcPr>
            <w:tcW w:w="11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2/15/2024</w:t>
            </w:r>
          </w:p>
        </w:tc>
        <w:tc>
          <w:tcPr>
            <w:tcW w:w="740" w:type="dxa"/>
            <w:vAlign w:val="bottom"/>
          </w:tcPr>
          <w:p>
            <w:pPr>
              <w:ind w:left="20"/>
              <w:spacing w:after="0"/>
              <w:rPr>
                <w:sz w:val="20"/>
                <w:szCs w:val="20"/>
                <w:color w:val="auto"/>
              </w:rPr>
            </w:pPr>
            <w:r>
              <w:rPr>
                <w:rFonts w:ascii="Arial" w:cs="Arial" w:eastAsia="Arial" w:hAnsi="Arial"/>
                <w:sz w:val="13"/>
                <w:szCs w:val="13"/>
                <w:color w:val="auto"/>
              </w:rPr>
              <w:t>3/15/2024</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120,943</w:t>
            </w:r>
            <w:r>
              <w:rPr>
                <w:rFonts w:ascii="Arial" w:cs="Arial" w:eastAsia="Arial" w:hAnsi="Arial"/>
                <w:sz w:val="20"/>
                <w:szCs w:val="20"/>
                <w:color w:val="auto"/>
                <w:vertAlign w:val="superscript"/>
              </w:rPr>
              <w:t>(11)</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1,231,200</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3/15/2024</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9,645</w:t>
            </w:r>
            <w:r>
              <w:rPr>
                <w:rFonts w:ascii="Arial" w:cs="Arial" w:eastAsia="Arial" w:hAnsi="Arial"/>
                <w:sz w:val="20"/>
                <w:szCs w:val="20"/>
                <w:color w:val="auto"/>
                <w:vertAlign w:val="superscript"/>
              </w:rPr>
              <w:t>(12)</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98,186</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02/15/2025</w:t>
            </w:r>
          </w:p>
        </w:tc>
        <w:tc>
          <w:tcPr>
            <w:tcW w:w="740" w:type="dxa"/>
            <w:vAlign w:val="bottom"/>
          </w:tcPr>
          <w:p>
            <w:pPr>
              <w:ind w:left="20"/>
              <w:spacing w:after="0"/>
              <w:rPr>
                <w:sz w:val="20"/>
                <w:szCs w:val="20"/>
                <w:color w:val="auto"/>
              </w:rPr>
            </w:pPr>
            <w:r>
              <w:rPr>
                <w:rFonts w:ascii="Arial" w:cs="Arial" w:eastAsia="Arial" w:hAnsi="Arial"/>
                <w:sz w:val="13"/>
                <w:szCs w:val="13"/>
                <w:color w:val="auto"/>
              </w:rPr>
              <w:t>2/26/2025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224,034</w:t>
            </w:r>
            <w:r>
              <w:rPr>
                <w:rFonts w:ascii="Arial" w:cs="Arial" w:eastAsia="Arial" w:hAnsi="Arial"/>
                <w:sz w:val="20"/>
                <w:szCs w:val="20"/>
                <w:color w:val="auto"/>
                <w:vertAlign w:val="superscript"/>
              </w:rPr>
              <w:t>(5)</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2,280,666</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2/26/2025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ind w:left="480"/>
              <w:spacing w:after="0"/>
              <w:rPr>
                <w:sz w:val="20"/>
                <w:szCs w:val="20"/>
                <w:color w:val="auto"/>
              </w:rPr>
            </w:pPr>
            <w:r>
              <w:rPr>
                <w:rFonts w:ascii="Arial" w:cs="Arial" w:eastAsia="Arial" w:hAnsi="Arial"/>
                <w:sz w:val="13"/>
                <w:szCs w:val="13"/>
                <w:color w:val="auto"/>
              </w:rPr>
              <w:t>168,521</w:t>
            </w:r>
            <w:r>
              <w:rPr>
                <w:rFonts w:ascii="Arial" w:cs="Arial" w:eastAsia="Arial" w:hAnsi="Arial"/>
                <w:sz w:val="20"/>
                <w:szCs w:val="20"/>
                <w:color w:val="auto"/>
                <w:vertAlign w:val="superscript"/>
              </w:rPr>
              <w:t>(6)</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1,715,544</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0"/>
        </w:trPr>
        <w:tc>
          <w:tcPr>
            <w:tcW w:w="1140" w:type="dxa"/>
            <w:vAlign w:val="bottom"/>
            <w:tcBorders>
              <w:bottom w:val="single" w:sz="8" w:color="404040"/>
            </w:tcBorders>
          </w:tcPr>
          <w:p>
            <w:pPr>
              <w:spacing w:after="0"/>
              <w:rPr>
                <w:sz w:val="19"/>
                <w:szCs w:val="19"/>
                <w:color w:val="auto"/>
              </w:rPr>
            </w:pPr>
          </w:p>
        </w:tc>
        <w:tc>
          <w:tcPr>
            <w:tcW w:w="1080" w:type="dxa"/>
            <w:vAlign w:val="bottom"/>
            <w:tcBorders>
              <w:bottom w:val="single" w:sz="8" w:color="404040"/>
            </w:tcBorders>
          </w:tcPr>
          <w:p>
            <w:pPr>
              <w:jc w:val="right"/>
              <w:ind w:right="17"/>
              <w:spacing w:after="0"/>
              <w:rPr>
                <w:sz w:val="20"/>
                <w:szCs w:val="20"/>
                <w:color w:val="auto"/>
              </w:rPr>
            </w:pPr>
            <w:r>
              <w:rPr>
                <w:rFonts w:ascii="Arial" w:cs="Arial" w:eastAsia="Arial" w:hAnsi="Arial"/>
                <w:sz w:val="13"/>
                <w:szCs w:val="13"/>
                <w:color w:val="auto"/>
              </w:rPr>
              <w:t>02/26/2025</w:t>
            </w:r>
          </w:p>
        </w:tc>
        <w:tc>
          <w:tcPr>
            <w:tcW w:w="740" w:type="dxa"/>
            <w:vAlign w:val="bottom"/>
            <w:tcBorders>
              <w:bottom w:val="single" w:sz="8" w:color="404040"/>
            </w:tcBorders>
          </w:tcPr>
          <w:p>
            <w:pPr>
              <w:ind w:left="20"/>
              <w:spacing w:after="0"/>
              <w:rPr>
                <w:sz w:val="20"/>
                <w:szCs w:val="20"/>
                <w:color w:val="auto"/>
              </w:rPr>
            </w:pPr>
            <w:r>
              <w:rPr>
                <w:rFonts w:ascii="Arial" w:cs="Arial" w:eastAsia="Arial" w:hAnsi="Arial"/>
                <w:sz w:val="13"/>
                <w:szCs w:val="13"/>
                <w:color w:val="auto"/>
              </w:rPr>
              <w:t>2/26/2025</w:t>
            </w:r>
          </w:p>
        </w:tc>
        <w:tc>
          <w:tcPr>
            <w:tcW w:w="960" w:type="dxa"/>
            <w:vAlign w:val="bottom"/>
            <w:tcBorders>
              <w:bottom w:val="single" w:sz="8" w:color="404040"/>
            </w:tcBorders>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404040"/>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404040"/>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404040"/>
            </w:tcBorders>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404040"/>
            </w:tcBorders>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04040"/>
            </w:tcBorders>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404040"/>
            </w:tcBorders>
          </w:tcPr>
          <w:p>
            <w:pPr>
              <w:jc w:val="right"/>
              <w:ind w:right="37"/>
              <w:spacing w:after="0" w:line="221" w:lineRule="exact"/>
              <w:rPr>
                <w:sz w:val="20"/>
                <w:szCs w:val="20"/>
                <w:color w:val="auto"/>
              </w:rPr>
            </w:pPr>
            <w:r>
              <w:rPr>
                <w:rFonts w:ascii="Arial" w:cs="Arial" w:eastAsia="Arial" w:hAnsi="Arial"/>
                <w:sz w:val="13"/>
                <w:szCs w:val="13"/>
                <w:color w:val="auto"/>
              </w:rPr>
              <w:t>224,031</w:t>
            </w:r>
            <w:r>
              <w:rPr>
                <w:rFonts w:ascii="Arial" w:cs="Arial" w:eastAsia="Arial" w:hAnsi="Arial"/>
                <w:sz w:val="20"/>
                <w:szCs w:val="20"/>
                <w:color w:val="auto"/>
                <w:vertAlign w:val="superscript"/>
              </w:rPr>
              <w:t>(8)</w:t>
            </w:r>
          </w:p>
        </w:tc>
        <w:tc>
          <w:tcPr>
            <w:tcW w:w="880" w:type="dxa"/>
            <w:vAlign w:val="bottom"/>
            <w:tcBorders>
              <w:bottom w:val="single" w:sz="8" w:color="404040"/>
            </w:tcBorders>
          </w:tcPr>
          <w:p>
            <w:pPr>
              <w:jc w:val="right"/>
              <w:spacing w:after="0"/>
              <w:rPr>
                <w:sz w:val="20"/>
                <w:szCs w:val="20"/>
                <w:color w:val="auto"/>
              </w:rPr>
            </w:pPr>
            <w:r>
              <w:rPr>
                <w:rFonts w:ascii="Arial" w:cs="Arial" w:eastAsia="Arial" w:hAnsi="Arial"/>
                <w:sz w:val="13"/>
                <w:szCs w:val="13"/>
                <w:color w:val="auto"/>
              </w:rPr>
              <w:t>2,280,636</w:t>
            </w:r>
          </w:p>
        </w:tc>
        <w:tc>
          <w:tcPr>
            <w:tcW w:w="0" w:type="dxa"/>
            <w:vAlign w:val="bottom"/>
          </w:tcPr>
          <w:p>
            <w:pPr>
              <w:spacing w:after="0"/>
              <w:rPr>
                <w:sz w:val="1"/>
                <w:szCs w:val="1"/>
                <w:color w:val="auto"/>
              </w:rPr>
            </w:pPr>
          </w:p>
        </w:tc>
      </w:tr>
      <w:tr>
        <w:trPr>
          <w:trHeight w:val="223"/>
        </w:trPr>
        <w:tc>
          <w:tcPr>
            <w:tcW w:w="1140" w:type="dxa"/>
            <w:vAlign w:val="bottom"/>
            <w:tcBorders>
              <w:bottom w:val="single" w:sz="8" w:color="404040"/>
            </w:tcBorders>
          </w:tcPr>
          <w:p>
            <w:pPr>
              <w:ind w:left="40"/>
              <w:spacing w:after="0"/>
              <w:rPr>
                <w:sz w:val="20"/>
                <w:szCs w:val="20"/>
                <w:color w:val="auto"/>
              </w:rPr>
            </w:pPr>
            <w:r>
              <w:rPr>
                <w:rFonts w:ascii="Arial" w:cs="Arial" w:eastAsia="Arial" w:hAnsi="Arial"/>
                <w:sz w:val="13"/>
                <w:szCs w:val="13"/>
                <w:b w:val="1"/>
                <w:bCs w:val="1"/>
                <w:color w:val="auto"/>
              </w:rPr>
              <w:t>Richard Wong</w:t>
            </w:r>
          </w:p>
        </w:tc>
        <w:tc>
          <w:tcPr>
            <w:tcW w:w="1080" w:type="dxa"/>
            <w:vAlign w:val="bottom"/>
            <w:tcBorders>
              <w:bottom w:val="single" w:sz="8" w:color="404040"/>
            </w:tcBorders>
          </w:tcPr>
          <w:p>
            <w:pPr>
              <w:jc w:val="right"/>
              <w:spacing w:after="0"/>
              <w:rPr>
                <w:sz w:val="20"/>
                <w:szCs w:val="20"/>
                <w:color w:val="auto"/>
              </w:rPr>
            </w:pPr>
            <w:r>
              <w:rPr>
                <w:rFonts w:ascii="Arial" w:cs="Arial" w:eastAsia="Arial" w:hAnsi="Arial"/>
                <w:sz w:val="13"/>
                <w:szCs w:val="13"/>
                <w:color w:val="auto"/>
              </w:rPr>
              <w:t>08/11/2025</w:t>
            </w:r>
          </w:p>
        </w:tc>
        <w:tc>
          <w:tcPr>
            <w:tcW w:w="740" w:type="dxa"/>
            <w:vAlign w:val="bottom"/>
            <w:tcBorders>
              <w:bottom w:val="single" w:sz="8" w:color="404040"/>
            </w:tcBorders>
          </w:tcPr>
          <w:p>
            <w:pPr>
              <w:ind w:left="20"/>
              <w:spacing w:after="0"/>
              <w:rPr>
                <w:sz w:val="20"/>
                <w:szCs w:val="20"/>
                <w:color w:val="auto"/>
              </w:rPr>
            </w:pPr>
            <w:r>
              <w:rPr>
                <w:rFonts w:ascii="Arial" w:cs="Arial" w:eastAsia="Arial" w:hAnsi="Arial"/>
                <w:sz w:val="13"/>
                <w:szCs w:val="13"/>
                <w:color w:val="auto"/>
              </w:rPr>
              <w:t>9/03/2025</w:t>
            </w:r>
          </w:p>
        </w:tc>
        <w:tc>
          <w:tcPr>
            <w:tcW w:w="960" w:type="dxa"/>
            <w:vAlign w:val="bottom"/>
            <w:tcBorders>
              <w:bottom w:val="single" w:sz="8" w:color="404040"/>
            </w:tcBorders>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404040"/>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404040"/>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404040"/>
            </w:tcBorders>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404040"/>
            </w:tcBorders>
          </w:tcPr>
          <w:p>
            <w:pPr>
              <w:jc w:val="right"/>
              <w:spacing w:after="0" w:line="223" w:lineRule="exact"/>
              <w:rPr>
                <w:sz w:val="20"/>
                <w:szCs w:val="20"/>
                <w:color w:val="auto"/>
              </w:rPr>
            </w:pPr>
            <w:r>
              <w:rPr>
                <w:rFonts w:ascii="Arial" w:cs="Arial" w:eastAsia="Arial" w:hAnsi="Arial"/>
                <w:sz w:val="13"/>
                <w:szCs w:val="13"/>
                <w:color w:val="auto"/>
              </w:rPr>
              <w:t>1,130,323</w:t>
            </w:r>
            <w:r>
              <w:rPr>
                <w:rFonts w:ascii="Arial" w:cs="Arial" w:eastAsia="Arial" w:hAnsi="Arial"/>
                <w:sz w:val="20"/>
                <w:szCs w:val="20"/>
                <w:color w:val="auto"/>
                <w:vertAlign w:val="superscript"/>
              </w:rPr>
              <w:t>(13)</w:t>
            </w:r>
          </w:p>
        </w:tc>
        <w:tc>
          <w:tcPr>
            <w:tcW w:w="840" w:type="dxa"/>
            <w:vAlign w:val="bottom"/>
            <w:tcBorders>
              <w:bottom w:val="single" w:sz="8" w:color="404040"/>
            </w:tcBorders>
          </w:tcPr>
          <w:p>
            <w:pPr>
              <w:jc w:val="right"/>
              <w:ind w:right="77"/>
              <w:spacing w:after="0"/>
              <w:rPr>
                <w:sz w:val="20"/>
                <w:szCs w:val="20"/>
                <w:color w:val="auto"/>
              </w:rPr>
            </w:pPr>
            <w:r>
              <w:rPr>
                <w:rFonts w:ascii="Arial" w:cs="Arial" w:eastAsia="Arial" w:hAnsi="Arial"/>
                <w:sz w:val="13"/>
                <w:szCs w:val="13"/>
                <w:color w:val="auto"/>
              </w:rPr>
              <w:t>11,506,688</w:t>
            </w:r>
          </w:p>
        </w:tc>
        <w:tc>
          <w:tcPr>
            <w:tcW w:w="960" w:type="dxa"/>
            <w:vAlign w:val="bottom"/>
            <w:tcBorders>
              <w:bottom w:val="single" w:sz="8" w:color="404040"/>
            </w:tcBorders>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404040"/>
            </w:tcBorders>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9"/>
        </w:trPr>
        <w:tc>
          <w:tcPr>
            <w:tcW w:w="1140" w:type="dxa"/>
            <w:vAlign w:val="bottom"/>
          </w:tcPr>
          <w:p>
            <w:pPr>
              <w:ind w:left="40"/>
              <w:spacing w:after="0"/>
              <w:rPr>
                <w:sz w:val="20"/>
                <w:szCs w:val="20"/>
                <w:color w:val="auto"/>
              </w:rPr>
            </w:pPr>
            <w:r>
              <w:rPr>
                <w:rFonts w:ascii="Arial" w:cs="Arial" w:eastAsia="Arial" w:hAnsi="Arial"/>
                <w:sz w:val="13"/>
                <w:szCs w:val="13"/>
                <w:b w:val="1"/>
                <w:bCs w:val="1"/>
                <w:color w:val="auto"/>
              </w:rPr>
              <w:t>Scott Lovett</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6/15/2024</w:t>
            </w:r>
          </w:p>
        </w:tc>
        <w:tc>
          <w:tcPr>
            <w:tcW w:w="740" w:type="dxa"/>
            <w:vAlign w:val="bottom"/>
          </w:tcPr>
          <w:p>
            <w:pPr>
              <w:ind w:left="20"/>
              <w:spacing w:after="0"/>
              <w:rPr>
                <w:sz w:val="20"/>
                <w:szCs w:val="20"/>
                <w:color w:val="auto"/>
              </w:rPr>
            </w:pPr>
            <w:r>
              <w:rPr>
                <w:rFonts w:ascii="Arial" w:cs="Arial" w:eastAsia="Arial" w:hAnsi="Arial"/>
                <w:sz w:val="13"/>
                <w:szCs w:val="13"/>
                <w:color w:val="auto"/>
              </w:rPr>
              <w:t>7/10/2024</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ind w:left="480"/>
              <w:spacing w:after="0"/>
              <w:rPr>
                <w:sz w:val="20"/>
                <w:szCs w:val="20"/>
                <w:color w:val="auto"/>
              </w:rPr>
            </w:pPr>
            <w:r>
              <w:rPr>
                <w:rFonts w:ascii="Arial" w:cs="Arial" w:eastAsia="Arial" w:hAnsi="Arial"/>
                <w:sz w:val="13"/>
                <w:szCs w:val="13"/>
                <w:color w:val="auto"/>
                <w:w w:val="96"/>
              </w:rPr>
              <w:t>766,350</w:t>
            </w:r>
            <w:r>
              <w:rPr>
                <w:rFonts w:ascii="Arial" w:cs="Arial" w:eastAsia="Arial" w:hAnsi="Arial"/>
                <w:sz w:val="20"/>
                <w:szCs w:val="20"/>
                <w:color w:val="auto"/>
                <w:w w:val="96"/>
                <w:vertAlign w:val="superscript"/>
              </w:rPr>
              <w:t>(14)</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7,801,443</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02/15/2025</w:t>
            </w:r>
          </w:p>
        </w:tc>
        <w:tc>
          <w:tcPr>
            <w:tcW w:w="740" w:type="dxa"/>
            <w:vAlign w:val="bottom"/>
          </w:tcPr>
          <w:p>
            <w:pPr>
              <w:ind w:left="20"/>
              <w:spacing w:after="0"/>
              <w:rPr>
                <w:sz w:val="20"/>
                <w:szCs w:val="20"/>
                <w:color w:val="auto"/>
              </w:rPr>
            </w:pPr>
            <w:r>
              <w:rPr>
                <w:rFonts w:ascii="Arial" w:cs="Arial" w:eastAsia="Arial" w:hAnsi="Arial"/>
                <w:sz w:val="13"/>
                <w:szCs w:val="13"/>
                <w:color w:val="auto"/>
              </w:rPr>
              <w:t>2/26/2025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145,005</w:t>
            </w:r>
            <w:r>
              <w:rPr>
                <w:rFonts w:ascii="Arial" w:cs="Arial" w:eastAsia="Arial" w:hAnsi="Arial"/>
                <w:sz w:val="20"/>
                <w:szCs w:val="20"/>
                <w:color w:val="auto"/>
                <w:vertAlign w:val="superscript"/>
              </w:rPr>
              <w:t>(5)</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1,476,151</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2/26/2025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ind w:left="480"/>
              <w:spacing w:after="0"/>
              <w:rPr>
                <w:sz w:val="20"/>
                <w:szCs w:val="20"/>
                <w:color w:val="auto"/>
              </w:rPr>
            </w:pPr>
            <w:r>
              <w:rPr>
                <w:rFonts w:ascii="Arial" w:cs="Arial" w:eastAsia="Arial" w:hAnsi="Arial"/>
                <w:sz w:val="13"/>
                <w:szCs w:val="13"/>
                <w:color w:val="auto"/>
              </w:rPr>
              <w:t>109,075</w:t>
            </w:r>
            <w:r>
              <w:rPr>
                <w:rFonts w:ascii="Arial" w:cs="Arial" w:eastAsia="Arial" w:hAnsi="Arial"/>
                <w:sz w:val="20"/>
                <w:szCs w:val="20"/>
                <w:color w:val="auto"/>
                <w:vertAlign w:val="superscript"/>
              </w:rPr>
              <w:t>(6)</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1,110,384</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02/26/2025</w:t>
            </w:r>
          </w:p>
        </w:tc>
        <w:tc>
          <w:tcPr>
            <w:tcW w:w="740" w:type="dxa"/>
            <w:vAlign w:val="bottom"/>
          </w:tcPr>
          <w:p>
            <w:pPr>
              <w:ind w:left="20"/>
              <w:spacing w:after="0"/>
              <w:rPr>
                <w:sz w:val="20"/>
                <w:szCs w:val="20"/>
                <w:color w:val="auto"/>
              </w:rPr>
            </w:pPr>
            <w:r>
              <w:rPr>
                <w:rFonts w:ascii="Arial" w:cs="Arial" w:eastAsia="Arial" w:hAnsi="Arial"/>
                <w:sz w:val="13"/>
                <w:szCs w:val="13"/>
                <w:color w:val="auto"/>
              </w:rPr>
              <w:t>2/26/2025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145,005</w:t>
            </w:r>
            <w:r>
              <w:rPr>
                <w:rFonts w:ascii="Arial" w:cs="Arial" w:eastAsia="Arial" w:hAnsi="Arial"/>
                <w:sz w:val="20"/>
                <w:szCs w:val="20"/>
                <w:color w:val="auto"/>
                <w:vertAlign w:val="superscript"/>
              </w:rPr>
              <w:t>(8)</w:t>
            </w:r>
          </w:p>
        </w:tc>
        <w:tc>
          <w:tcPr>
            <w:tcW w:w="880" w:type="dxa"/>
            <w:vAlign w:val="bottom"/>
          </w:tcPr>
          <w:p>
            <w:pPr>
              <w:jc w:val="right"/>
              <w:spacing w:after="0"/>
              <w:rPr>
                <w:sz w:val="20"/>
                <w:szCs w:val="20"/>
                <w:color w:val="auto"/>
              </w:rPr>
            </w:pPr>
            <w:r>
              <w:rPr>
                <w:rFonts w:ascii="Arial" w:cs="Arial" w:eastAsia="Arial" w:hAnsi="Arial"/>
                <w:sz w:val="13"/>
                <w:szCs w:val="13"/>
                <w:color w:val="auto"/>
              </w:rPr>
              <w:t>1,476,151</w:t>
            </w:r>
          </w:p>
        </w:tc>
        <w:tc>
          <w:tcPr>
            <w:tcW w:w="0" w:type="dxa"/>
            <w:vAlign w:val="bottom"/>
          </w:tcPr>
          <w:p>
            <w:pPr>
              <w:spacing w:after="0"/>
              <w:rPr>
                <w:sz w:val="1"/>
                <w:szCs w:val="1"/>
                <w:color w:val="auto"/>
              </w:rPr>
            </w:pPr>
          </w:p>
        </w:tc>
      </w:tr>
      <w:tr>
        <w:trPr>
          <w:trHeight w:val="256"/>
        </w:trPr>
        <w:tc>
          <w:tcPr>
            <w:tcW w:w="1140" w:type="dxa"/>
            <w:vAlign w:val="bottom"/>
          </w:tcPr>
          <w:p>
            <w:pPr>
              <w:spacing w:after="0"/>
              <w:rPr>
                <w:sz w:val="22"/>
                <w:szCs w:val="22"/>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06/16/2025</w:t>
            </w:r>
          </w:p>
        </w:tc>
        <w:tc>
          <w:tcPr>
            <w:tcW w:w="740" w:type="dxa"/>
            <w:vAlign w:val="bottom"/>
          </w:tcPr>
          <w:p>
            <w:pPr>
              <w:ind w:left="40"/>
              <w:spacing w:after="0"/>
              <w:rPr>
                <w:sz w:val="20"/>
                <w:szCs w:val="20"/>
                <w:color w:val="auto"/>
              </w:rPr>
            </w:pPr>
            <w:r>
              <w:rPr>
                <w:rFonts w:ascii="Arial" w:cs="Arial" w:eastAsia="Arial" w:hAnsi="Arial"/>
                <w:sz w:val="13"/>
                <w:szCs w:val="13"/>
                <w:color w:val="auto"/>
              </w:rPr>
              <w:t>8/10/2025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55,555</w:t>
            </w:r>
            <w:r>
              <w:rPr>
                <w:rFonts w:ascii="Arial" w:cs="Arial" w:eastAsia="Arial" w:hAnsi="Arial"/>
                <w:sz w:val="20"/>
                <w:szCs w:val="20"/>
                <w:color w:val="auto"/>
                <w:vertAlign w:val="superscript"/>
              </w:rPr>
              <w:t>(7)</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565,550</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820" w:type="dxa"/>
            <w:vAlign w:val="bottom"/>
            <w:gridSpan w:val="2"/>
          </w:tcPr>
          <w:p>
            <w:pPr>
              <w:ind w:left="900"/>
              <w:spacing w:after="0"/>
              <w:rPr>
                <w:sz w:val="20"/>
                <w:szCs w:val="20"/>
                <w:color w:val="auto"/>
              </w:rPr>
            </w:pPr>
            <w:r>
              <w:rPr>
                <w:rFonts w:ascii="Arial" w:cs="Arial" w:eastAsia="Arial" w:hAnsi="Arial"/>
                <w:sz w:val="13"/>
                <w:szCs w:val="13"/>
                <w:color w:val="auto"/>
              </w:rPr>
              <w:t>— 8/10/2025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37,610</w:t>
            </w:r>
            <w:r>
              <w:rPr>
                <w:rFonts w:ascii="Arial" w:cs="Arial" w:eastAsia="Arial" w:hAnsi="Arial"/>
                <w:sz w:val="20"/>
                <w:szCs w:val="20"/>
                <w:color w:val="auto"/>
                <w:vertAlign w:val="superscript"/>
              </w:rPr>
              <w:t>(6)</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382,870</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c>
          <w:tcPr>
            <w:tcW w:w="740" w:type="dxa"/>
            <w:vAlign w:val="bottom"/>
          </w:tcPr>
          <w:p>
            <w:pPr>
              <w:ind w:left="40"/>
              <w:spacing w:after="0"/>
              <w:rPr>
                <w:sz w:val="20"/>
                <w:szCs w:val="20"/>
                <w:color w:val="auto"/>
              </w:rPr>
            </w:pPr>
            <w:r>
              <w:rPr>
                <w:rFonts w:ascii="Arial" w:cs="Arial" w:eastAsia="Arial" w:hAnsi="Arial"/>
                <w:sz w:val="13"/>
                <w:szCs w:val="13"/>
                <w:color w:val="auto"/>
              </w:rPr>
              <w:t>8/10/2025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77"/>
              <w:spacing w:after="0"/>
              <w:rPr>
                <w:sz w:val="20"/>
                <w:szCs w:val="20"/>
                <w:color w:val="auto"/>
              </w:rPr>
            </w:pPr>
            <w:r>
              <w:rPr>
                <w:rFonts w:ascii="Arial" w:cs="Arial" w:eastAsia="Arial" w:hAnsi="Arial"/>
                <w:sz w:val="13"/>
                <w:szCs w:val="13"/>
                <w:color w:val="auto"/>
              </w:rPr>
              <w:t>376,110</w:t>
            </w:r>
            <w:r>
              <w:rPr>
                <w:rFonts w:ascii="Arial" w:cs="Arial" w:eastAsia="Arial" w:hAnsi="Arial"/>
                <w:sz w:val="20"/>
                <w:szCs w:val="20"/>
                <w:color w:val="auto"/>
                <w:vertAlign w:val="superscript"/>
              </w:rPr>
              <w:t>(6)</w:t>
            </w: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3,828,800</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0"/>
        </w:trPr>
        <w:tc>
          <w:tcPr>
            <w:tcW w:w="1140" w:type="dxa"/>
            <w:vAlign w:val="bottom"/>
            <w:vMerge w:val="restart"/>
          </w:tcPr>
          <w:p>
            <w:pPr>
              <w:ind w:left="40"/>
              <w:spacing w:after="0"/>
              <w:rPr>
                <w:sz w:val="20"/>
                <w:szCs w:val="20"/>
                <w:color w:val="auto"/>
              </w:rPr>
            </w:pPr>
            <w:r>
              <w:rPr>
                <w:rFonts w:ascii="Arial" w:cs="Arial" w:eastAsia="Arial" w:hAnsi="Arial"/>
                <w:sz w:val="13"/>
                <w:szCs w:val="13"/>
                <w:b w:val="1"/>
                <w:bCs w:val="1"/>
                <w:color w:val="auto"/>
                <w:w w:val="98"/>
              </w:rPr>
              <w:t>Ronald Kisling</w:t>
            </w:r>
            <w:r>
              <w:rPr>
                <w:rFonts w:ascii="Arial" w:cs="Arial" w:eastAsia="Arial" w:hAnsi="Arial"/>
                <w:sz w:val="16"/>
                <w:szCs w:val="16"/>
                <w:b w:val="1"/>
                <w:bCs w:val="1"/>
                <w:color w:val="auto"/>
                <w:w w:val="98"/>
                <w:vertAlign w:val="superscript"/>
              </w:rPr>
              <w:t>(16)</w:t>
            </w: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02/26/2025</w:t>
            </w:r>
          </w:p>
        </w:tc>
        <w:tc>
          <w:tcPr>
            <w:tcW w:w="740" w:type="dxa"/>
            <w:vAlign w:val="bottom"/>
          </w:tcPr>
          <w:p>
            <w:pPr>
              <w:ind w:left="20"/>
              <w:spacing w:after="0"/>
              <w:rPr>
                <w:sz w:val="20"/>
                <w:szCs w:val="20"/>
                <w:color w:val="auto"/>
              </w:rPr>
            </w:pPr>
            <w:r>
              <w:rPr>
                <w:rFonts w:ascii="Arial" w:cs="Arial" w:eastAsia="Arial" w:hAnsi="Arial"/>
                <w:sz w:val="13"/>
                <w:szCs w:val="13"/>
                <w:color w:val="auto"/>
              </w:rPr>
              <w:t>2/26/2025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37"/>
              <w:spacing w:after="0" w:line="221" w:lineRule="exact"/>
              <w:rPr>
                <w:sz w:val="20"/>
                <w:szCs w:val="20"/>
                <w:color w:val="auto"/>
              </w:rPr>
            </w:pPr>
            <w:r>
              <w:rPr>
                <w:rFonts w:ascii="Arial" w:cs="Arial" w:eastAsia="Arial" w:hAnsi="Arial"/>
                <w:sz w:val="13"/>
                <w:szCs w:val="13"/>
                <w:color w:val="auto"/>
              </w:rPr>
              <w:t>49,998</w:t>
            </w:r>
            <w:r>
              <w:rPr>
                <w:rFonts w:ascii="Arial" w:cs="Arial" w:eastAsia="Arial" w:hAnsi="Arial"/>
                <w:sz w:val="20"/>
                <w:szCs w:val="20"/>
                <w:color w:val="auto"/>
                <w:vertAlign w:val="superscript"/>
              </w:rPr>
              <w:t>(8)</w:t>
            </w:r>
          </w:p>
        </w:tc>
        <w:tc>
          <w:tcPr>
            <w:tcW w:w="880" w:type="dxa"/>
            <w:vAlign w:val="bottom"/>
          </w:tcPr>
          <w:p>
            <w:pPr>
              <w:jc w:val="right"/>
              <w:spacing w:after="0"/>
              <w:rPr>
                <w:sz w:val="20"/>
                <w:szCs w:val="20"/>
                <w:color w:val="auto"/>
              </w:rPr>
            </w:pPr>
            <w:r>
              <w:rPr>
                <w:rFonts w:ascii="Arial" w:cs="Arial" w:eastAsia="Arial" w:hAnsi="Arial"/>
                <w:sz w:val="13"/>
                <w:szCs w:val="13"/>
                <w:color w:val="auto"/>
              </w:rPr>
              <w:t>508,980</w:t>
            </w:r>
          </w:p>
        </w:tc>
        <w:tc>
          <w:tcPr>
            <w:tcW w:w="0" w:type="dxa"/>
            <w:vAlign w:val="bottom"/>
          </w:tcPr>
          <w:p>
            <w:pPr>
              <w:spacing w:after="0"/>
              <w:rPr>
                <w:sz w:val="1"/>
                <w:szCs w:val="1"/>
                <w:color w:val="auto"/>
              </w:rPr>
            </w:pPr>
          </w:p>
        </w:tc>
      </w:tr>
      <w:tr>
        <w:trPr>
          <w:trHeight w:val="279"/>
        </w:trPr>
        <w:tc>
          <w:tcPr>
            <w:tcW w:w="1140" w:type="dxa"/>
            <w:vAlign w:val="bottom"/>
            <w:vMerge w:val="continue"/>
          </w:tcPr>
          <w:p>
            <w:pPr>
              <w:spacing w:after="0"/>
              <w:rPr>
                <w:sz w:val="24"/>
                <w:szCs w:val="24"/>
                <w:color w:val="auto"/>
              </w:rPr>
            </w:pPr>
          </w:p>
        </w:tc>
        <w:tc>
          <w:tcPr>
            <w:tcW w:w="1080" w:type="dxa"/>
            <w:vAlign w:val="bottom"/>
          </w:tcPr>
          <w:p>
            <w:pPr>
              <w:jc w:val="right"/>
              <w:ind w:right="17"/>
              <w:spacing w:after="0"/>
              <w:rPr>
                <w:sz w:val="20"/>
                <w:szCs w:val="20"/>
                <w:color w:val="auto"/>
              </w:rPr>
            </w:pPr>
            <w:r>
              <w:rPr>
                <w:rFonts w:ascii="Arial" w:cs="Arial" w:eastAsia="Arial" w:hAnsi="Arial"/>
                <w:sz w:val="13"/>
                <w:szCs w:val="13"/>
                <w:color w:val="auto"/>
              </w:rPr>
              <w:t>9/1/2022</w:t>
            </w:r>
          </w:p>
        </w:tc>
        <w:tc>
          <w:tcPr>
            <w:tcW w:w="740" w:type="dxa"/>
            <w:vAlign w:val="bottom"/>
          </w:tcPr>
          <w:p>
            <w:pPr>
              <w:ind w:left="20"/>
              <w:spacing w:after="0"/>
              <w:rPr>
                <w:sz w:val="20"/>
                <w:szCs w:val="20"/>
                <w:color w:val="auto"/>
              </w:rPr>
            </w:pPr>
            <w:r>
              <w:rPr>
                <w:rFonts w:ascii="Arial" w:cs="Arial" w:eastAsia="Arial" w:hAnsi="Arial"/>
                <w:sz w:val="13"/>
                <w:szCs w:val="13"/>
                <w:color w:val="auto"/>
              </w:rPr>
              <w:t>9/20/2022</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115,000</w:t>
            </w:r>
            <w:r>
              <w:rPr>
                <w:rFonts w:ascii="Arial" w:cs="Arial" w:eastAsia="Arial" w:hAnsi="Arial"/>
                <w:sz w:val="20"/>
                <w:szCs w:val="20"/>
                <w:color w:val="auto"/>
                <w:vertAlign w:val="superscript"/>
              </w:rPr>
              <w:t>(15)</w:t>
            </w:r>
          </w:p>
        </w:tc>
        <w:tc>
          <w:tcPr>
            <w:tcW w:w="880" w:type="dxa"/>
            <w:vAlign w:val="bottom"/>
          </w:tcPr>
          <w:p>
            <w:pPr>
              <w:jc w:val="right"/>
              <w:spacing w:after="0"/>
              <w:rPr>
                <w:sz w:val="20"/>
                <w:szCs w:val="20"/>
                <w:color w:val="auto"/>
              </w:rPr>
            </w:pPr>
            <w:r>
              <w:rPr>
                <w:rFonts w:ascii="Arial" w:cs="Arial" w:eastAsia="Arial" w:hAnsi="Arial"/>
                <w:sz w:val="13"/>
                <w:szCs w:val="13"/>
                <w:color w:val="auto"/>
              </w:rPr>
              <w:t>1,170,700</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1080" w:type="dxa"/>
            <w:vAlign w:val="bottom"/>
          </w:tcPr>
          <w:p>
            <w:pPr>
              <w:ind w:left="900"/>
              <w:spacing w:after="0"/>
              <w:rPr>
                <w:sz w:val="20"/>
                <w:szCs w:val="20"/>
                <w:color w:val="auto"/>
              </w:rPr>
            </w:pPr>
            <w:r>
              <w:rPr>
                <w:rFonts w:ascii="Arial" w:cs="Arial" w:eastAsia="Arial" w:hAnsi="Arial"/>
                <w:sz w:val="13"/>
                <w:szCs w:val="13"/>
                <w:color w:val="auto"/>
              </w:rPr>
              <w:t>—</w:t>
            </w:r>
          </w:p>
        </w:tc>
        <w:tc>
          <w:tcPr>
            <w:tcW w:w="740" w:type="dxa"/>
            <w:vAlign w:val="bottom"/>
          </w:tcPr>
          <w:p>
            <w:pPr>
              <w:ind w:left="20"/>
              <w:spacing w:after="0"/>
              <w:rPr>
                <w:sz w:val="20"/>
                <w:szCs w:val="20"/>
                <w:color w:val="auto"/>
              </w:rPr>
            </w:pPr>
            <w:r>
              <w:rPr>
                <w:rFonts w:ascii="Arial" w:cs="Arial" w:eastAsia="Arial" w:hAnsi="Arial"/>
                <w:sz w:val="13"/>
                <w:szCs w:val="13"/>
                <w:color w:val="auto"/>
              </w:rPr>
              <w:t>2/26/2025</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17"/>
              <w:spacing w:after="0"/>
              <w:rPr>
                <w:sz w:val="20"/>
                <w:szCs w:val="20"/>
                <w:color w:val="auto"/>
              </w:rPr>
            </w:pPr>
            <w:r>
              <w:rPr>
                <w:rFonts w:ascii="Arial" w:cs="Arial" w:eastAsia="Arial" w:hAnsi="Arial"/>
                <w:sz w:val="13"/>
                <w:szCs w:val="13"/>
                <w:color w:val="auto"/>
              </w:rPr>
              <w:t>45,448</w:t>
            </w:r>
            <w:r>
              <w:rPr>
                <w:rFonts w:ascii="Arial" w:cs="Arial" w:eastAsia="Arial" w:hAnsi="Arial"/>
                <w:sz w:val="20"/>
                <w:szCs w:val="20"/>
                <w:color w:val="auto"/>
                <w:vertAlign w:val="superscript"/>
              </w:rPr>
              <w:t>(17)</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462,661</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7"/>
        </w:trPr>
        <w:tc>
          <w:tcPr>
            <w:tcW w:w="1140" w:type="dxa"/>
            <w:vAlign w:val="bottom"/>
            <w:tcBorders>
              <w:bottom w:val="single" w:sz="8" w:color="404040"/>
            </w:tcBorders>
          </w:tcPr>
          <w:p>
            <w:pPr>
              <w:spacing w:after="0"/>
              <w:rPr>
                <w:sz w:val="21"/>
                <w:szCs w:val="21"/>
                <w:color w:val="auto"/>
              </w:rPr>
            </w:pPr>
          </w:p>
        </w:tc>
        <w:tc>
          <w:tcPr>
            <w:tcW w:w="1080" w:type="dxa"/>
            <w:vAlign w:val="bottom"/>
            <w:tcBorders>
              <w:bottom w:val="single" w:sz="8" w:color="404040"/>
            </w:tcBorders>
          </w:tcPr>
          <w:p>
            <w:pPr>
              <w:jc w:val="right"/>
              <w:ind w:right="17"/>
              <w:spacing w:after="0"/>
              <w:rPr>
                <w:sz w:val="20"/>
                <w:szCs w:val="20"/>
                <w:color w:val="auto"/>
              </w:rPr>
            </w:pPr>
            <w:r>
              <w:rPr>
                <w:rFonts w:ascii="Arial" w:cs="Arial" w:eastAsia="Arial" w:hAnsi="Arial"/>
                <w:sz w:val="13"/>
                <w:szCs w:val="13"/>
                <w:color w:val="auto"/>
              </w:rPr>
              <w:t>02/26/2025</w:t>
            </w:r>
          </w:p>
        </w:tc>
        <w:tc>
          <w:tcPr>
            <w:tcW w:w="740" w:type="dxa"/>
            <w:vAlign w:val="bottom"/>
            <w:tcBorders>
              <w:bottom w:val="single" w:sz="8" w:color="404040"/>
            </w:tcBorders>
          </w:tcPr>
          <w:p>
            <w:pPr>
              <w:ind w:left="20"/>
              <w:spacing w:after="0"/>
              <w:rPr>
                <w:sz w:val="20"/>
                <w:szCs w:val="20"/>
                <w:color w:val="auto"/>
              </w:rPr>
            </w:pPr>
            <w:r>
              <w:rPr>
                <w:rFonts w:ascii="Arial" w:cs="Arial" w:eastAsia="Arial" w:hAnsi="Arial"/>
                <w:sz w:val="13"/>
                <w:szCs w:val="13"/>
                <w:color w:val="auto"/>
              </w:rPr>
              <w:t>2/26/2025</w:t>
            </w:r>
          </w:p>
        </w:tc>
        <w:tc>
          <w:tcPr>
            <w:tcW w:w="960" w:type="dxa"/>
            <w:vAlign w:val="bottom"/>
            <w:tcBorders>
              <w:bottom w:val="single" w:sz="8" w:color="404040"/>
            </w:tcBorders>
          </w:tcPr>
          <w:p>
            <w:pPr>
              <w:jc w:val="right"/>
              <w:ind w:right="1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404040"/>
            </w:tcBorders>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404040"/>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404040"/>
            </w:tcBorders>
            <w:gridSpan w:val="2"/>
          </w:tcPr>
          <w:p>
            <w:pPr>
              <w:ind w:left="520"/>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404040"/>
            </w:tcBorders>
          </w:tcPr>
          <w:p>
            <w:pPr>
              <w:jc w:val="right"/>
              <w:ind w:right="217"/>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404040"/>
            </w:tcBorders>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404040"/>
            </w:tcBorders>
          </w:tcPr>
          <w:p>
            <w:pPr>
              <w:jc w:val="right"/>
              <w:ind w:right="37"/>
              <w:spacing w:after="0"/>
              <w:rPr>
                <w:sz w:val="20"/>
                <w:szCs w:val="20"/>
                <w:color w:val="auto"/>
              </w:rPr>
            </w:pPr>
            <w:r>
              <w:rPr>
                <w:rFonts w:ascii="Arial" w:cs="Arial" w:eastAsia="Arial" w:hAnsi="Arial"/>
                <w:sz w:val="13"/>
                <w:szCs w:val="13"/>
                <w:color w:val="auto"/>
              </w:rPr>
              <w:t>62,568</w:t>
            </w:r>
            <w:r>
              <w:rPr>
                <w:rFonts w:ascii="Arial" w:cs="Arial" w:eastAsia="Arial" w:hAnsi="Arial"/>
                <w:sz w:val="20"/>
                <w:szCs w:val="20"/>
                <w:color w:val="auto"/>
                <w:vertAlign w:val="superscript"/>
              </w:rPr>
              <w:t>(8)</w:t>
            </w:r>
          </w:p>
        </w:tc>
        <w:tc>
          <w:tcPr>
            <w:tcW w:w="880" w:type="dxa"/>
            <w:vAlign w:val="bottom"/>
            <w:tcBorders>
              <w:bottom w:val="single" w:sz="8" w:color="404040"/>
            </w:tcBorders>
          </w:tcPr>
          <w:p>
            <w:pPr>
              <w:jc w:val="right"/>
              <w:spacing w:after="0"/>
              <w:rPr>
                <w:sz w:val="20"/>
                <w:szCs w:val="20"/>
                <w:color w:val="auto"/>
              </w:rPr>
            </w:pPr>
            <w:r>
              <w:rPr>
                <w:rFonts w:ascii="Arial" w:cs="Arial" w:eastAsia="Arial" w:hAnsi="Arial"/>
                <w:sz w:val="13"/>
                <w:szCs w:val="13"/>
                <w:color w:val="auto"/>
              </w:rPr>
              <w:t>​ 636,942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-505460</wp:posOffset>
            </wp:positionV>
            <wp:extent cx="63779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77940" cy="8890"/>
                    </a:xfrm>
                    <a:prstGeom prst="rect">
                      <a:avLst/>
                    </a:prstGeom>
                    <a:noFill/>
                  </pic:spPr>
                </pic:pic>
              </a:graphicData>
            </a:graphic>
          </wp:anchor>
        </w:drawing>
      </w:r>
    </w:p>
    <w:p>
      <w:pPr>
        <w:spacing w:after="0" w:line="43" w:lineRule="exact"/>
        <w:rPr>
          <w:sz w:val="20"/>
          <w:szCs w:val="20"/>
          <w:color w:val="auto"/>
        </w:rPr>
      </w:pPr>
    </w:p>
    <w:p>
      <w:pPr>
        <w:ind w:left="1160" w:right="820" w:hanging="348"/>
        <w:spacing w:after="0" w:line="243" w:lineRule="auto"/>
        <w:tabs>
          <w:tab w:leader="none" w:pos="11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unvested shares subject to these awards may be subject to accelerated vesting upon a qualifying termination of employment, see “Employment Arrangements.” All option awards and stock awards were granted under our 2019 Plan.</w:t>
      </w:r>
    </w:p>
    <w:p>
      <w:pPr>
        <w:spacing w:after="0" w:line="7" w:lineRule="exact"/>
        <w:rPr>
          <w:rFonts w:ascii="Arial" w:cs="Arial" w:eastAsia="Arial" w:hAnsi="Arial"/>
          <w:sz w:val="13"/>
          <w:szCs w:val="13"/>
          <w:color w:val="auto"/>
        </w:rPr>
      </w:pPr>
    </w:p>
    <w:p>
      <w:pPr>
        <w:ind w:left="1160" w:hanging="348"/>
        <w:spacing w:after="0"/>
        <w:tabs>
          <w:tab w:leader="none" w:pos="11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Represent RSUs granted under our 2019 Plan.</w:t>
      </w:r>
    </w:p>
    <w:p>
      <w:pPr>
        <w:spacing w:after="0" w:line="16" w:lineRule="exact"/>
        <w:rPr>
          <w:rFonts w:ascii="Arial" w:cs="Arial" w:eastAsia="Arial" w:hAnsi="Arial"/>
          <w:sz w:val="13"/>
          <w:szCs w:val="13"/>
          <w:color w:val="auto"/>
        </w:rPr>
      </w:pPr>
    </w:p>
    <w:p>
      <w:pPr>
        <w:ind w:left="1160" w:right="820" w:hanging="348"/>
        <w:spacing w:after="0" w:line="238" w:lineRule="auto"/>
        <w:tabs>
          <w:tab w:leader="none" w:pos="11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market values of the RSU and PSU awards that have not vested are calculated by multiplying the number of shares underlying the award by $10.18, the closing price of our common stock on December 31, 2025 (the last trading day of our fiscal year).</w:t>
      </w:r>
    </w:p>
    <w:p>
      <w:pPr>
        <w:spacing w:after="0" w:line="17" w:lineRule="exact"/>
        <w:rPr>
          <w:rFonts w:ascii="Arial" w:cs="Arial" w:eastAsia="Arial" w:hAnsi="Arial"/>
          <w:sz w:val="13"/>
          <w:szCs w:val="13"/>
          <w:color w:val="auto"/>
        </w:rPr>
      </w:pPr>
    </w:p>
    <w:p>
      <w:pPr>
        <w:ind w:left="1160" w:right="800" w:hanging="348"/>
        <w:spacing w:after="0" w:line="183" w:lineRule="auto"/>
        <w:tabs>
          <w:tab w:leader="none" w:pos="1160" w:val="left"/>
        </w:tabs>
        <w:numPr>
          <w:ilvl w:val="0"/>
          <w:numId w:val="44"/>
        </w:numPr>
        <w:rPr>
          <w:rFonts w:ascii="Arial" w:cs="Arial" w:eastAsia="Arial" w:hAnsi="Arial"/>
          <w:sz w:val="25"/>
          <w:szCs w:val="25"/>
          <w:color w:val="auto"/>
          <w:vertAlign w:val="superscript"/>
        </w:rPr>
      </w:pPr>
      <w:r>
        <w:rPr>
          <w:rFonts w:ascii="Arial" w:cs="Arial" w:eastAsia="Arial" w:hAnsi="Arial"/>
          <w:sz w:val="13"/>
          <w:szCs w:val="13"/>
          <w:color w:val="auto"/>
        </w:rPr>
        <w:t>1/3</w:t>
      </w:r>
      <w:r>
        <w:rPr>
          <w:rFonts w:ascii="Arial" w:cs="Arial" w:eastAsia="Arial" w:hAnsi="Arial"/>
          <w:sz w:val="20"/>
          <w:szCs w:val="20"/>
          <w:color w:val="auto"/>
          <w:vertAlign w:val="superscript"/>
        </w:rPr>
        <w:t>rd</w:t>
      </w:r>
      <w:r>
        <w:rPr>
          <w:rFonts w:ascii="Arial" w:cs="Arial" w:eastAsia="Arial" w:hAnsi="Arial"/>
          <w:sz w:val="13"/>
          <w:szCs w:val="13"/>
          <w:color w:val="auto"/>
        </w:rPr>
        <w:t xml:space="preserve"> of the shares subject to this RSU award vested on January 15, 2025 and 1/12</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vest quarterly thereafter, subject to continuous service through each such date.</w:t>
      </w:r>
    </w:p>
    <w:p>
      <w:pPr>
        <w:spacing w:after="0" w:line="17" w:lineRule="exact"/>
        <w:rPr>
          <w:rFonts w:ascii="Arial" w:cs="Arial" w:eastAsia="Arial" w:hAnsi="Arial"/>
          <w:sz w:val="25"/>
          <w:szCs w:val="25"/>
          <w:color w:val="auto"/>
          <w:vertAlign w:val="superscript"/>
        </w:rPr>
      </w:pPr>
    </w:p>
    <w:p>
      <w:pPr>
        <w:ind w:left="1160" w:right="820" w:hanging="348"/>
        <w:spacing w:after="0" w:line="183" w:lineRule="auto"/>
        <w:tabs>
          <w:tab w:leader="none" w:pos="1160" w:val="left"/>
        </w:tabs>
        <w:numPr>
          <w:ilvl w:val="0"/>
          <w:numId w:val="44"/>
        </w:numPr>
        <w:rPr>
          <w:rFonts w:ascii="Arial" w:cs="Arial" w:eastAsia="Arial" w:hAnsi="Arial"/>
          <w:sz w:val="25"/>
          <w:szCs w:val="25"/>
          <w:color w:val="auto"/>
          <w:vertAlign w:val="superscript"/>
        </w:rPr>
      </w:pPr>
      <w:r>
        <w:rPr>
          <w:rFonts w:ascii="Arial" w:cs="Arial" w:eastAsia="Arial" w:hAnsi="Arial"/>
          <w:sz w:val="13"/>
          <w:szCs w:val="13"/>
          <w:color w:val="auto"/>
        </w:rPr>
        <w:t>1/12</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of the shares subject to this RSU award vested on May 15, 2025 and 1/12</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vest quarterly thereafter, subject to continuous service through each such date.</w:t>
      </w:r>
    </w:p>
    <w:p>
      <w:pPr>
        <w:spacing w:after="0" w:line="4" w:lineRule="exact"/>
        <w:rPr>
          <w:rFonts w:ascii="Arial" w:cs="Arial" w:eastAsia="Arial" w:hAnsi="Arial"/>
          <w:sz w:val="25"/>
          <w:szCs w:val="25"/>
          <w:color w:val="auto"/>
          <w:vertAlign w:val="superscript"/>
        </w:rPr>
      </w:pPr>
    </w:p>
    <w:p>
      <w:pPr>
        <w:ind w:left="1160" w:right="800" w:hanging="348"/>
        <w:spacing w:after="0" w:line="183" w:lineRule="auto"/>
        <w:tabs>
          <w:tab w:leader="none" w:pos="1160" w:val="left"/>
        </w:tabs>
        <w:numPr>
          <w:ilvl w:val="0"/>
          <w:numId w:val="44"/>
        </w:numPr>
        <w:rPr>
          <w:rFonts w:ascii="Arial" w:cs="Arial" w:eastAsia="Arial" w:hAnsi="Arial"/>
          <w:sz w:val="25"/>
          <w:szCs w:val="25"/>
          <w:color w:val="auto"/>
          <w:vertAlign w:val="superscript"/>
        </w:rPr>
      </w:pPr>
      <w:r>
        <w:rPr>
          <w:rFonts w:ascii="Arial" w:cs="Arial" w:eastAsia="Arial" w:hAnsi="Arial"/>
          <w:sz w:val="13"/>
          <w:szCs w:val="13"/>
          <w:color w:val="auto"/>
        </w:rPr>
        <w:t>1/3</w:t>
      </w:r>
      <w:r>
        <w:rPr>
          <w:rFonts w:ascii="Arial" w:cs="Arial" w:eastAsia="Arial" w:hAnsi="Arial"/>
          <w:sz w:val="20"/>
          <w:szCs w:val="20"/>
          <w:color w:val="auto"/>
          <w:vertAlign w:val="superscript"/>
        </w:rPr>
        <w:t>rd</w:t>
      </w:r>
      <w:r>
        <w:rPr>
          <w:rFonts w:ascii="Arial" w:cs="Arial" w:eastAsia="Arial" w:hAnsi="Arial"/>
          <w:sz w:val="13"/>
          <w:szCs w:val="13"/>
          <w:color w:val="auto"/>
        </w:rPr>
        <w:t xml:space="preserve"> of the total shares subject to this Financial PSU award vested subject to the achievement of pre-established performance goals during fiscal year 2025 on February 28, 2026 and 8.375% vest quarterly thereafter, subject to continuous service through each such date.</w:t>
      </w:r>
    </w:p>
    <w:p>
      <w:pPr>
        <w:spacing w:after="0" w:line="17" w:lineRule="exact"/>
        <w:rPr>
          <w:rFonts w:ascii="Arial" w:cs="Arial" w:eastAsia="Arial" w:hAnsi="Arial"/>
          <w:sz w:val="25"/>
          <w:szCs w:val="25"/>
          <w:color w:val="auto"/>
          <w:vertAlign w:val="superscript"/>
        </w:rPr>
      </w:pPr>
    </w:p>
    <w:p>
      <w:pPr>
        <w:ind w:left="1160" w:right="820" w:hanging="348"/>
        <w:spacing w:after="0" w:line="183" w:lineRule="auto"/>
        <w:tabs>
          <w:tab w:leader="none" w:pos="1160" w:val="left"/>
        </w:tabs>
        <w:numPr>
          <w:ilvl w:val="0"/>
          <w:numId w:val="44"/>
        </w:numPr>
        <w:rPr>
          <w:rFonts w:ascii="Arial" w:cs="Arial" w:eastAsia="Arial" w:hAnsi="Arial"/>
          <w:sz w:val="25"/>
          <w:szCs w:val="25"/>
          <w:color w:val="auto"/>
          <w:vertAlign w:val="superscript"/>
        </w:rPr>
      </w:pPr>
      <w:r>
        <w:rPr>
          <w:rFonts w:ascii="Arial" w:cs="Arial" w:eastAsia="Arial" w:hAnsi="Arial"/>
          <w:sz w:val="13"/>
          <w:szCs w:val="13"/>
          <w:color w:val="auto"/>
        </w:rPr>
        <w:t>1/12</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of the shares subject to this RSU award vested on August 15, 2025 and 1/12</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vest quarterly thereafter, subject to continuous service through each such date.</w:t>
      </w:r>
    </w:p>
    <w:p>
      <w:pPr>
        <w:spacing w:after="0" w:line="10" w:lineRule="exact"/>
        <w:rPr>
          <w:rFonts w:ascii="Arial" w:cs="Arial" w:eastAsia="Arial" w:hAnsi="Arial"/>
          <w:sz w:val="25"/>
          <w:szCs w:val="25"/>
          <w:color w:val="auto"/>
          <w:vertAlign w:val="superscript"/>
        </w:rPr>
      </w:pPr>
    </w:p>
    <w:p>
      <w:pPr>
        <w:jc w:val="both"/>
        <w:ind w:left="1160" w:right="800" w:hanging="348"/>
        <w:spacing w:after="0" w:line="216" w:lineRule="auto"/>
        <w:tabs>
          <w:tab w:leader="none" w:pos="11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rTSR PSUs are subject to rTSR performance conditions. The number of shares eligible to be earned is determined by the Company’s TSR relative to the companies comprising the Russell 2000 Index over a three-year performance period. Payouts are determined based on an “Achievement Factor” ranging from 0.5 to 3.0, with the maximum payout being equal to 300% of target for performance at or above the 90</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percentile as described in “Executive Compensation – Compensation Discussion and Analysis.” Because our rTSR performance through December 31, 2025 exceeded target performance, these awards are reported at the maximum payout level. The ultimate payout will be based on actual performance at the conclusion of the performance period.</w:t>
      </w:r>
    </w:p>
    <w:p>
      <w:pPr>
        <w:spacing w:after="0" w:line="187" w:lineRule="exact"/>
        <w:rPr>
          <w:sz w:val="20"/>
          <w:szCs w:val="20"/>
          <w:color w:val="auto"/>
        </w:rPr>
      </w:pPr>
    </w:p>
    <w:p>
      <w:pPr>
        <w:ind w:left="8080"/>
        <w:spacing w:after="0"/>
        <w:rPr>
          <w:sz w:val="20"/>
          <w:szCs w:val="20"/>
          <w:color w:val="auto"/>
        </w:rPr>
      </w:pPr>
      <w:r>
        <w:rPr>
          <w:rFonts w:ascii="Arial" w:cs="Arial" w:eastAsia="Arial" w:hAnsi="Arial"/>
          <w:sz w:val="13"/>
          <w:szCs w:val="13"/>
          <w:color w:val="auto"/>
        </w:rPr>
        <w:t>2026 PROXY STATEMENT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113665</wp:posOffset>
            </wp:positionV>
            <wp:extent cx="699516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2" w:lineRule="exact"/>
        <w:rPr>
          <w:sz w:val="20"/>
          <w:szCs w:val="20"/>
          <w:color w:val="auto"/>
        </w:rPr>
      </w:pPr>
    </w:p>
    <w:p>
      <w:pPr>
        <w:ind w:left="1000" w:right="299" w:hanging="348"/>
        <w:spacing w:after="0" w:line="183" w:lineRule="auto"/>
        <w:tabs>
          <w:tab w:leader="none" w:pos="1000" w:val="left"/>
        </w:tabs>
        <w:numPr>
          <w:ilvl w:val="0"/>
          <w:numId w:val="45"/>
        </w:numPr>
        <w:rPr>
          <w:rFonts w:ascii="Arial" w:cs="Arial" w:eastAsia="Arial" w:hAnsi="Arial"/>
          <w:sz w:val="25"/>
          <w:szCs w:val="25"/>
          <w:color w:val="auto"/>
          <w:vertAlign w:val="superscript"/>
        </w:rPr>
      </w:pPr>
      <w:r>
        <w:rPr>
          <w:rFonts w:ascii="Arial" w:cs="Arial" w:eastAsia="Arial" w:hAnsi="Arial"/>
          <w:sz w:val="13"/>
          <w:szCs w:val="13"/>
          <w:color w:val="auto"/>
        </w:rPr>
        <w:t>1/16</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of the total shares subject to this RSU award vested on February 15, 2024 and 1/16</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vest quarterly thereafter, subject to continuous service through each such date.</w:t>
      </w:r>
    </w:p>
    <w:p>
      <w:pPr>
        <w:spacing w:after="0" w:line="4" w:lineRule="exact"/>
        <w:rPr>
          <w:rFonts w:ascii="Arial" w:cs="Arial" w:eastAsia="Arial" w:hAnsi="Arial"/>
          <w:sz w:val="25"/>
          <w:szCs w:val="25"/>
          <w:color w:val="auto"/>
          <w:vertAlign w:val="superscript"/>
        </w:rPr>
      </w:pPr>
    </w:p>
    <w:p>
      <w:pPr>
        <w:ind w:left="1000" w:right="319" w:hanging="348"/>
        <w:spacing w:after="0" w:line="183" w:lineRule="auto"/>
        <w:tabs>
          <w:tab w:leader="none" w:pos="1000" w:val="left"/>
        </w:tabs>
        <w:numPr>
          <w:ilvl w:val="0"/>
          <w:numId w:val="45"/>
        </w:numPr>
        <w:rPr>
          <w:rFonts w:ascii="Arial" w:cs="Arial" w:eastAsia="Arial" w:hAnsi="Arial"/>
          <w:sz w:val="25"/>
          <w:szCs w:val="25"/>
          <w:color w:val="auto"/>
          <w:vertAlign w:val="superscript"/>
        </w:rPr>
      </w:pPr>
      <w:r>
        <w:rPr>
          <w:rFonts w:ascii="Arial" w:cs="Arial" w:eastAsia="Arial" w:hAnsi="Arial"/>
          <w:sz w:val="13"/>
          <w:szCs w:val="13"/>
          <w:color w:val="auto"/>
        </w:rPr>
        <w:t>1/16</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of the shares subject to this option award vested on November 15, 2023 and 1/16</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vest quarterly thereafter, subject to continuous service through each such date.</w:t>
      </w:r>
    </w:p>
    <w:p>
      <w:pPr>
        <w:spacing w:after="0" w:line="17" w:lineRule="exact"/>
        <w:rPr>
          <w:rFonts w:ascii="Arial" w:cs="Arial" w:eastAsia="Arial" w:hAnsi="Arial"/>
          <w:sz w:val="25"/>
          <w:szCs w:val="25"/>
          <w:color w:val="auto"/>
          <w:vertAlign w:val="superscript"/>
        </w:rPr>
      </w:pPr>
    </w:p>
    <w:p>
      <w:pPr>
        <w:ind w:left="1000" w:right="319" w:hanging="348"/>
        <w:spacing w:after="0" w:line="183" w:lineRule="auto"/>
        <w:tabs>
          <w:tab w:leader="none" w:pos="1000" w:val="left"/>
        </w:tabs>
        <w:numPr>
          <w:ilvl w:val="0"/>
          <w:numId w:val="45"/>
        </w:numPr>
        <w:rPr>
          <w:rFonts w:ascii="Arial" w:cs="Arial" w:eastAsia="Arial" w:hAnsi="Arial"/>
          <w:sz w:val="25"/>
          <w:szCs w:val="25"/>
          <w:color w:val="auto"/>
          <w:vertAlign w:val="superscript"/>
        </w:rPr>
      </w:pPr>
      <w:r>
        <w:rPr>
          <w:rFonts w:ascii="Arial" w:cs="Arial" w:eastAsia="Arial" w:hAnsi="Arial"/>
          <w:sz w:val="13"/>
          <w:szCs w:val="13"/>
          <w:color w:val="auto"/>
        </w:rPr>
        <w:t>1/16</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of the total shares subject to this RSU award vested on May 15, 2024 and 1/16</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vest quarterly thereafter, subject to continuous service through each such date.</w:t>
      </w:r>
    </w:p>
    <w:p>
      <w:pPr>
        <w:spacing w:after="0" w:line="17" w:lineRule="exact"/>
        <w:rPr>
          <w:rFonts w:ascii="Arial" w:cs="Arial" w:eastAsia="Arial" w:hAnsi="Arial"/>
          <w:sz w:val="25"/>
          <w:szCs w:val="25"/>
          <w:color w:val="auto"/>
          <w:vertAlign w:val="superscript"/>
        </w:rPr>
      </w:pPr>
    </w:p>
    <w:p>
      <w:pPr>
        <w:ind w:left="1000" w:right="319" w:hanging="348"/>
        <w:spacing w:after="0" w:line="183" w:lineRule="auto"/>
        <w:tabs>
          <w:tab w:leader="none" w:pos="1000" w:val="left"/>
        </w:tabs>
        <w:numPr>
          <w:ilvl w:val="0"/>
          <w:numId w:val="45"/>
        </w:numPr>
        <w:rPr>
          <w:rFonts w:ascii="Arial" w:cs="Arial" w:eastAsia="Arial" w:hAnsi="Arial"/>
          <w:sz w:val="25"/>
          <w:szCs w:val="25"/>
          <w:color w:val="auto"/>
          <w:vertAlign w:val="superscript"/>
        </w:rPr>
      </w:pPr>
      <w:r>
        <w:rPr>
          <w:rFonts w:ascii="Arial" w:cs="Arial" w:eastAsia="Arial" w:hAnsi="Arial"/>
          <w:sz w:val="13"/>
          <w:szCs w:val="13"/>
          <w:color w:val="auto"/>
        </w:rPr>
        <w:t>1/3</w:t>
      </w:r>
      <w:r>
        <w:rPr>
          <w:rFonts w:ascii="Arial" w:cs="Arial" w:eastAsia="Arial" w:hAnsi="Arial"/>
          <w:sz w:val="20"/>
          <w:szCs w:val="20"/>
          <w:color w:val="auto"/>
          <w:vertAlign w:val="superscript"/>
        </w:rPr>
        <w:t>rd</w:t>
      </w:r>
      <w:r>
        <w:rPr>
          <w:rFonts w:ascii="Arial" w:cs="Arial" w:eastAsia="Arial" w:hAnsi="Arial"/>
          <w:sz w:val="13"/>
          <w:szCs w:val="13"/>
          <w:color w:val="auto"/>
        </w:rPr>
        <w:t xml:space="preserve"> of the total shares subject to this PSU award vested subject to the achievement of pre-established performance goals during fiscal year 2024 on February 26, 2025 and 8.375% vest quarterly thereafter, subject to continuous service through each such date.</w:t>
      </w:r>
    </w:p>
    <w:p>
      <w:pPr>
        <w:spacing w:after="0" w:line="4" w:lineRule="exact"/>
        <w:rPr>
          <w:rFonts w:ascii="Arial" w:cs="Arial" w:eastAsia="Arial" w:hAnsi="Arial"/>
          <w:sz w:val="25"/>
          <w:szCs w:val="25"/>
          <w:color w:val="auto"/>
          <w:vertAlign w:val="superscript"/>
        </w:rPr>
      </w:pPr>
    </w:p>
    <w:p>
      <w:pPr>
        <w:ind w:left="1000" w:right="299" w:hanging="348"/>
        <w:spacing w:after="0" w:line="183" w:lineRule="auto"/>
        <w:tabs>
          <w:tab w:leader="none" w:pos="1000" w:val="left"/>
        </w:tabs>
        <w:numPr>
          <w:ilvl w:val="0"/>
          <w:numId w:val="45"/>
        </w:numPr>
        <w:rPr>
          <w:rFonts w:ascii="Arial" w:cs="Arial" w:eastAsia="Arial" w:hAnsi="Arial"/>
          <w:sz w:val="25"/>
          <w:szCs w:val="25"/>
          <w:color w:val="auto"/>
          <w:vertAlign w:val="superscript"/>
        </w:rPr>
      </w:pPr>
      <w:r>
        <w:rPr>
          <w:rFonts w:ascii="Arial" w:cs="Arial" w:eastAsia="Arial" w:hAnsi="Arial"/>
          <w:sz w:val="13"/>
          <w:szCs w:val="13"/>
          <w:color w:val="auto"/>
        </w:rPr>
        <w:t>1/4</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of the total shares subject to this RSU award will vest on August 15, 2026, and 1/16</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quarterly thereafter, subject to continuous service through each such date.</w:t>
      </w:r>
    </w:p>
    <w:p>
      <w:pPr>
        <w:spacing w:after="0" w:line="17" w:lineRule="exact"/>
        <w:rPr>
          <w:rFonts w:ascii="Arial" w:cs="Arial" w:eastAsia="Arial" w:hAnsi="Arial"/>
          <w:sz w:val="25"/>
          <w:szCs w:val="25"/>
          <w:color w:val="auto"/>
          <w:vertAlign w:val="superscript"/>
        </w:rPr>
      </w:pPr>
    </w:p>
    <w:p>
      <w:pPr>
        <w:ind w:left="1000" w:right="319" w:hanging="348"/>
        <w:spacing w:after="0" w:line="183" w:lineRule="auto"/>
        <w:tabs>
          <w:tab w:leader="none" w:pos="1000" w:val="left"/>
        </w:tabs>
        <w:numPr>
          <w:ilvl w:val="0"/>
          <w:numId w:val="45"/>
        </w:numPr>
        <w:rPr>
          <w:rFonts w:ascii="Arial" w:cs="Arial" w:eastAsia="Arial" w:hAnsi="Arial"/>
          <w:sz w:val="25"/>
          <w:szCs w:val="25"/>
          <w:color w:val="auto"/>
          <w:vertAlign w:val="superscript"/>
        </w:rPr>
      </w:pPr>
      <w:r>
        <w:rPr>
          <w:rFonts w:ascii="Arial" w:cs="Arial" w:eastAsia="Arial" w:hAnsi="Arial"/>
          <w:sz w:val="13"/>
          <w:szCs w:val="13"/>
          <w:color w:val="auto"/>
        </w:rPr>
        <w:t>1/4</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of the total shares subject to this RSU award vested June 15, 2025, and 1/16</w:t>
      </w:r>
      <w:r>
        <w:rPr>
          <w:rFonts w:ascii="Arial" w:cs="Arial" w:eastAsia="Arial" w:hAnsi="Arial"/>
          <w:sz w:val="20"/>
          <w:szCs w:val="20"/>
          <w:color w:val="auto"/>
          <w:vertAlign w:val="superscript"/>
        </w:rPr>
        <w:t>th</w:t>
      </w:r>
      <w:r>
        <w:rPr>
          <w:rFonts w:ascii="Arial" w:cs="Arial" w:eastAsia="Arial" w:hAnsi="Arial"/>
          <w:sz w:val="13"/>
          <w:szCs w:val="13"/>
          <w:color w:val="auto"/>
        </w:rPr>
        <w:t xml:space="preserve"> quarterly thereafter, subject to continuous service through each such date.</w:t>
      </w:r>
    </w:p>
    <w:p>
      <w:pPr>
        <w:spacing w:after="0" w:line="10" w:lineRule="exact"/>
        <w:rPr>
          <w:rFonts w:ascii="Arial" w:cs="Arial" w:eastAsia="Arial" w:hAnsi="Arial"/>
          <w:sz w:val="25"/>
          <w:szCs w:val="25"/>
          <w:color w:val="auto"/>
          <w:vertAlign w:val="superscript"/>
        </w:rPr>
      </w:pPr>
    </w:p>
    <w:p>
      <w:pPr>
        <w:jc w:val="both"/>
        <w:ind w:left="1000" w:right="299" w:hanging="348"/>
        <w:spacing w:after="0" w:line="226" w:lineRule="auto"/>
        <w:tabs>
          <w:tab w:leader="none" w:pos="1000" w:val="left"/>
        </w:tabs>
        <w:numPr>
          <w:ilvl w:val="0"/>
          <w:numId w:val="45"/>
        </w:numPr>
        <w:rPr>
          <w:rFonts w:ascii="Arial" w:cs="Arial" w:eastAsia="Arial" w:hAnsi="Arial"/>
          <w:sz w:val="13"/>
          <w:szCs w:val="13"/>
          <w:color w:val="auto"/>
        </w:rPr>
      </w:pPr>
      <w:r>
        <w:rPr>
          <w:rFonts w:ascii="Arial" w:cs="Arial" w:eastAsia="Arial" w:hAnsi="Arial"/>
          <w:sz w:val="13"/>
          <w:szCs w:val="13"/>
          <w:color w:val="auto"/>
        </w:rPr>
        <w:t>These PSUs (the “Stock Price Hurdle PSUs”) were originally divided into four pre-established performance-based vesting tranches that may be earned over a period of approximately five years, subject to continuous service through the applicable earliest vest date and achievement of the applicable stock price hurdles as set forth in the table below. Pursuant to the Kisling Separation Agreement, Mr. Kisling remains eligible to earn certain shares in Tranches 2 and 3 of the award until the first anniversary of the Separation Date (as defined in the Kisling Separation Agreement), which is September 15, 2026.</w:t>
      </w: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80" w:type="dxa"/>
            <w:vAlign w:val="bottom"/>
          </w:tcPr>
          <w:p>
            <w:pPr>
              <w:jc w:val="right"/>
              <w:ind w:right="88"/>
              <w:spacing w:after="0"/>
              <w:rPr>
                <w:sz w:val="20"/>
                <w:szCs w:val="20"/>
                <w:color w:val="auto"/>
              </w:rPr>
            </w:pPr>
            <w:r>
              <w:rPr>
                <w:rFonts w:ascii="Arial" w:cs="Arial" w:eastAsia="Arial" w:hAnsi="Arial"/>
                <w:sz w:val="14"/>
                <w:szCs w:val="14"/>
                <w:b w:val="1"/>
                <w:bCs w:val="1"/>
                <w:color w:val="auto"/>
              </w:rPr>
              <w:t>Percentage of</w:t>
            </w:r>
          </w:p>
        </w:tc>
      </w:tr>
      <w:tr>
        <w:trPr>
          <w:trHeight w:val="205"/>
        </w:trPr>
        <w:tc>
          <w:tcPr>
            <w:tcW w:w="138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Tranche</w:t>
            </w:r>
          </w:p>
        </w:tc>
        <w:tc>
          <w:tcPr>
            <w:tcW w:w="2420" w:type="dxa"/>
            <w:vAlign w:val="bottom"/>
            <w:tcBorders>
              <w:bottom w:val="single" w:sz="8" w:color="404040"/>
            </w:tcBorders>
          </w:tcPr>
          <w:p>
            <w:pPr>
              <w:jc w:val="right"/>
              <w:ind w:right="248"/>
              <w:spacing w:after="0"/>
              <w:rPr>
                <w:sz w:val="20"/>
                <w:szCs w:val="20"/>
                <w:color w:val="auto"/>
              </w:rPr>
            </w:pPr>
            <w:r>
              <w:rPr>
                <w:rFonts w:ascii="Arial" w:cs="Arial" w:eastAsia="Arial" w:hAnsi="Arial"/>
                <w:sz w:val="14"/>
                <w:szCs w:val="14"/>
                <w:b w:val="1"/>
                <w:bCs w:val="1"/>
                <w:color w:val="auto"/>
              </w:rPr>
              <w:t>Stock Price Hurdle*</w:t>
            </w:r>
          </w:p>
        </w:tc>
        <w:tc>
          <w:tcPr>
            <w:tcW w:w="1980" w:type="dxa"/>
            <w:vAlign w:val="bottom"/>
            <w:tcBorders>
              <w:bottom w:val="single" w:sz="8" w:color="404040"/>
            </w:tcBorders>
          </w:tcPr>
          <w:p>
            <w:pPr>
              <w:ind w:left="320"/>
              <w:spacing w:after="0"/>
              <w:rPr>
                <w:sz w:val="20"/>
                <w:szCs w:val="20"/>
                <w:color w:val="auto"/>
              </w:rPr>
            </w:pPr>
            <w:r>
              <w:rPr>
                <w:rFonts w:ascii="Arial" w:cs="Arial" w:eastAsia="Arial" w:hAnsi="Arial"/>
                <w:sz w:val="14"/>
                <w:szCs w:val="14"/>
                <w:b w:val="1"/>
                <w:bCs w:val="1"/>
                <w:color w:val="auto"/>
              </w:rPr>
              <w:t>Earliest Vest Date**</w:t>
            </w:r>
          </w:p>
        </w:tc>
        <w:tc>
          <w:tcPr>
            <w:tcW w:w="228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Performance-Based Award</w:t>
            </w:r>
          </w:p>
        </w:tc>
      </w:tr>
      <w:tr>
        <w:trPr>
          <w:trHeight w:val="208"/>
        </w:trPr>
        <w:tc>
          <w:tcPr>
            <w:tcW w:w="1380" w:type="dxa"/>
            <w:vAlign w:val="bottom"/>
          </w:tcPr>
          <w:p>
            <w:pPr>
              <w:ind w:left="60"/>
              <w:spacing w:after="0"/>
              <w:rPr>
                <w:sz w:val="20"/>
                <w:szCs w:val="20"/>
                <w:color w:val="auto"/>
              </w:rPr>
            </w:pPr>
            <w:r>
              <w:rPr>
                <w:rFonts w:ascii="Arial" w:cs="Arial" w:eastAsia="Arial" w:hAnsi="Arial"/>
                <w:sz w:val="14"/>
                <w:szCs w:val="14"/>
                <w:color w:val="auto"/>
              </w:rPr>
              <w:t>1***</w:t>
            </w:r>
          </w:p>
        </w:tc>
        <w:tc>
          <w:tcPr>
            <w:tcW w:w="2420" w:type="dxa"/>
            <w:vAlign w:val="bottom"/>
          </w:tcPr>
          <w:p>
            <w:pPr>
              <w:jc w:val="right"/>
              <w:ind w:right="248"/>
              <w:spacing w:after="0"/>
              <w:rPr>
                <w:sz w:val="20"/>
                <w:szCs w:val="20"/>
                <w:color w:val="auto"/>
              </w:rPr>
            </w:pPr>
            <w:r>
              <w:rPr>
                <w:rFonts w:ascii="Arial" w:cs="Arial" w:eastAsia="Arial" w:hAnsi="Arial"/>
                <w:sz w:val="14"/>
                <w:szCs w:val="14"/>
                <w:color w:val="auto"/>
              </w:rPr>
              <w:t>$17.25</w:t>
            </w:r>
          </w:p>
        </w:tc>
        <w:tc>
          <w:tcPr>
            <w:tcW w:w="1980" w:type="dxa"/>
            <w:vAlign w:val="bottom"/>
          </w:tcPr>
          <w:p>
            <w:pPr>
              <w:ind w:left="300"/>
              <w:spacing w:after="0"/>
              <w:rPr>
                <w:sz w:val="20"/>
                <w:szCs w:val="20"/>
                <w:color w:val="auto"/>
              </w:rPr>
            </w:pPr>
            <w:r>
              <w:rPr>
                <w:rFonts w:ascii="Arial" w:cs="Arial" w:eastAsia="Arial" w:hAnsi="Arial"/>
                <w:sz w:val="14"/>
                <w:szCs w:val="14"/>
                <w:color w:val="auto"/>
              </w:rPr>
              <w:t>November 15, 2023</w:t>
            </w:r>
          </w:p>
        </w:tc>
        <w:tc>
          <w:tcPr>
            <w:tcW w:w="2280" w:type="dxa"/>
            <w:vAlign w:val="bottom"/>
          </w:tcPr>
          <w:p>
            <w:pPr>
              <w:jc w:val="right"/>
              <w:ind w:right="48"/>
              <w:spacing w:after="0"/>
              <w:rPr>
                <w:sz w:val="20"/>
                <w:szCs w:val="20"/>
                <w:color w:val="auto"/>
              </w:rPr>
            </w:pPr>
            <w:r>
              <w:rPr>
                <w:rFonts w:ascii="Arial" w:cs="Arial" w:eastAsia="Arial" w:hAnsi="Arial"/>
                <w:sz w:val="14"/>
                <w:szCs w:val="14"/>
                <w:color w:val="auto"/>
              </w:rPr>
              <w:t>25%</w:t>
            </w:r>
          </w:p>
        </w:tc>
      </w:tr>
      <w:tr>
        <w:trPr>
          <w:trHeight w:val="22"/>
        </w:trPr>
        <w:tc>
          <w:tcPr>
            <w:tcW w:w="1380" w:type="dxa"/>
            <w:vAlign w:val="bottom"/>
            <w:tcBorders>
              <w:bottom w:val="single" w:sz="8" w:color="404040"/>
            </w:tcBorders>
          </w:tcPr>
          <w:p>
            <w:pPr>
              <w:spacing w:after="0" w:line="20" w:lineRule="exact"/>
              <w:rPr>
                <w:sz w:val="1"/>
                <w:szCs w:val="1"/>
                <w:color w:val="auto"/>
              </w:rPr>
            </w:pPr>
          </w:p>
        </w:tc>
        <w:tc>
          <w:tcPr>
            <w:tcW w:w="2420" w:type="dxa"/>
            <w:vAlign w:val="bottom"/>
            <w:tcBorders>
              <w:bottom w:val="single" w:sz="8" w:color="404040"/>
            </w:tcBorders>
          </w:tcPr>
          <w:p>
            <w:pPr>
              <w:spacing w:after="0" w:line="20" w:lineRule="exact"/>
              <w:rPr>
                <w:sz w:val="1"/>
                <w:szCs w:val="1"/>
                <w:color w:val="auto"/>
              </w:rPr>
            </w:pPr>
          </w:p>
        </w:tc>
        <w:tc>
          <w:tcPr>
            <w:tcW w:w="1980" w:type="dxa"/>
            <w:vAlign w:val="bottom"/>
            <w:tcBorders>
              <w:bottom w:val="single" w:sz="8" w:color="404040"/>
            </w:tcBorders>
          </w:tcPr>
          <w:p>
            <w:pPr>
              <w:spacing w:after="0" w:line="20" w:lineRule="exact"/>
              <w:rPr>
                <w:sz w:val="1"/>
                <w:szCs w:val="1"/>
                <w:color w:val="auto"/>
              </w:rPr>
            </w:pPr>
          </w:p>
        </w:tc>
        <w:tc>
          <w:tcPr>
            <w:tcW w:w="2280" w:type="dxa"/>
            <w:vAlign w:val="bottom"/>
            <w:tcBorders>
              <w:bottom w:val="single" w:sz="8" w:color="404040"/>
            </w:tcBorders>
          </w:tcPr>
          <w:p>
            <w:pPr>
              <w:spacing w:after="0" w:line="20" w:lineRule="exact"/>
              <w:rPr>
                <w:sz w:val="1"/>
                <w:szCs w:val="1"/>
                <w:color w:val="auto"/>
              </w:rPr>
            </w:pPr>
          </w:p>
        </w:tc>
      </w:tr>
      <w:tr>
        <w:trPr>
          <w:trHeight w:val="202"/>
        </w:trPr>
        <w:tc>
          <w:tcPr>
            <w:tcW w:w="1380" w:type="dxa"/>
            <w:vAlign w:val="bottom"/>
          </w:tcPr>
          <w:p>
            <w:pPr>
              <w:ind w:left="60"/>
              <w:spacing w:after="0"/>
              <w:rPr>
                <w:sz w:val="20"/>
                <w:szCs w:val="20"/>
                <w:color w:val="auto"/>
              </w:rPr>
            </w:pPr>
            <w:r>
              <w:rPr>
                <w:rFonts w:ascii="Arial" w:cs="Arial" w:eastAsia="Arial" w:hAnsi="Arial"/>
                <w:sz w:val="14"/>
                <w:szCs w:val="14"/>
                <w:color w:val="auto"/>
              </w:rPr>
              <w:t>2</w:t>
            </w:r>
          </w:p>
        </w:tc>
        <w:tc>
          <w:tcPr>
            <w:tcW w:w="2420" w:type="dxa"/>
            <w:vAlign w:val="bottom"/>
          </w:tcPr>
          <w:p>
            <w:pPr>
              <w:jc w:val="right"/>
              <w:ind w:right="248"/>
              <w:spacing w:after="0"/>
              <w:rPr>
                <w:sz w:val="20"/>
                <w:szCs w:val="20"/>
                <w:color w:val="auto"/>
              </w:rPr>
            </w:pPr>
            <w:r>
              <w:rPr>
                <w:rFonts w:ascii="Arial" w:cs="Arial" w:eastAsia="Arial" w:hAnsi="Arial"/>
                <w:sz w:val="14"/>
                <w:szCs w:val="14"/>
                <w:color w:val="auto"/>
              </w:rPr>
              <w:t>$23.00</w:t>
            </w:r>
          </w:p>
        </w:tc>
        <w:tc>
          <w:tcPr>
            <w:tcW w:w="1980" w:type="dxa"/>
            <w:vAlign w:val="bottom"/>
          </w:tcPr>
          <w:p>
            <w:pPr>
              <w:ind w:left="300"/>
              <w:spacing w:after="0"/>
              <w:rPr>
                <w:sz w:val="20"/>
                <w:szCs w:val="20"/>
                <w:color w:val="auto"/>
              </w:rPr>
            </w:pPr>
            <w:r>
              <w:rPr>
                <w:rFonts w:ascii="Arial" w:cs="Arial" w:eastAsia="Arial" w:hAnsi="Arial"/>
                <w:sz w:val="14"/>
                <w:szCs w:val="14"/>
                <w:color w:val="auto"/>
              </w:rPr>
              <w:t>November 15, 2024</w:t>
            </w:r>
          </w:p>
        </w:tc>
        <w:tc>
          <w:tcPr>
            <w:tcW w:w="2280" w:type="dxa"/>
            <w:vAlign w:val="bottom"/>
          </w:tcPr>
          <w:p>
            <w:pPr>
              <w:jc w:val="right"/>
              <w:ind w:right="48"/>
              <w:spacing w:after="0"/>
              <w:rPr>
                <w:sz w:val="20"/>
                <w:szCs w:val="20"/>
                <w:color w:val="auto"/>
              </w:rPr>
            </w:pPr>
            <w:r>
              <w:rPr>
                <w:rFonts w:ascii="Arial" w:cs="Arial" w:eastAsia="Arial" w:hAnsi="Arial"/>
                <w:sz w:val="14"/>
                <w:szCs w:val="14"/>
                <w:color w:val="auto"/>
              </w:rPr>
              <w:t>25%</w:t>
            </w:r>
          </w:p>
        </w:tc>
      </w:tr>
      <w:tr>
        <w:trPr>
          <w:trHeight w:val="22"/>
        </w:trPr>
        <w:tc>
          <w:tcPr>
            <w:tcW w:w="1380" w:type="dxa"/>
            <w:vAlign w:val="bottom"/>
            <w:tcBorders>
              <w:bottom w:val="single" w:sz="8" w:color="404040"/>
            </w:tcBorders>
          </w:tcPr>
          <w:p>
            <w:pPr>
              <w:spacing w:after="0" w:line="20" w:lineRule="exact"/>
              <w:rPr>
                <w:sz w:val="1"/>
                <w:szCs w:val="1"/>
                <w:color w:val="auto"/>
              </w:rPr>
            </w:pPr>
          </w:p>
        </w:tc>
        <w:tc>
          <w:tcPr>
            <w:tcW w:w="2420" w:type="dxa"/>
            <w:vAlign w:val="bottom"/>
            <w:tcBorders>
              <w:bottom w:val="single" w:sz="8" w:color="404040"/>
            </w:tcBorders>
          </w:tcPr>
          <w:p>
            <w:pPr>
              <w:spacing w:after="0" w:line="20" w:lineRule="exact"/>
              <w:rPr>
                <w:sz w:val="1"/>
                <w:szCs w:val="1"/>
                <w:color w:val="auto"/>
              </w:rPr>
            </w:pPr>
          </w:p>
        </w:tc>
        <w:tc>
          <w:tcPr>
            <w:tcW w:w="1980" w:type="dxa"/>
            <w:vAlign w:val="bottom"/>
            <w:tcBorders>
              <w:bottom w:val="single" w:sz="8" w:color="404040"/>
            </w:tcBorders>
          </w:tcPr>
          <w:p>
            <w:pPr>
              <w:spacing w:after="0" w:line="20" w:lineRule="exact"/>
              <w:rPr>
                <w:sz w:val="1"/>
                <w:szCs w:val="1"/>
                <w:color w:val="auto"/>
              </w:rPr>
            </w:pPr>
          </w:p>
        </w:tc>
        <w:tc>
          <w:tcPr>
            <w:tcW w:w="2280" w:type="dxa"/>
            <w:vAlign w:val="bottom"/>
            <w:tcBorders>
              <w:bottom w:val="single" w:sz="8" w:color="404040"/>
            </w:tcBorders>
          </w:tcPr>
          <w:p>
            <w:pPr>
              <w:spacing w:after="0" w:line="20" w:lineRule="exact"/>
              <w:rPr>
                <w:sz w:val="1"/>
                <w:szCs w:val="1"/>
                <w:color w:val="auto"/>
              </w:rPr>
            </w:pPr>
          </w:p>
        </w:tc>
      </w:tr>
      <w:tr>
        <w:trPr>
          <w:trHeight w:val="201"/>
        </w:trPr>
        <w:tc>
          <w:tcPr>
            <w:tcW w:w="1380" w:type="dxa"/>
            <w:vAlign w:val="bottom"/>
          </w:tcPr>
          <w:p>
            <w:pPr>
              <w:ind w:left="60"/>
              <w:spacing w:after="0"/>
              <w:rPr>
                <w:sz w:val="20"/>
                <w:szCs w:val="20"/>
                <w:color w:val="auto"/>
              </w:rPr>
            </w:pPr>
            <w:r>
              <w:rPr>
                <w:rFonts w:ascii="Arial" w:cs="Arial" w:eastAsia="Arial" w:hAnsi="Arial"/>
                <w:sz w:val="14"/>
                <w:szCs w:val="14"/>
                <w:color w:val="auto"/>
              </w:rPr>
              <w:t>3</w:t>
            </w:r>
          </w:p>
        </w:tc>
        <w:tc>
          <w:tcPr>
            <w:tcW w:w="2420" w:type="dxa"/>
            <w:vAlign w:val="bottom"/>
          </w:tcPr>
          <w:p>
            <w:pPr>
              <w:jc w:val="right"/>
              <w:ind w:right="248"/>
              <w:spacing w:after="0"/>
              <w:rPr>
                <w:sz w:val="20"/>
                <w:szCs w:val="20"/>
                <w:color w:val="auto"/>
              </w:rPr>
            </w:pPr>
            <w:r>
              <w:rPr>
                <w:rFonts w:ascii="Arial" w:cs="Arial" w:eastAsia="Arial" w:hAnsi="Arial"/>
                <w:sz w:val="14"/>
                <w:szCs w:val="14"/>
                <w:color w:val="auto"/>
              </w:rPr>
              <w:t>$34.50</w:t>
            </w:r>
          </w:p>
        </w:tc>
        <w:tc>
          <w:tcPr>
            <w:tcW w:w="1980" w:type="dxa"/>
            <w:vAlign w:val="bottom"/>
          </w:tcPr>
          <w:p>
            <w:pPr>
              <w:ind w:left="300"/>
              <w:spacing w:after="0"/>
              <w:rPr>
                <w:sz w:val="20"/>
                <w:szCs w:val="20"/>
                <w:color w:val="auto"/>
              </w:rPr>
            </w:pPr>
            <w:r>
              <w:rPr>
                <w:rFonts w:ascii="Arial" w:cs="Arial" w:eastAsia="Arial" w:hAnsi="Arial"/>
                <w:sz w:val="14"/>
                <w:szCs w:val="14"/>
                <w:color w:val="auto"/>
              </w:rPr>
              <w:t>November 15, 2025</w:t>
            </w:r>
          </w:p>
        </w:tc>
        <w:tc>
          <w:tcPr>
            <w:tcW w:w="2280" w:type="dxa"/>
            <w:vAlign w:val="bottom"/>
          </w:tcPr>
          <w:p>
            <w:pPr>
              <w:jc w:val="right"/>
              <w:ind w:right="48"/>
              <w:spacing w:after="0"/>
              <w:rPr>
                <w:sz w:val="20"/>
                <w:szCs w:val="20"/>
                <w:color w:val="auto"/>
              </w:rPr>
            </w:pPr>
            <w:r>
              <w:rPr>
                <w:rFonts w:ascii="Arial" w:cs="Arial" w:eastAsia="Arial" w:hAnsi="Arial"/>
                <w:sz w:val="14"/>
                <w:szCs w:val="14"/>
                <w:color w:val="auto"/>
              </w:rPr>
              <w:t>25%</w:t>
            </w:r>
          </w:p>
        </w:tc>
      </w:tr>
      <w:tr>
        <w:trPr>
          <w:trHeight w:val="22"/>
        </w:trPr>
        <w:tc>
          <w:tcPr>
            <w:tcW w:w="1380" w:type="dxa"/>
            <w:vAlign w:val="bottom"/>
            <w:tcBorders>
              <w:bottom w:val="single" w:sz="8" w:color="404040"/>
            </w:tcBorders>
          </w:tcPr>
          <w:p>
            <w:pPr>
              <w:spacing w:after="0" w:line="20" w:lineRule="exact"/>
              <w:rPr>
                <w:sz w:val="1"/>
                <w:szCs w:val="1"/>
                <w:color w:val="auto"/>
              </w:rPr>
            </w:pPr>
          </w:p>
        </w:tc>
        <w:tc>
          <w:tcPr>
            <w:tcW w:w="2420" w:type="dxa"/>
            <w:vAlign w:val="bottom"/>
            <w:tcBorders>
              <w:bottom w:val="single" w:sz="8" w:color="404040"/>
            </w:tcBorders>
          </w:tcPr>
          <w:p>
            <w:pPr>
              <w:spacing w:after="0" w:line="20" w:lineRule="exact"/>
              <w:rPr>
                <w:sz w:val="1"/>
                <w:szCs w:val="1"/>
                <w:color w:val="auto"/>
              </w:rPr>
            </w:pPr>
          </w:p>
        </w:tc>
        <w:tc>
          <w:tcPr>
            <w:tcW w:w="1980" w:type="dxa"/>
            <w:vAlign w:val="bottom"/>
            <w:tcBorders>
              <w:bottom w:val="single" w:sz="8" w:color="404040"/>
            </w:tcBorders>
          </w:tcPr>
          <w:p>
            <w:pPr>
              <w:spacing w:after="0" w:line="20" w:lineRule="exact"/>
              <w:rPr>
                <w:sz w:val="1"/>
                <w:szCs w:val="1"/>
                <w:color w:val="auto"/>
              </w:rPr>
            </w:pPr>
          </w:p>
        </w:tc>
        <w:tc>
          <w:tcPr>
            <w:tcW w:w="2280" w:type="dxa"/>
            <w:vAlign w:val="bottom"/>
            <w:tcBorders>
              <w:bottom w:val="single" w:sz="8" w:color="404040"/>
            </w:tcBorders>
          </w:tcPr>
          <w:p>
            <w:pPr>
              <w:spacing w:after="0" w:line="20" w:lineRule="exact"/>
              <w:rPr>
                <w:sz w:val="1"/>
                <w:szCs w:val="1"/>
                <w:color w:val="auto"/>
              </w:rPr>
            </w:pPr>
          </w:p>
        </w:tc>
      </w:tr>
      <w:tr>
        <w:trPr>
          <w:trHeight w:val="183"/>
        </w:trPr>
        <w:tc>
          <w:tcPr>
            <w:tcW w:w="1380" w:type="dxa"/>
            <w:vAlign w:val="bottom"/>
            <w:tcBorders>
              <w:bottom w:val="single" w:sz="8" w:color="404040"/>
            </w:tcBorders>
          </w:tcPr>
          <w:p>
            <w:pPr>
              <w:ind w:left="60"/>
              <w:spacing w:after="0"/>
              <w:rPr>
                <w:sz w:val="20"/>
                <w:szCs w:val="20"/>
                <w:color w:val="auto"/>
              </w:rPr>
            </w:pPr>
            <w:r>
              <w:rPr>
                <w:rFonts w:ascii="Arial" w:cs="Arial" w:eastAsia="Arial" w:hAnsi="Arial"/>
                <w:sz w:val="14"/>
                <w:szCs w:val="14"/>
                <w:color w:val="auto"/>
              </w:rPr>
              <w:t>4</w:t>
            </w:r>
          </w:p>
        </w:tc>
        <w:tc>
          <w:tcPr>
            <w:tcW w:w="2420" w:type="dxa"/>
            <w:vAlign w:val="bottom"/>
            <w:tcBorders>
              <w:bottom w:val="single" w:sz="8" w:color="404040"/>
            </w:tcBorders>
          </w:tcPr>
          <w:p>
            <w:pPr>
              <w:jc w:val="right"/>
              <w:ind w:right="248"/>
              <w:spacing w:after="0"/>
              <w:rPr>
                <w:sz w:val="20"/>
                <w:szCs w:val="20"/>
                <w:color w:val="auto"/>
              </w:rPr>
            </w:pPr>
            <w:r>
              <w:rPr>
                <w:rFonts w:ascii="Arial" w:cs="Arial" w:eastAsia="Arial" w:hAnsi="Arial"/>
                <w:sz w:val="14"/>
                <w:szCs w:val="14"/>
                <w:color w:val="auto"/>
              </w:rPr>
              <w:t>$46.00</w:t>
            </w:r>
          </w:p>
        </w:tc>
        <w:tc>
          <w:tcPr>
            <w:tcW w:w="1980" w:type="dxa"/>
            <w:vAlign w:val="bottom"/>
            <w:tcBorders>
              <w:bottom w:val="single" w:sz="8" w:color="404040"/>
            </w:tcBorders>
          </w:tcPr>
          <w:p>
            <w:pPr>
              <w:ind w:left="300"/>
              <w:spacing w:after="0"/>
              <w:rPr>
                <w:sz w:val="20"/>
                <w:szCs w:val="20"/>
                <w:color w:val="auto"/>
              </w:rPr>
            </w:pPr>
            <w:r>
              <w:rPr>
                <w:rFonts w:ascii="Arial" w:cs="Arial" w:eastAsia="Arial" w:hAnsi="Arial"/>
                <w:sz w:val="14"/>
                <w:szCs w:val="14"/>
                <w:color w:val="auto"/>
              </w:rPr>
              <w:t>November 15, 2026</w:t>
            </w:r>
          </w:p>
        </w:tc>
        <w:tc>
          <w:tcPr>
            <w:tcW w:w="228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25%</w:t>
            </w:r>
          </w:p>
        </w:tc>
      </w:tr>
    </w:tbl>
    <w:p>
      <w:pPr>
        <w:spacing w:after="0" w:line="252" w:lineRule="exact"/>
        <w:rPr>
          <w:sz w:val="20"/>
          <w:szCs w:val="20"/>
          <w:color w:val="auto"/>
        </w:rPr>
      </w:pPr>
    </w:p>
    <w:p>
      <w:pPr>
        <w:ind w:left="1360" w:right="319" w:hanging="348"/>
        <w:spacing w:after="0" w:line="243" w:lineRule="auto"/>
        <w:tabs>
          <w:tab w:leader="none" w:pos="1360" w:val="left"/>
        </w:tabs>
        <w:numPr>
          <w:ilvl w:val="0"/>
          <w:numId w:val="46"/>
        </w:numPr>
        <w:rPr>
          <w:rFonts w:ascii="Arial" w:cs="Arial" w:eastAsia="Arial" w:hAnsi="Arial"/>
          <w:sz w:val="13"/>
          <w:szCs w:val="13"/>
          <w:color w:val="auto"/>
        </w:rPr>
      </w:pPr>
      <w:r>
        <w:rPr>
          <w:rFonts w:ascii="Arial" w:cs="Arial" w:eastAsia="Arial" w:hAnsi="Arial"/>
          <w:sz w:val="13"/>
          <w:szCs w:val="13"/>
          <w:color w:val="auto"/>
        </w:rPr>
        <w:t>For purposes of this PSU Award, a Stock Price Hurdle will be achieved when the average closing price of the Company’s common stock during a period of 60 consecutive trading days equals or exceeds the applicable Stock Price Hurdle.</w:t>
      </w:r>
    </w:p>
    <w:p>
      <w:pPr>
        <w:ind w:left="1360" w:hanging="348"/>
        <w:spacing w:after="0" w:line="219" w:lineRule="auto"/>
        <w:tabs>
          <w:tab w:leader="none" w:pos="1360" w:val="left"/>
        </w:tabs>
        <w:numPr>
          <w:ilvl w:val="1"/>
          <w:numId w:val="47"/>
        </w:numPr>
        <w:rPr>
          <w:rFonts w:ascii="Arial" w:cs="Arial" w:eastAsia="Arial" w:hAnsi="Arial"/>
          <w:sz w:val="25"/>
          <w:szCs w:val="25"/>
          <w:color w:val="auto"/>
          <w:vertAlign w:val="superscript"/>
        </w:rPr>
      </w:pPr>
      <w:r>
        <w:rPr>
          <w:rFonts w:ascii="Arial" w:cs="Arial" w:eastAsia="Arial" w:hAnsi="Arial"/>
          <w:sz w:val="13"/>
          <w:szCs w:val="13"/>
          <w:color w:val="auto"/>
        </w:rPr>
        <w:t>A “quarterly vesting date” means each of November 15</w:t>
      </w:r>
      <w:r>
        <w:rPr>
          <w:rFonts w:ascii="Arial" w:cs="Arial" w:eastAsia="Arial" w:hAnsi="Arial"/>
          <w:sz w:val="20"/>
          <w:szCs w:val="20"/>
          <w:color w:val="auto"/>
          <w:vertAlign w:val="superscript"/>
        </w:rPr>
        <w:t>th</w:t>
      </w:r>
      <w:r>
        <w:rPr>
          <w:rFonts w:ascii="Arial" w:cs="Arial" w:eastAsia="Arial" w:hAnsi="Arial"/>
          <w:sz w:val="13"/>
          <w:szCs w:val="13"/>
          <w:color w:val="auto"/>
        </w:rPr>
        <w:t>, February 15</w:t>
      </w:r>
      <w:r>
        <w:rPr>
          <w:rFonts w:ascii="Arial" w:cs="Arial" w:eastAsia="Arial" w:hAnsi="Arial"/>
          <w:sz w:val="20"/>
          <w:szCs w:val="20"/>
          <w:color w:val="auto"/>
          <w:vertAlign w:val="superscript"/>
        </w:rPr>
        <w:t>th</w:t>
      </w:r>
      <w:r>
        <w:rPr>
          <w:rFonts w:ascii="Arial" w:cs="Arial" w:eastAsia="Arial" w:hAnsi="Arial"/>
          <w:sz w:val="13"/>
          <w:szCs w:val="13"/>
          <w:color w:val="auto"/>
        </w:rPr>
        <w:t>, May 15</w:t>
      </w:r>
      <w:r>
        <w:rPr>
          <w:rFonts w:ascii="Arial" w:cs="Arial" w:eastAsia="Arial" w:hAnsi="Arial"/>
          <w:sz w:val="20"/>
          <w:szCs w:val="20"/>
          <w:color w:val="auto"/>
          <w:vertAlign w:val="superscript"/>
        </w:rPr>
        <w:t>th</w:t>
      </w:r>
      <w:r>
        <w:rPr>
          <w:rFonts w:ascii="Arial" w:cs="Arial" w:eastAsia="Arial" w:hAnsi="Arial"/>
          <w:sz w:val="13"/>
          <w:szCs w:val="13"/>
          <w:color w:val="auto"/>
        </w:rPr>
        <w:t>, and August 15</w:t>
      </w:r>
      <w:r>
        <w:rPr>
          <w:rFonts w:ascii="Arial" w:cs="Arial" w:eastAsia="Arial" w:hAnsi="Arial"/>
          <w:sz w:val="20"/>
          <w:szCs w:val="20"/>
          <w:color w:val="auto"/>
          <w:vertAlign w:val="superscript"/>
        </w:rPr>
        <w:t>th</w:t>
      </w:r>
      <w:r>
        <w:rPr>
          <w:rFonts w:ascii="Arial" w:cs="Arial" w:eastAsia="Arial" w:hAnsi="Arial"/>
          <w:sz w:val="13"/>
          <w:szCs w:val="13"/>
          <w:color w:val="auto"/>
        </w:rPr>
        <w:t>.</w:t>
      </w:r>
    </w:p>
    <w:p>
      <w:pPr>
        <w:ind w:left="1360" w:right="319" w:hanging="348"/>
        <w:spacing w:after="0" w:line="182" w:lineRule="auto"/>
        <w:tabs>
          <w:tab w:leader="none" w:pos="1360" w:val="left"/>
        </w:tabs>
        <w:numPr>
          <w:ilvl w:val="1"/>
          <w:numId w:val="48"/>
        </w:numPr>
        <w:rPr>
          <w:rFonts w:ascii="Arial" w:cs="Arial" w:eastAsia="Arial" w:hAnsi="Arial"/>
          <w:sz w:val="22"/>
          <w:szCs w:val="22"/>
          <w:color w:val="auto"/>
          <w:vertAlign w:val="superscript"/>
        </w:rPr>
      </w:pPr>
      <w:r>
        <w:rPr>
          <w:rFonts w:ascii="Arial" w:cs="Arial" w:eastAsia="Arial" w:hAnsi="Arial"/>
          <w:sz w:val="11"/>
          <w:szCs w:val="11"/>
          <w:color w:val="auto"/>
        </w:rPr>
        <w:t>Tranche 1 of this PSU award achieved its stock price hurdle of $17.25 on August 17, 2023, and therefore, 1/4</w:t>
      </w:r>
      <w:r>
        <w:rPr>
          <w:rFonts w:ascii="Arial" w:cs="Arial" w:eastAsia="Arial" w:hAnsi="Arial"/>
          <w:sz w:val="18"/>
          <w:szCs w:val="18"/>
          <w:color w:val="auto"/>
          <w:vertAlign w:val="superscript"/>
        </w:rPr>
        <w:t>th</w:t>
      </w:r>
      <w:r>
        <w:rPr>
          <w:rFonts w:ascii="Arial" w:cs="Arial" w:eastAsia="Arial" w:hAnsi="Arial"/>
          <w:sz w:val="11"/>
          <w:szCs w:val="11"/>
          <w:color w:val="auto"/>
        </w:rPr>
        <w:t xml:space="preserve"> of the total shares subject to this PSU award (or 100% of Tranche 1) vested on November 15, 2023.</w:t>
      </w:r>
    </w:p>
    <w:p>
      <w:pPr>
        <w:spacing w:after="0" w:line="10" w:lineRule="exact"/>
        <w:rPr>
          <w:rFonts w:ascii="Arial" w:cs="Arial" w:eastAsia="Arial" w:hAnsi="Arial"/>
          <w:sz w:val="22"/>
          <w:szCs w:val="22"/>
          <w:color w:val="auto"/>
          <w:vertAlign w:val="superscript"/>
        </w:rPr>
      </w:pPr>
    </w:p>
    <w:p>
      <w:pPr>
        <w:ind w:left="1000" w:right="319" w:hanging="348"/>
        <w:spacing w:after="0" w:line="243"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The amounts reported in these rows reflect adjustments made to Mr. Kisling’s unvested equity awards pursuant to the terms of the Kisling Separation Agreement.</w:t>
      </w:r>
    </w:p>
    <w:p>
      <w:pPr>
        <w:spacing w:after="0" w:line="7" w:lineRule="exact"/>
        <w:rPr>
          <w:rFonts w:ascii="Arial" w:cs="Arial" w:eastAsia="Arial" w:hAnsi="Arial"/>
          <w:sz w:val="13"/>
          <w:szCs w:val="13"/>
          <w:color w:val="auto"/>
        </w:rPr>
      </w:pPr>
    </w:p>
    <w:p>
      <w:pPr>
        <w:ind w:left="1000" w:right="299" w:hanging="348"/>
        <w:spacing w:after="0" w:line="243" w:lineRule="auto"/>
        <w:tabs>
          <w:tab w:leader="none" w:pos="10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100% of the total shares subject to this Financial PSU award vested subject to the achievement of pre-established performance goals during fiscal year 2025 on February 28, 2026 as set forth in the Kisling Separation Agreement.</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2025 Options Exercised and Stock Vested Table</w:t>
      </w:r>
    </w:p>
    <w:p>
      <w:pPr>
        <w:spacing w:after="0" w:line="153" w:lineRule="exact"/>
        <w:rPr>
          <w:sz w:val="20"/>
          <w:szCs w:val="20"/>
          <w:color w:val="auto"/>
        </w:rPr>
      </w:pPr>
    </w:p>
    <w:p>
      <w:pPr>
        <w:ind w:left="660" w:right="299"/>
        <w:spacing w:after="0" w:line="286" w:lineRule="auto"/>
        <w:rPr>
          <w:sz w:val="20"/>
          <w:szCs w:val="20"/>
          <w:color w:val="auto"/>
        </w:rPr>
      </w:pPr>
      <w:r>
        <w:rPr>
          <w:rFonts w:ascii="Arial" w:cs="Arial" w:eastAsia="Arial" w:hAnsi="Arial"/>
          <w:sz w:val="16"/>
          <w:szCs w:val="16"/>
          <w:color w:val="auto"/>
        </w:rPr>
        <w:t>The following table provides information on shares acquired on the vesting of stock awards by our Named Executive Officers during fiscal year 2025. No stock options were exercised by our Named Executive Officers during 2025.</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3140" w:type="dxa"/>
            <w:vAlign w:val="bottom"/>
            <w:tcBorders>
              <w:bottom w:val="single" w:sz="8" w:color="404040"/>
            </w:tcBorders>
          </w:tcPr>
          <w:p>
            <w:pPr>
              <w:spacing w:after="0"/>
              <w:rPr>
                <w:sz w:val="17"/>
                <w:szCs w:val="17"/>
                <w:color w:val="auto"/>
              </w:rPr>
            </w:pPr>
          </w:p>
        </w:tc>
        <w:tc>
          <w:tcPr>
            <w:tcW w:w="3540" w:type="dxa"/>
            <w:vAlign w:val="bottom"/>
            <w:tcBorders>
              <w:bottom w:val="single" w:sz="8" w:color="404040"/>
            </w:tcBorders>
          </w:tcPr>
          <w:p>
            <w:pPr>
              <w:spacing w:after="0"/>
              <w:rPr>
                <w:sz w:val="17"/>
                <w:szCs w:val="17"/>
                <w:color w:val="auto"/>
              </w:rPr>
            </w:pPr>
          </w:p>
        </w:tc>
        <w:tc>
          <w:tcPr>
            <w:tcW w:w="17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Stock Awards</w:t>
            </w:r>
          </w:p>
        </w:tc>
      </w:tr>
      <w:tr>
        <w:trPr>
          <w:trHeight w:val="180"/>
        </w:trPr>
        <w:tc>
          <w:tcPr>
            <w:tcW w:w="3140" w:type="dxa"/>
            <w:vAlign w:val="bottom"/>
          </w:tcPr>
          <w:p>
            <w:pPr>
              <w:spacing w:after="0"/>
              <w:rPr>
                <w:sz w:val="15"/>
                <w:szCs w:val="15"/>
                <w:color w:val="auto"/>
              </w:rPr>
            </w:pPr>
          </w:p>
        </w:tc>
        <w:tc>
          <w:tcPr>
            <w:tcW w:w="3540" w:type="dxa"/>
            <w:vAlign w:val="bottom"/>
          </w:tcPr>
          <w:p>
            <w:pPr>
              <w:jc w:val="right"/>
              <w:ind w:right="348"/>
              <w:spacing w:after="0"/>
              <w:rPr>
                <w:sz w:val="20"/>
                <w:szCs w:val="20"/>
                <w:color w:val="auto"/>
              </w:rPr>
            </w:pPr>
            <w:r>
              <w:rPr>
                <w:rFonts w:ascii="Arial" w:cs="Arial" w:eastAsia="Arial" w:hAnsi="Arial"/>
                <w:sz w:val="14"/>
                <w:szCs w:val="14"/>
                <w:b w:val="1"/>
                <w:bCs w:val="1"/>
                <w:color w:val="auto"/>
              </w:rPr>
              <w:t>Number of Shares</w:t>
            </w:r>
          </w:p>
        </w:tc>
        <w:tc>
          <w:tcPr>
            <w:tcW w:w="1740" w:type="dxa"/>
            <w:vAlign w:val="bottom"/>
          </w:tcPr>
          <w:p>
            <w:pPr>
              <w:spacing w:after="0"/>
              <w:rPr>
                <w:sz w:val="15"/>
                <w:szCs w:val="15"/>
                <w:color w:val="auto"/>
              </w:rPr>
            </w:pPr>
          </w:p>
        </w:tc>
      </w:tr>
      <w:tr>
        <w:trPr>
          <w:trHeight w:val="162"/>
        </w:trPr>
        <w:tc>
          <w:tcPr>
            <w:tcW w:w="3140" w:type="dxa"/>
            <w:vAlign w:val="bottom"/>
          </w:tcPr>
          <w:p>
            <w:pPr>
              <w:spacing w:after="0"/>
              <w:rPr>
                <w:sz w:val="14"/>
                <w:szCs w:val="14"/>
                <w:color w:val="auto"/>
              </w:rPr>
            </w:pPr>
          </w:p>
        </w:tc>
        <w:tc>
          <w:tcPr>
            <w:tcW w:w="3540" w:type="dxa"/>
            <w:vAlign w:val="bottom"/>
          </w:tcPr>
          <w:p>
            <w:pPr>
              <w:jc w:val="right"/>
              <w:ind w:right="348"/>
              <w:spacing w:after="0"/>
              <w:rPr>
                <w:sz w:val="20"/>
                <w:szCs w:val="20"/>
                <w:color w:val="auto"/>
              </w:rPr>
            </w:pPr>
            <w:r>
              <w:rPr>
                <w:rFonts w:ascii="Arial" w:cs="Arial" w:eastAsia="Arial" w:hAnsi="Arial"/>
                <w:sz w:val="14"/>
                <w:szCs w:val="14"/>
                <w:b w:val="1"/>
                <w:bCs w:val="1"/>
                <w:color w:val="auto"/>
              </w:rPr>
              <w:t>Acquired on</w:t>
            </w:r>
          </w:p>
        </w:tc>
        <w:tc>
          <w:tcPr>
            <w:tcW w:w="1740" w:type="dxa"/>
            <w:vAlign w:val="bottom"/>
          </w:tcPr>
          <w:p>
            <w:pPr>
              <w:jc w:val="right"/>
              <w:ind w:right="88"/>
              <w:spacing w:after="0"/>
              <w:rPr>
                <w:sz w:val="20"/>
                <w:szCs w:val="20"/>
                <w:color w:val="auto"/>
              </w:rPr>
            </w:pPr>
            <w:r>
              <w:rPr>
                <w:rFonts w:ascii="Arial" w:cs="Arial" w:eastAsia="Arial" w:hAnsi="Arial"/>
                <w:sz w:val="14"/>
                <w:szCs w:val="14"/>
                <w:b w:val="1"/>
                <w:bCs w:val="1"/>
                <w:color w:val="auto"/>
              </w:rPr>
              <w:t>Value Realized on</w:t>
            </w:r>
          </w:p>
        </w:tc>
      </w:tr>
      <w:tr>
        <w:trPr>
          <w:trHeight w:val="205"/>
        </w:trPr>
        <w:tc>
          <w:tcPr>
            <w:tcW w:w="314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Name</w:t>
            </w:r>
          </w:p>
        </w:tc>
        <w:tc>
          <w:tcPr>
            <w:tcW w:w="3540" w:type="dxa"/>
            <w:vAlign w:val="bottom"/>
            <w:tcBorders>
              <w:bottom w:val="single" w:sz="8" w:color="404040"/>
            </w:tcBorders>
          </w:tcPr>
          <w:p>
            <w:pPr>
              <w:jc w:val="right"/>
              <w:ind w:right="308"/>
              <w:spacing w:after="0"/>
              <w:rPr>
                <w:sz w:val="20"/>
                <w:szCs w:val="20"/>
                <w:color w:val="auto"/>
              </w:rPr>
            </w:pPr>
            <w:r>
              <w:rPr>
                <w:rFonts w:ascii="Arial" w:cs="Arial" w:eastAsia="Arial" w:hAnsi="Arial"/>
                <w:sz w:val="14"/>
                <w:szCs w:val="14"/>
                <w:b w:val="1"/>
                <w:bCs w:val="1"/>
                <w:color w:val="auto"/>
              </w:rPr>
              <w:t>Vesting (#)</w:t>
            </w:r>
          </w:p>
        </w:tc>
        <w:tc>
          <w:tcPr>
            <w:tcW w:w="17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Vesting ($)</w:t>
            </w:r>
          </w:p>
        </w:tc>
      </w:tr>
      <w:tr>
        <w:trPr>
          <w:trHeight w:val="223"/>
        </w:trPr>
        <w:tc>
          <w:tcPr>
            <w:tcW w:w="314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Charles Compton</w:t>
            </w:r>
          </w:p>
        </w:tc>
        <w:tc>
          <w:tcPr>
            <w:tcW w:w="3540" w:type="dxa"/>
            <w:vAlign w:val="bottom"/>
            <w:tcBorders>
              <w:bottom w:val="single" w:sz="8" w:color="404040"/>
            </w:tcBorders>
          </w:tcPr>
          <w:p>
            <w:pPr>
              <w:jc w:val="right"/>
              <w:ind w:right="328"/>
              <w:spacing w:after="0"/>
              <w:rPr>
                <w:sz w:val="20"/>
                <w:szCs w:val="20"/>
                <w:color w:val="auto"/>
              </w:rPr>
            </w:pPr>
            <w:r>
              <w:rPr>
                <w:rFonts w:ascii="Arial" w:cs="Arial" w:eastAsia="Arial" w:hAnsi="Arial"/>
                <w:sz w:val="14"/>
                <w:szCs w:val="14"/>
                <w:color w:val="auto"/>
              </w:rPr>
              <w:t>246,805</w:t>
            </w:r>
          </w:p>
        </w:tc>
        <w:tc>
          <w:tcPr>
            <w:tcW w:w="17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2,074,675</w:t>
            </w:r>
          </w:p>
        </w:tc>
      </w:tr>
      <w:tr>
        <w:trPr>
          <w:trHeight w:val="223"/>
        </w:trPr>
        <w:tc>
          <w:tcPr>
            <w:tcW w:w="314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Artur Bergman</w:t>
            </w:r>
          </w:p>
        </w:tc>
        <w:tc>
          <w:tcPr>
            <w:tcW w:w="3540" w:type="dxa"/>
            <w:vAlign w:val="bottom"/>
            <w:tcBorders>
              <w:bottom w:val="single" w:sz="8" w:color="404040"/>
            </w:tcBorders>
          </w:tcPr>
          <w:p>
            <w:pPr>
              <w:jc w:val="right"/>
              <w:ind w:right="328"/>
              <w:spacing w:after="0"/>
              <w:rPr>
                <w:sz w:val="20"/>
                <w:szCs w:val="20"/>
                <w:color w:val="auto"/>
              </w:rPr>
            </w:pPr>
            <w:r>
              <w:rPr>
                <w:rFonts w:ascii="Arial" w:cs="Arial" w:eastAsia="Arial" w:hAnsi="Arial"/>
                <w:sz w:val="14"/>
                <w:szCs w:val="14"/>
                <w:color w:val="auto"/>
              </w:rPr>
              <w:t>247,454</w:t>
            </w:r>
          </w:p>
        </w:tc>
        <w:tc>
          <w:tcPr>
            <w:tcW w:w="17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2,066,333</w:t>
            </w:r>
          </w:p>
        </w:tc>
      </w:tr>
      <w:tr>
        <w:trPr>
          <w:trHeight w:val="223"/>
        </w:trPr>
        <w:tc>
          <w:tcPr>
            <w:tcW w:w="314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Richard Wong</w:t>
            </w:r>
          </w:p>
        </w:tc>
        <w:tc>
          <w:tcPr>
            <w:tcW w:w="3540" w:type="dxa"/>
            <w:vAlign w:val="bottom"/>
            <w:tcBorders>
              <w:bottom w:val="single" w:sz="8" w:color="404040"/>
            </w:tcBorders>
          </w:tcPr>
          <w:p>
            <w:pPr>
              <w:jc w:val="right"/>
              <w:ind w:right="32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404040"/>
            </w:tcBorders>
          </w:tcPr>
          <w:p>
            <w:pPr>
              <w:jc w:val="right"/>
              <w:ind w:right="88"/>
              <w:spacing w:after="0"/>
              <w:rPr>
                <w:sz w:val="20"/>
                <w:szCs w:val="20"/>
                <w:color w:val="auto"/>
              </w:rPr>
            </w:pPr>
            <w:r>
              <w:rPr>
                <w:rFonts w:ascii="Arial" w:cs="Arial" w:eastAsia="Arial" w:hAnsi="Arial"/>
                <w:sz w:val="14"/>
                <w:szCs w:val="14"/>
                <w:color w:val="auto"/>
              </w:rPr>
              <w:t>—</w:t>
            </w:r>
          </w:p>
        </w:tc>
      </w:tr>
      <w:tr>
        <w:trPr>
          <w:trHeight w:val="223"/>
        </w:trPr>
        <w:tc>
          <w:tcPr>
            <w:tcW w:w="314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Scott Lovett</w:t>
            </w:r>
          </w:p>
        </w:tc>
        <w:tc>
          <w:tcPr>
            <w:tcW w:w="3540" w:type="dxa"/>
            <w:vAlign w:val="bottom"/>
            <w:tcBorders>
              <w:bottom w:val="single" w:sz="8" w:color="404040"/>
            </w:tcBorders>
          </w:tcPr>
          <w:p>
            <w:pPr>
              <w:jc w:val="right"/>
              <w:ind w:right="328"/>
              <w:spacing w:after="0"/>
              <w:rPr>
                <w:sz w:val="20"/>
                <w:szCs w:val="20"/>
                <w:color w:val="auto"/>
              </w:rPr>
            </w:pPr>
            <w:r>
              <w:rPr>
                <w:rFonts w:ascii="Arial" w:cs="Arial" w:eastAsia="Arial" w:hAnsi="Arial"/>
                <w:sz w:val="14"/>
                <w:szCs w:val="14"/>
                <w:color w:val="auto"/>
              </w:rPr>
              <w:t>519,254</w:t>
            </w:r>
          </w:p>
        </w:tc>
        <w:tc>
          <w:tcPr>
            <w:tcW w:w="17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4,188,123</w:t>
            </w:r>
          </w:p>
        </w:tc>
      </w:tr>
      <w:tr>
        <w:trPr>
          <w:trHeight w:val="223"/>
        </w:trPr>
        <w:tc>
          <w:tcPr>
            <w:tcW w:w="314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Todd Nightingale</w:t>
            </w:r>
          </w:p>
        </w:tc>
        <w:tc>
          <w:tcPr>
            <w:tcW w:w="3540" w:type="dxa"/>
            <w:vAlign w:val="bottom"/>
            <w:tcBorders>
              <w:bottom w:val="single" w:sz="8" w:color="404040"/>
            </w:tcBorders>
          </w:tcPr>
          <w:p>
            <w:pPr>
              <w:jc w:val="right"/>
              <w:ind w:right="328"/>
              <w:spacing w:after="0"/>
              <w:rPr>
                <w:sz w:val="20"/>
                <w:szCs w:val="20"/>
                <w:color w:val="auto"/>
              </w:rPr>
            </w:pPr>
            <w:r>
              <w:rPr>
                <w:rFonts w:ascii="Arial" w:cs="Arial" w:eastAsia="Arial" w:hAnsi="Arial"/>
                <w:sz w:val="14"/>
                <w:szCs w:val="14"/>
                <w:color w:val="auto"/>
              </w:rPr>
              <w:t>321,239</w:t>
            </w:r>
          </w:p>
        </w:tc>
        <w:tc>
          <w:tcPr>
            <w:tcW w:w="17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2,501,816</w:t>
            </w:r>
          </w:p>
        </w:tc>
      </w:tr>
      <w:tr>
        <w:trPr>
          <w:trHeight w:val="189"/>
        </w:trPr>
        <w:tc>
          <w:tcPr>
            <w:tcW w:w="314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Ronald Kisling</w:t>
            </w:r>
          </w:p>
        </w:tc>
        <w:tc>
          <w:tcPr>
            <w:tcW w:w="3540" w:type="dxa"/>
            <w:vAlign w:val="bottom"/>
            <w:tcBorders>
              <w:bottom w:val="single" w:sz="8" w:color="404040"/>
            </w:tcBorders>
          </w:tcPr>
          <w:p>
            <w:pPr>
              <w:jc w:val="right"/>
              <w:ind w:right="328"/>
              <w:spacing w:after="0"/>
              <w:rPr>
                <w:sz w:val="20"/>
                <w:szCs w:val="20"/>
                <w:color w:val="auto"/>
              </w:rPr>
            </w:pPr>
            <w:r>
              <w:rPr>
                <w:rFonts w:ascii="Arial" w:cs="Arial" w:eastAsia="Arial" w:hAnsi="Arial"/>
                <w:sz w:val="14"/>
                <w:szCs w:val="14"/>
                <w:color w:val="auto"/>
              </w:rPr>
              <w:t>351,123</w:t>
            </w:r>
          </w:p>
        </w:tc>
        <w:tc>
          <w:tcPr>
            <w:tcW w:w="17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2,794,938</w:t>
            </w:r>
          </w:p>
        </w:tc>
      </w:tr>
    </w:tbl>
    <w:p>
      <w:pPr>
        <w:spacing w:after="0" w:line="200" w:lineRule="exact"/>
        <w:rPr>
          <w:sz w:val="20"/>
          <w:szCs w:val="20"/>
          <w:color w:val="auto"/>
        </w:rPr>
      </w:pPr>
    </w:p>
    <w:p>
      <w:pPr>
        <w:sectPr>
          <w:pgSz w:w="11900" w:h="16838" w:orient="portrait"/>
          <w:cols w:equalWidth="0" w:num="1">
            <w:col w:w="9379"/>
          </w:cols>
          <w:pgMar w:left="1080" w:top="114" w:right="1440" w:bottom="1440" w:gutter="0" w:footer="0" w:header="0"/>
        </w:sectPr>
      </w:pPr>
    </w:p>
    <w:p>
      <w:pPr>
        <w:spacing w:after="0" w:line="4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Employment Arrangements</w:t>
      </w:r>
    </w:p>
    <w:p>
      <w:pPr>
        <w:spacing w:after="0" w:line="112"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We have employment agreements with each of our Named Executive Officers. The agreements generally provide for at-will employment or service and set forth the executive officer’s initial base salary, initial equity grant amount, eligibility for employee benefits, and in some cases severance payments and benefits upon a qualifying termination of employment. In addition, we have adopted the Executive Plan and the 2022 Plan applicable to our Named Executive Officers and other key employees, excluding Mr. Bergman.</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Charles Compton</w:t>
      </w:r>
    </w:p>
    <w:p>
      <w:pPr>
        <w:spacing w:after="0" w:line="149" w:lineRule="exact"/>
        <w:rPr>
          <w:sz w:val="20"/>
          <w:szCs w:val="20"/>
          <w:color w:val="auto"/>
        </w:rPr>
      </w:pPr>
    </w:p>
    <w:p>
      <w:pPr>
        <w:jc w:val="both"/>
        <w:ind w:right="299"/>
        <w:spacing w:after="0" w:line="252" w:lineRule="auto"/>
        <w:rPr>
          <w:sz w:val="20"/>
          <w:szCs w:val="20"/>
          <w:color w:val="auto"/>
        </w:rPr>
      </w:pPr>
      <w:r>
        <w:rPr>
          <w:rFonts w:ascii="Arial" w:cs="Arial" w:eastAsia="Arial" w:hAnsi="Arial"/>
          <w:sz w:val="16"/>
          <w:szCs w:val="16"/>
          <w:color w:val="auto"/>
        </w:rPr>
        <w:t>In June 2025, we entered into a letter agreement (the “Compton Employment Agreement”) with Mr. Compton, our CEO, setting forth certain terms of his employment with the Company, including his initial base salary of $500,000, a bonus opportunity of $500,000 under the 2025 Bonus Program (as pro-rated for his start date as CEO), eligibility for reimbursement of reasonable legal fees of up to</w:t>
      </w:r>
    </w:p>
    <w:p>
      <w:pPr>
        <w:spacing w:after="0" w:line="192" w:lineRule="exact"/>
        <w:rPr>
          <w:sz w:val="20"/>
          <w:szCs w:val="20"/>
          <w:color w:val="auto"/>
        </w:rPr>
      </w:pPr>
    </w:p>
    <w:p>
      <w:pPr>
        <w:sectPr>
          <w:pgSz w:w="11900" w:h="16838" w:orient="portrait"/>
          <w:cols w:equalWidth="0" w:num="2">
            <w:col w:w="4660" w:space="400"/>
            <w:col w:w="4319"/>
          </w:cols>
          <w:pgMar w:left="1080" w:top="114" w:right="1440" w:bottom="1440" w:gutter="0" w:footer="0" w:header="0"/>
          <w:type w:val="continuous"/>
        </w:sectPr>
      </w:pPr>
    </w:p>
    <w:p>
      <w:pPr>
        <w:spacing w:after="0"/>
        <w:rPr>
          <w:sz w:val="20"/>
          <w:szCs w:val="20"/>
          <w:color w:val="auto"/>
        </w:rPr>
      </w:pPr>
      <w:r>
        <w:rPr>
          <w:rFonts w:ascii="Arial" w:cs="Arial" w:eastAsia="Arial" w:hAnsi="Arial"/>
          <w:sz w:val="12"/>
          <w:szCs w:val="12"/>
          <w:color w:val="auto"/>
        </w:rPr>
        <w:t>52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129540</wp:posOffset>
            </wp:positionV>
            <wp:extent cx="699516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jc w:val="both"/>
        <w:ind w:left="660"/>
        <w:spacing w:after="0" w:line="247" w:lineRule="auto"/>
        <w:rPr>
          <w:sz w:val="20"/>
          <w:szCs w:val="20"/>
          <w:color w:val="auto"/>
        </w:rPr>
      </w:pPr>
      <w:r>
        <w:rPr>
          <w:rFonts w:ascii="Arial" w:cs="Arial" w:eastAsia="Arial" w:hAnsi="Arial"/>
          <w:sz w:val="16"/>
          <w:szCs w:val="16"/>
          <w:color w:val="auto"/>
        </w:rPr>
        <w:t>$20,000 in connection with his appointment as CEO, and his initial equity grants with a total value of $5,000,000, which was converted into a number of shares based on $9.00. Under the Executive Plan, as modified by the Compton Employment Agreement, if Mr. Compton is terminated other than for cause, or he resigns for good reason, at any time during the period from three months before until 18 months following a change in control of the Company (the “change in control period”), he will be eligible to receive the following severance benefits (less applicable tax withholding): (i) a lump sum cash amount equal to 24 months of his then-current annual base salary, (ii) a lump sum cash amount equal to his target annual bonus opportunity, (iii) continuation of health plan benefits for him and his eligible dependents at no cost under COBRA for up to 24 months, (iv) 100% of his then outstanding and unvested equity awards that are subject to time-based vesting will fully vest and, as applicable, be exercisable, and (v) his then outstanding and unvested equity awards that are subject to performance-based vesting will be treated as set forth in the applicable award agreement. Further, under Executive Plan, as modified by the Compton Employment Agreement, if Mr. Compton is terminated other than for cause, or he resigns for good reason, at any time other than the change in control period, he will be eligible to receive the following severance benefits (less applicable tax withholding): (i) a lump sum cash amount equal to 18 months of his then-current annual base salary, (ii) a lump sum cash amount equal to .75 times his target annual bonus opportunity, (iii) continuation of health plan benefits for him and his eligible dependents at no cost under COBRA for up to 18 months, (iv) 12 months of his then outstanding and unvested equity awards that are subject to time-based vesting will vest and, as applicable, be exercisable, and</w:t>
      </w:r>
    </w:p>
    <w:p>
      <w:pPr>
        <w:spacing w:after="0" w:line="3" w:lineRule="exact"/>
        <w:rPr>
          <w:sz w:val="20"/>
          <w:szCs w:val="20"/>
          <w:color w:val="auto"/>
        </w:rPr>
      </w:pPr>
    </w:p>
    <w:p>
      <w:pPr>
        <w:jc w:val="both"/>
        <w:ind w:left="660" w:hanging="8"/>
        <w:spacing w:after="0" w:line="248" w:lineRule="auto"/>
        <w:tabs>
          <w:tab w:leader="none" w:pos="897" w:val="left"/>
        </w:tabs>
        <w:numPr>
          <w:ilvl w:val="0"/>
          <w:numId w:val="49"/>
        </w:numPr>
        <w:rPr>
          <w:rFonts w:ascii="Arial" w:cs="Arial" w:eastAsia="Arial" w:hAnsi="Arial"/>
          <w:sz w:val="16"/>
          <w:szCs w:val="16"/>
          <w:color w:val="auto"/>
        </w:rPr>
      </w:pPr>
      <w:r>
        <w:rPr>
          <w:rFonts w:ascii="Arial" w:cs="Arial" w:eastAsia="Arial" w:hAnsi="Arial"/>
          <w:sz w:val="16"/>
          <w:szCs w:val="16"/>
          <w:color w:val="auto"/>
        </w:rPr>
        <w:t>his outstanding and unvested equity awards that are subject to performance-based vesting will vest and, as applicable, be exercisable, as to the number of shares subject to such performance award that would have vested if he had completed an additional 12 months of employment following the date of termination, on a prorated basis and based on actual level of achievement as of the date on which the termination occurred.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Artur Bergman</w:t>
      </w:r>
    </w:p>
    <w:p>
      <w:pPr>
        <w:spacing w:after="0" w:line="135"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In May 2019, we entered into a letter agreement for continued employment with Mr. Bergman, our Chief Executive Officer at the time, and in February 2020, we entered into an amended letter agreement for continued employment with Mr. Bergman. Mr. Bergman’s annual base salary as of February 2020 was $35,568. In each of 2021 and 2022, Mr. Bergman’s base salary was $500,000, subject to reduction for Bergman Annual RSUs, as described immediately below, and in 2020, he was paid a bonus in the amount of $36. On or before the last day of November</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ind w:right="640"/>
        <w:spacing w:after="0" w:line="248" w:lineRule="auto"/>
        <w:rPr>
          <w:sz w:val="20"/>
          <w:szCs w:val="20"/>
          <w:color w:val="auto"/>
        </w:rPr>
      </w:pPr>
      <w:r>
        <w:rPr>
          <w:rFonts w:ascii="Arial" w:cs="Arial" w:eastAsia="Arial" w:hAnsi="Arial"/>
          <w:sz w:val="16"/>
          <w:szCs w:val="16"/>
          <w:color w:val="auto"/>
        </w:rPr>
        <w:t>of each year, Mr. Bergman may make an irrevocable election to reduce his base salary for the following year (but in any case no lower than the applicable minimum wage), and instead receive RSUs covering shares of our common stock with a value based on the amount of such reduction (each, a “Bergman Annual RSU”). Any Bergman Annual RSU will be granted in February of the applicable year and the number of RSUs subject to each Bergman Annual RSU will be based on the average trading price of our common stock in January of that year. Each Bergman Annual RSU will vest in four equal quarterly installments following the date of grant</w:t>
      </w:r>
    </w:p>
    <w:p>
      <w:pPr>
        <w:jc w:val="both"/>
        <w:ind w:right="640"/>
        <w:spacing w:after="0" w:line="222" w:lineRule="auto"/>
        <w:rPr>
          <w:sz w:val="20"/>
          <w:szCs w:val="20"/>
          <w:color w:val="auto"/>
        </w:rPr>
      </w:pPr>
      <w:r>
        <w:rPr>
          <w:rFonts w:ascii="Arial" w:cs="Arial" w:eastAsia="Arial" w:hAnsi="Arial"/>
          <w:sz w:val="16"/>
          <w:szCs w:val="16"/>
          <w:color w:val="auto"/>
        </w:rPr>
        <w:t>commencing on February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quarterly thereafter (May, August, and November), in each case subject to Mr. Bergman’s continued service with us.</w:t>
      </w:r>
    </w:p>
    <w:p>
      <w:pPr>
        <w:spacing w:after="0" w:line="112" w:lineRule="exact"/>
        <w:rPr>
          <w:sz w:val="20"/>
          <w:szCs w:val="20"/>
          <w:color w:val="auto"/>
        </w:rPr>
      </w:pPr>
    </w:p>
    <w:p>
      <w:pPr>
        <w:jc w:val="both"/>
        <w:ind w:right="640"/>
        <w:spacing w:after="0" w:line="247" w:lineRule="auto"/>
        <w:rPr>
          <w:sz w:val="20"/>
          <w:szCs w:val="20"/>
          <w:color w:val="auto"/>
        </w:rPr>
      </w:pPr>
      <w:r>
        <w:rPr>
          <w:rFonts w:ascii="Arial" w:cs="Arial" w:eastAsia="Arial" w:hAnsi="Arial"/>
          <w:sz w:val="16"/>
          <w:szCs w:val="16"/>
          <w:color w:val="auto"/>
        </w:rPr>
        <w:t>On November 2, 2023, we entered into an amended letter agreement with Mr. Bergman whereby effective January 1, 2024, Mr. Bergman’s base salary would be $500,000, with an annual target bonus of $165,000. On or before the last day of November of each year, Mr. Bergman may make an irrevocable election to reduce his base salary for the following calendar year (but in any case no lower than the applicable minimum wage) and instead receive (i) RSUs covering shares of our common stock (each, a “Modified Bergman Annual RSU”) and (ii) reimbursement for private aircraft usage for his business travel in accordance with our charter aircraft use policy (any unused portion of which will be forfeited at the end of the year), in either case with a value based on the amount of such reduction. Any such Modified Bergman Annual RSU will be granted in February of the applicable year (on or prior to</w:t>
      </w:r>
    </w:p>
    <w:p>
      <w:pPr>
        <w:spacing w:after="0" w:line="7" w:lineRule="exact"/>
        <w:rPr>
          <w:sz w:val="20"/>
          <w:szCs w:val="20"/>
          <w:color w:val="auto"/>
        </w:rPr>
      </w:pPr>
    </w:p>
    <w:p>
      <w:pPr>
        <w:jc w:val="both"/>
        <w:ind w:right="660"/>
        <w:spacing w:after="0" w:line="218" w:lineRule="auto"/>
        <w:rPr>
          <w:sz w:val="20"/>
          <w:szCs w:val="20"/>
          <w:color w:val="auto"/>
        </w:rPr>
      </w:pPr>
      <w:r>
        <w:rPr>
          <w:rFonts w:ascii="Arial" w:cs="Arial" w:eastAsia="Arial" w:hAnsi="Arial"/>
          <w:sz w:val="16"/>
          <w:szCs w:val="16"/>
          <w:color w:val="auto"/>
        </w:rPr>
        <w:t>February 15</w:t>
      </w:r>
      <w:r>
        <w:rPr>
          <w:rFonts w:ascii="Arial" w:cs="Arial" w:eastAsia="Arial" w:hAnsi="Arial"/>
          <w:sz w:val="26"/>
          <w:szCs w:val="26"/>
          <w:color w:val="auto"/>
          <w:vertAlign w:val="superscript"/>
        </w:rPr>
        <w:t>th</w:t>
      </w:r>
      <w:r>
        <w:rPr>
          <w:rFonts w:ascii="Arial" w:cs="Arial" w:eastAsia="Arial" w:hAnsi="Arial"/>
          <w:sz w:val="16"/>
          <w:szCs w:val="16"/>
          <w:color w:val="auto"/>
        </w:rPr>
        <w:t>) and the number of RSUs subject to each Modified Bergman Annual RSU will vest in four equal quarterly installments on or following the date of grant</w:t>
      </w:r>
    </w:p>
    <w:p>
      <w:pPr>
        <w:spacing w:after="0" w:line="2" w:lineRule="exact"/>
        <w:rPr>
          <w:sz w:val="20"/>
          <w:szCs w:val="20"/>
          <w:color w:val="auto"/>
        </w:rPr>
      </w:pPr>
    </w:p>
    <w:p>
      <w:pPr>
        <w:jc w:val="both"/>
        <w:ind w:right="640"/>
        <w:spacing w:after="0" w:line="231" w:lineRule="auto"/>
        <w:rPr>
          <w:sz w:val="20"/>
          <w:szCs w:val="20"/>
          <w:color w:val="auto"/>
        </w:rPr>
      </w:pPr>
      <w:r>
        <w:rPr>
          <w:rFonts w:ascii="Arial" w:cs="Arial" w:eastAsia="Arial" w:hAnsi="Arial"/>
          <w:sz w:val="16"/>
          <w:szCs w:val="16"/>
          <w:color w:val="auto"/>
        </w:rPr>
        <w:t>commencing on February 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quarterly thereafter (May, August, and November), in each case subject to Mr. Bergman’s continued service with us. Pursuant to the November 2, 2023 amended letter agreement, we also granted Mr. Bergman (i) an RSU award covering 301,169 shares of common stock, pursuant to which</w:t>
      </w:r>
    </w:p>
    <w:p>
      <w:pPr>
        <w:spacing w:after="0" w:line="1" w:lineRule="exact"/>
        <w:rPr>
          <w:sz w:val="20"/>
          <w:szCs w:val="20"/>
          <w:color w:val="auto"/>
        </w:rPr>
      </w:pPr>
    </w:p>
    <w:p>
      <w:pPr>
        <w:jc w:val="both"/>
        <w:ind w:right="640"/>
        <w:spacing w:after="0" w:line="228" w:lineRule="auto"/>
        <w:rPr>
          <w:sz w:val="20"/>
          <w:szCs w:val="20"/>
          <w:color w:val="auto"/>
        </w:rPr>
      </w:pPr>
      <w:r>
        <w:rPr>
          <w:rFonts w:ascii="Arial" w:cs="Arial" w:eastAsia="Arial" w:hAnsi="Arial"/>
          <w:sz w:val="16"/>
          <w:szCs w:val="16"/>
          <w:color w:val="auto"/>
        </w:rPr>
        <w:t>1/16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shares shall vest quarterly over four years commencing on February 15, 2024, subject to Mr. Bergman’s continued service through each applicable vesting date, and (ii) a nonstatutory stock option to purchase 602,338 shares of common stock at</w:t>
      </w:r>
    </w:p>
    <w:p>
      <w:pPr>
        <w:spacing w:after="0" w:line="2" w:lineRule="exact"/>
        <w:rPr>
          <w:sz w:val="20"/>
          <w:szCs w:val="20"/>
          <w:color w:val="auto"/>
        </w:rPr>
      </w:pPr>
    </w:p>
    <w:p>
      <w:pPr>
        <w:jc w:val="both"/>
        <w:ind w:right="640"/>
        <w:spacing w:after="0" w:line="239" w:lineRule="auto"/>
        <w:rPr>
          <w:sz w:val="20"/>
          <w:szCs w:val="20"/>
          <w:color w:val="auto"/>
        </w:rPr>
      </w:pPr>
      <w:r>
        <w:rPr>
          <w:rFonts w:ascii="Arial" w:cs="Arial" w:eastAsia="Arial" w:hAnsi="Arial"/>
          <w:sz w:val="16"/>
          <w:szCs w:val="16"/>
          <w:color w:val="auto"/>
        </w:rPr>
        <w:t>an exercise price of $16.47, pursuant to which 1/16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of the shares shall vest quarterly over four years commencing on November 15, 2023, subject to Mr. Bergman’s continued service with us. Pursuant to the November 2, 2023 amended letter agreement, Mr. Bergman is also eligible to receive an annual equity refresh. Prior to the grant, Mr. Bergman may make an election to receive equity in the form of (i) a stock option grant and (ii) RSUs (which may include time-based and performance-based vesting) on the same terms as generally applicable to other senior Company executives for such year.</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121920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660" w:space="400"/>
            <w:col w:w="4660"/>
          </w:cols>
          <w:pgMar w:left="1080" w:top="114" w:right="10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Under Mr. Bergman’s letter agreement, if Mr. Bergman’s employment is terminated without cause or he terminates his employment for good reason, on or within three months prior to or 18 months following a change in control of the Company, Mr. Bergman is entitled to the following severance payments and benefits, provided that he signs and allows to become effective a general release of all claims: (i) a lump sum payment equal to 24 months of his base salary and target bonus (if any, for the year in which the separation of service occurred), (ii) a lump sum payment equal to his target bonus for the calendar year in which separation of service occurred (if any), prorated based upon the number of days Mr. Bergman provides services for the Company during the year of the separation of service date, (iii) continuation of health insurance benefits under COBRA for up to 18 months, and (iv) all unvested shares subject to his outstanding equity awards with a time-based vesting schedule shall vest in full as of his termination date, and the treatment of any performance-based awards shall be treated as set forth in the award agreement governing the applicable performance award.</w:t>
      </w:r>
    </w:p>
    <w:p>
      <w:pPr>
        <w:spacing w:after="0" w:line="109" w:lineRule="exact"/>
        <w:rPr>
          <w:sz w:val="20"/>
          <w:szCs w:val="20"/>
          <w:color w:val="auto"/>
        </w:rPr>
      </w:pPr>
    </w:p>
    <w:p>
      <w:pPr>
        <w:jc w:val="both"/>
        <w:ind w:left="660"/>
        <w:spacing w:after="0" w:line="247" w:lineRule="auto"/>
        <w:rPr>
          <w:sz w:val="20"/>
          <w:szCs w:val="20"/>
          <w:color w:val="auto"/>
        </w:rPr>
      </w:pPr>
      <w:r>
        <w:rPr>
          <w:rFonts w:ascii="Arial" w:cs="Arial" w:eastAsia="Arial" w:hAnsi="Arial"/>
          <w:sz w:val="16"/>
          <w:szCs w:val="16"/>
          <w:color w:val="auto"/>
        </w:rPr>
        <w:t>In addition, if Mr. Bergman’s employment is terminated without cause or he terminates his employment for good reason, at any other time other than during the change of control period, Mr. Bergman is entitled to the following severance payments and benefits, provided that he signs and allows to become effective a general release of all claims: (i) a lump sum payment equal to 18 months of his base salary and target bonus (if any, for the year in which the separation of service occurred), (ii) continuation of health insurance benefits for 18 months, and (iii) the equity awards that are subject to time-based vesting that are outstanding as of the date of the separation from service shall accelerate and become vested and, if applicable, exercisable as to the number of shares subject to such equity award that would have vested if Mr. Bergman had completed an additional 12 months of employment following the date on which the separation from service occurred and equity awards that are subject to performance-based vesting that are outstanding as of the date of the separation from service shall accelerate and become vested and, if applicable, exercisable as to the number of shares subject to such equity award that would have vested if he had completed an additional 12 months employment following the date on which the separation from service occurred, on a prorated basis and based on Mr. Bergman’s actual level of achievement of the performance goals applicable to the equity award as of the date on which his separation from service occurred.</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Richard Wong</w:t>
      </w:r>
    </w:p>
    <w:p>
      <w:pPr>
        <w:spacing w:after="0" w:line="149"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In August 2025, we entered into a letter agreement (the “Wong Employment Agreement”) with Mr. Wong, our Chief Financial Officer, setting forth certain terms of his employment with the Company, including his</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54  |  2026 PROXY STATEMENT</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ind w:right="299"/>
        <w:spacing w:after="0" w:line="249" w:lineRule="auto"/>
        <w:rPr>
          <w:sz w:val="20"/>
          <w:szCs w:val="20"/>
          <w:color w:val="auto"/>
        </w:rPr>
      </w:pPr>
      <w:r>
        <w:rPr>
          <w:rFonts w:ascii="Arial" w:cs="Arial" w:eastAsia="Arial" w:hAnsi="Arial"/>
          <w:sz w:val="16"/>
          <w:szCs w:val="16"/>
          <w:color w:val="auto"/>
        </w:rPr>
        <w:t>initial base salary of $450,000, a bonus opportunity of 70% of his base salary under the 2025 Bonus Program (as pro-rated for his start date as Chief Financial Officer), and eligibility for reimbursement of reasonable legal fees of up to $20,000 in connection with his appointment as Chief Financial Officer. In September 2025, we awarded Mr. Wong an award of RSUs covering shares of the Company’s common stock with a target value of $8.0 million, which was converted into a number of RSUs based on the average closing trading price of our common stock during August 2025. This grant vests as to 25% of the grant on August 15, 2026, and in equal quarterly installments thereafter, subject to his continued service with the Company through each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Scott Lovett</w:t>
      </w:r>
    </w:p>
    <w:p>
      <w:pPr>
        <w:spacing w:after="0" w:line="149" w:lineRule="exact"/>
        <w:rPr>
          <w:sz w:val="20"/>
          <w:szCs w:val="20"/>
          <w:color w:val="auto"/>
        </w:rPr>
      </w:pPr>
    </w:p>
    <w:p>
      <w:pPr>
        <w:jc w:val="both"/>
        <w:ind w:right="299"/>
        <w:spacing w:after="0" w:line="250" w:lineRule="auto"/>
        <w:rPr>
          <w:sz w:val="20"/>
          <w:szCs w:val="20"/>
          <w:color w:val="auto"/>
        </w:rPr>
      </w:pPr>
      <w:r>
        <w:rPr>
          <w:rFonts w:ascii="Arial" w:cs="Arial" w:eastAsia="Arial" w:hAnsi="Arial"/>
          <w:sz w:val="16"/>
          <w:szCs w:val="16"/>
          <w:color w:val="auto"/>
        </w:rPr>
        <w:t>In May 2024, we entered into an offer letter agreement with Mr. Lovett for his role as our Chief Revenue Officer. Mr. Lovett’s annual base salary as of June 3, 2024 was $450,000. In July 2024, we awarded Mr. Lovett an award of RSUs covering shares of the Company’s common stock with a target value of $9,000,000, which was converted into a number of shares based on the average closing trading price of our common stock during June 2024. This grant vests as to 25% of the grant on June 15, 2025, and in equal quarterly installments thereafter, subject to his continued service with the Company through each date.</w:t>
      </w:r>
    </w:p>
    <w:p>
      <w:pPr>
        <w:spacing w:after="0" w:line="117" w:lineRule="exact"/>
        <w:rPr>
          <w:sz w:val="20"/>
          <w:szCs w:val="20"/>
          <w:color w:val="auto"/>
        </w:rPr>
      </w:pPr>
    </w:p>
    <w:p>
      <w:pPr>
        <w:jc w:val="both"/>
        <w:ind w:right="299"/>
        <w:spacing w:after="0" w:line="253" w:lineRule="auto"/>
        <w:rPr>
          <w:sz w:val="20"/>
          <w:szCs w:val="20"/>
          <w:color w:val="auto"/>
        </w:rPr>
      </w:pPr>
      <w:r>
        <w:rPr>
          <w:rFonts w:ascii="Arial" w:cs="Arial" w:eastAsia="Arial" w:hAnsi="Arial"/>
          <w:sz w:val="16"/>
          <w:szCs w:val="16"/>
          <w:color w:val="auto"/>
        </w:rPr>
        <w:t>In August 2025, we entered into an offer letter agreement with Mr. Lovett in connection with his promotion as our President, Go to Market. Mr. Lovett’s base salary as of August 6, 2025 was $450,000. In August 2025, we awarded Mr. Lovett equity grants with the total value of $3,500,000, which was converted into a number of shares based on $9.00.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Todd Nightingale</w:t>
      </w:r>
    </w:p>
    <w:p>
      <w:pPr>
        <w:spacing w:after="0" w:line="135" w:lineRule="exact"/>
        <w:rPr>
          <w:sz w:val="20"/>
          <w:szCs w:val="20"/>
          <w:color w:val="auto"/>
        </w:rPr>
      </w:pPr>
    </w:p>
    <w:p>
      <w:pPr>
        <w:jc w:val="both"/>
        <w:ind w:right="299"/>
        <w:spacing w:after="0" w:line="253" w:lineRule="auto"/>
        <w:rPr>
          <w:sz w:val="20"/>
          <w:szCs w:val="20"/>
          <w:color w:val="auto"/>
        </w:rPr>
      </w:pPr>
      <w:r>
        <w:rPr>
          <w:rFonts w:ascii="Arial" w:cs="Arial" w:eastAsia="Arial" w:hAnsi="Arial"/>
          <w:sz w:val="16"/>
          <w:szCs w:val="16"/>
          <w:color w:val="auto"/>
        </w:rPr>
        <w:t>Effective June 16, 2025, Mr. Nightingale resigned from his position as Chief Executive Officer. Mr. Nightingale was subject to the Executive Plan as modified by the letter agreement entered into August 2022 (the “Nightingale Employment Agreement”), but he did not receive any severance payments or benefits in connection with his resignation.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Ronald Kisling</w:t>
      </w:r>
    </w:p>
    <w:p>
      <w:pPr>
        <w:spacing w:after="0" w:line="149" w:lineRule="exact"/>
        <w:rPr>
          <w:sz w:val="20"/>
          <w:szCs w:val="20"/>
          <w:color w:val="auto"/>
        </w:rPr>
      </w:pPr>
    </w:p>
    <w:p>
      <w:pPr>
        <w:jc w:val="both"/>
        <w:ind w:right="299"/>
        <w:spacing w:after="0" w:line="251" w:lineRule="auto"/>
        <w:rPr>
          <w:sz w:val="20"/>
          <w:szCs w:val="20"/>
          <w:color w:val="auto"/>
        </w:rPr>
      </w:pPr>
      <w:r>
        <w:rPr>
          <w:rFonts w:ascii="Arial" w:cs="Arial" w:eastAsia="Arial" w:hAnsi="Arial"/>
          <w:sz w:val="16"/>
          <w:szCs w:val="16"/>
          <w:color w:val="auto"/>
        </w:rPr>
        <w:t>In August 2025, we entered into a Transition and Separation Agreement (as amended on February 23, 2026, the “Kisling Separation Agreement”) with Mr. Kisling, our former Chief Financial Officer. Pursuant to the Kisling Separation Agreement, Mr. Kisling was terminated without cause and ceased serving as our Chief Financial Officer effective August 11, 2025 (the “CFO Transition Date”). Following the CFO Transition Date, Mr. Kisling remained employed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323850</wp:posOffset>
            </wp:positionV>
            <wp:extent cx="699516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660" w:space="400"/>
            <w:col w:w="4319"/>
          </w:cols>
          <w:pgMar w:left="1080" w:top="114"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in an advisory capacity to facilitate the transition of his responsibilities to his successor until September 15, 2025 (the “Separation Date”). During the Transition Period, Mr. Kisling continued to receive his annual base salary, and his outstanding equity awards continued to vest in accordance with their terms. Pursuant to the Kisling Separation Agreement and consistent with a Regular Termination under the Executive Plan to which Mr. Kisling was subject, Mr. Kisling received a lump sum payment equal to (i) nine months of his base salary and (ii) 75% of his target annual bonus for fiscal year 2025 (totaling $562,500), subject to Mr. Kisling’s execution and non-revocation of a supplemental release of claims. Also consistent with the Executive Plan, effective as of the Separation Date, the vesting of Mr. Kisling’s outstanding unvested time-based RSUs and performance-based PSUs for which performance-vesting conditions had already been satisfied was accelerated as if he had remained an employee for an additional 12 months after the Separation Date. In addition, the Kisling Separation Agreement provides</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ind w:right="640"/>
        <w:spacing w:after="0" w:line="248" w:lineRule="auto"/>
        <w:rPr>
          <w:sz w:val="20"/>
          <w:szCs w:val="20"/>
          <w:color w:val="auto"/>
        </w:rPr>
      </w:pPr>
      <w:r>
        <w:rPr>
          <w:rFonts w:ascii="Arial" w:cs="Arial" w:eastAsia="Arial" w:hAnsi="Arial"/>
          <w:sz w:val="16"/>
          <w:szCs w:val="16"/>
          <w:color w:val="auto"/>
        </w:rPr>
        <w:t>that Mr. Kisling also remains eligible to receive certain PSUs for which performance-based vesting had not already been achieved as set forth in the Kisling Separation Agreement. Specifically, tranches 2 and 3 of the PSU award subject to stock price hurdles granted to Mr. Kisling in September 2022 remain outstanding and eligible to vest through the first anniversary of the Separation Date. In addition, pursuant to the original terms of the rTSR PSU award, Mr. Kisling remains eligible to earn up to 20,856 of the rTSR PSUs granted in 2025 based on actual performance at the end of the 3-year performance period. Finally, subject to the adjustment outlined in the Kisling Separation Agreement and the Company’s achievement of the 2025 Objectives, Mr. Kisling earned 45,448 fully vested Financial PSUs as described in the “Performance-Based PSU Grants – Financial PSUs” chart above. In 2026, the Kisling Separation Agreement was amended to provide Mr. Kisling with a lump-sum cash payment of $11,107.62 to cover estimated taxes related to COBRA premium reimbursements.</w:t>
      </w:r>
    </w:p>
    <w:p>
      <w:pPr>
        <w:spacing w:after="0" w:line="200" w:lineRule="exact"/>
        <w:rPr>
          <w:sz w:val="20"/>
          <w:szCs w:val="20"/>
          <w:color w:val="auto"/>
        </w:rPr>
      </w:pPr>
    </w:p>
    <w:p>
      <w:pPr>
        <w:sectPr>
          <w:pgSz w:w="11900" w:h="16838" w:orient="portrait"/>
          <w:cols w:equalWidth="0" w:num="2">
            <w:col w:w="4660" w:space="400"/>
            <w:col w:w="4660"/>
          </w:cols>
          <w:pgMar w:left="1080" w:top="114" w:right="1099" w:bottom="1440" w:gutter="0" w:footer="0" w:header="0"/>
        </w:sectPr>
      </w:pPr>
    </w:p>
    <w:p>
      <w:pPr>
        <w:spacing w:after="0" w:line="11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Other Named Executive Officers</w:t>
      </w:r>
    </w:p>
    <w:p>
      <w:pPr>
        <w:spacing w:after="0" w:line="112" w:lineRule="exact"/>
        <w:rPr>
          <w:sz w:val="20"/>
          <w:szCs w:val="20"/>
          <w:color w:val="auto"/>
        </w:rPr>
      </w:pPr>
    </w:p>
    <w:p>
      <w:pPr>
        <w:jc w:val="both"/>
        <w:ind w:left="660"/>
        <w:spacing w:after="0" w:line="247" w:lineRule="auto"/>
        <w:rPr>
          <w:sz w:val="20"/>
          <w:szCs w:val="20"/>
          <w:color w:val="auto"/>
        </w:rPr>
      </w:pPr>
      <w:r>
        <w:rPr>
          <w:rFonts w:ascii="Arial" w:cs="Arial" w:eastAsia="Arial" w:hAnsi="Arial"/>
          <w:sz w:val="16"/>
          <w:szCs w:val="16"/>
          <w:color w:val="auto"/>
        </w:rPr>
        <w:t>We have adopted the (i) Executive Plan for the benefit of certain executive officers (including Mr. Compton and other key employees) and (ii) 2022 Plan for the benefit of Messrs. Wong, Lovett, and other key employees. As described in the “Executive Change in Control and Severance Plan” section above, Mr. Bergman is not subject to either the Executive Plan or the 2022 Plan. While the terms and conditions of the Executive Plan govern Mr. Compton’s eligibility for and entitlement to severance benefits, the potential amount of severance benefits Mr. Compton would receive are modified as set forth under the Compton Employment Agreement, as described above. Under their respective Severance Plans (as defined in the “Executive Change in Control and Severance Plan” section above), if we terminate the employment of Mr. Wong or Mr. Lovett other than for cause, or they resign for good reason, in each case, during the change in control period, Mr. Wong or Mr. Lovett, as applicable, will be eligible to receive the following severance payments and benefits (less applicable tax withholdings): (i) a lump sum cash amount equal to 12 months of their then-current annual base salary, (ii) a lump sum cash amount equal to their target annual bonus opportunity, (iii) continuation of health plan benefits for them and their eligible dependents at no cost under COBRA for up to 12 months, (iv) 100% of their then outstanding and unvested equity awards that are subject to time-based vesting will fully vest and, as applicable, be exercisable, and (v) their then outstanding and unvested equity awards that are subject to performance-based vesting will be treated as set forth in the applicable award agreement.</w:t>
      </w:r>
    </w:p>
    <w:p>
      <w:pPr>
        <w:spacing w:after="0" w:line="137"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Further, under the 2022 Plan, if Mr. Wong or Mr. Lovett is terminated other than for cause, or they resign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both"/>
        <w:ind w:right="640"/>
        <w:spacing w:after="0" w:line="248" w:lineRule="auto"/>
        <w:rPr>
          <w:sz w:val="20"/>
          <w:szCs w:val="20"/>
          <w:color w:val="auto"/>
        </w:rPr>
      </w:pPr>
      <w:r>
        <w:rPr>
          <w:rFonts w:ascii="Arial" w:cs="Arial" w:eastAsia="Arial" w:hAnsi="Arial"/>
          <w:sz w:val="16"/>
          <w:szCs w:val="16"/>
          <w:color w:val="auto"/>
        </w:rPr>
        <w:t>good reason, at any time other than during the change in control period, they will be eligible to receive the following severance benefits (less applicable tax withholding): (i) a lump sum cash amount equal to nine months of their then-current annual base salary, (ii) continuation of health plan benefits for them and their eligible dependents at no cost under COBRA for up to nine months, (iii) nine months of their then outstanding and unvested equity awards that are subject to time-based vesting will vest and, as applicable, be exercisable, and (iv) their outstanding and unvested equity awards that are subject to performance-based vesting will vest and, as applicable, be exercisable, as to the number of shares subject to such performance award that would have vested if they had completed an additional nine months of employment following the date of termination, on a prorated basis and based on actual level of achievement as of the date on which the termination occurred.</w:t>
      </w:r>
    </w:p>
    <w:p>
      <w:pPr>
        <w:spacing w:after="0" w:line="127" w:lineRule="exact"/>
        <w:rPr>
          <w:sz w:val="20"/>
          <w:szCs w:val="20"/>
          <w:color w:val="auto"/>
        </w:rPr>
      </w:pPr>
    </w:p>
    <w:p>
      <w:pPr>
        <w:jc w:val="both"/>
        <w:ind w:right="640"/>
        <w:spacing w:after="0" w:line="249" w:lineRule="auto"/>
        <w:rPr>
          <w:sz w:val="20"/>
          <w:szCs w:val="20"/>
          <w:color w:val="auto"/>
        </w:rPr>
      </w:pPr>
      <w:r>
        <w:rPr>
          <w:rFonts w:ascii="Arial" w:cs="Arial" w:eastAsia="Arial" w:hAnsi="Arial"/>
          <w:sz w:val="16"/>
          <w:szCs w:val="16"/>
          <w:color w:val="auto"/>
        </w:rPr>
        <w:t>To receive the severance payments and benefits above upon a qualifying termination of employment, Mr. Compton, Mr. Wong, or Mr. Lovett, as applicable, must sign and not revoke a general release of claims in our favor by the deadline set forth in the applicable Severance Plan. If any of the payments provided for under the applicable Severance Plan or otherwise payable to Mr. Compton, Mr. Wong, or Mr. Lovett would constitute “parachute payments” within the meaning of Section 280G of the Code and would be subject to the related excise tax under Section 4999 of the Code, then they will be entitled to receive either full payment of benefits or such lesser amount which would result in no portion of the benefits being subject to the excise tax, whichever results in the</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113665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4660" w:space="400"/>
            <w:col w:w="4660"/>
          </w:cols>
          <w:pgMar w:left="1080" w:top="114" w:right="10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6"/>
          <w:szCs w:val="16"/>
          <w:color w:val="auto"/>
        </w:rPr>
        <w:t>greater amount of after-tax benefits to them. Neither Severance Plan requires us to provide any tax gross-up payments to Mr. Compton, Mr. Wong, Mr. Lovett, or any other participant.</w:t>
      </w:r>
    </w:p>
    <w:p>
      <w:pPr>
        <w:spacing w:after="0" w:line="97" w:lineRule="exact"/>
        <w:rPr>
          <w:sz w:val="20"/>
          <w:szCs w:val="20"/>
          <w:color w:val="auto"/>
        </w:rPr>
      </w:pPr>
    </w:p>
    <w:p>
      <w:pPr>
        <w:jc w:val="both"/>
        <w:ind w:left="660"/>
        <w:spacing w:after="0" w:line="286" w:lineRule="auto"/>
        <w:rPr>
          <w:sz w:val="20"/>
          <w:szCs w:val="20"/>
          <w:color w:val="auto"/>
        </w:rPr>
      </w:pPr>
      <w:r>
        <w:rPr>
          <w:rFonts w:ascii="Arial" w:cs="Arial" w:eastAsia="Arial" w:hAnsi="Arial"/>
          <w:sz w:val="16"/>
          <w:szCs w:val="16"/>
          <w:color w:val="auto"/>
        </w:rPr>
        <w:t>Each Severance Plan will remain in effect until it is terminated by the Company, except if the Severance</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jc w:val="both"/>
        <w:ind w:right="299"/>
        <w:spacing w:after="0" w:line="259" w:lineRule="auto"/>
        <w:rPr>
          <w:sz w:val="20"/>
          <w:szCs w:val="20"/>
          <w:color w:val="auto"/>
        </w:rPr>
      </w:pPr>
      <w:r>
        <w:rPr>
          <w:rFonts w:ascii="Arial" w:cs="Arial" w:eastAsia="Arial" w:hAnsi="Arial"/>
          <w:sz w:val="16"/>
          <w:szCs w:val="16"/>
          <w:color w:val="auto"/>
        </w:rPr>
        <w:t>Plan is in effect when a change in control occurs, then each Severance Plan, as applicable, will remain in effect until the change in control period expires and any benefits payable in respect thereof have been paid.</w:t>
      </w:r>
    </w:p>
    <w:p>
      <w:pPr>
        <w:spacing w:after="0" w:line="735" w:lineRule="exact"/>
        <w:rPr>
          <w:sz w:val="20"/>
          <w:szCs w:val="20"/>
          <w:color w:val="auto"/>
        </w:rPr>
      </w:pPr>
    </w:p>
    <w:p>
      <w:pPr>
        <w:sectPr>
          <w:pgSz w:w="11900" w:h="16838" w:orient="portrait"/>
          <w:cols w:equalWidth="0" w:num="2">
            <w:col w:w="4660" w:space="400"/>
            <w:col w:w="4319"/>
          </w:cols>
          <w:pgMar w:left="1080" w:top="114" w:right="1440" w:bottom="1440" w:gutter="0" w:footer="0" w:header="0"/>
        </w:sectPr>
      </w:pPr>
    </w:p>
    <w:p>
      <w:pPr>
        <w:spacing w:after="0" w:line="9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Potential Payments on Termination or Change of Control</w:t>
      </w:r>
    </w:p>
    <w:p>
      <w:pPr>
        <w:spacing w:after="0" w:line="153" w:lineRule="exact"/>
        <w:rPr>
          <w:sz w:val="20"/>
          <w:szCs w:val="20"/>
          <w:color w:val="auto"/>
        </w:rPr>
      </w:pPr>
    </w:p>
    <w:p>
      <w:pPr>
        <w:jc w:val="both"/>
        <w:ind w:left="660" w:right="299"/>
        <w:spacing w:after="0" w:line="251" w:lineRule="auto"/>
        <w:rPr>
          <w:sz w:val="20"/>
          <w:szCs w:val="20"/>
          <w:color w:val="auto"/>
        </w:rPr>
      </w:pPr>
      <w:r>
        <w:rPr>
          <w:rFonts w:ascii="Arial" w:cs="Arial" w:eastAsia="Arial" w:hAnsi="Arial"/>
          <w:sz w:val="16"/>
          <w:szCs w:val="16"/>
          <w:color w:val="auto"/>
        </w:rPr>
        <w:t>The following table presents information concerning estimated payments and benefits that would be provided in the circumstances described above for each of the Named Executive Officers serving as of the end of the fiscal year ending December 31, 2025. Unless otherwise stated, the payments and benefits set forth below are estimated assuming that the termination of employment or change in control event occurred on the last business day of our fiscal year ending December 31, 2025 using the closing market price per share of our common stock on the last trading day on or preceding that date. Actual payments and benefits could be different if such events were to occur on any other date or at any other price or if any other assumptions are used to estimate potential payments and benefits. For payments that may be provided to Mr. Kisling, please see “Employment Arrangements—Ronald Kisling.” Mr. Nightingale is not eligible to receive any payments given his resignation.</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60" w:type="dxa"/>
            <w:vAlign w:val="bottom"/>
          </w:tcPr>
          <w:p>
            <w:pPr>
              <w:jc w:val="right"/>
              <w:ind w:right="28"/>
              <w:spacing w:after="0"/>
              <w:rPr>
                <w:sz w:val="20"/>
                <w:szCs w:val="20"/>
                <w:color w:val="auto"/>
              </w:rPr>
            </w:pPr>
            <w:r>
              <w:rPr>
                <w:rFonts w:ascii="Arial" w:cs="Arial" w:eastAsia="Arial" w:hAnsi="Arial"/>
                <w:sz w:val="14"/>
                <w:szCs w:val="14"/>
                <w:b w:val="1"/>
                <w:bCs w:val="1"/>
                <w:color w:val="auto"/>
              </w:rPr>
              <w:t>Involuntary Termination of Employment</w:t>
            </w:r>
          </w:p>
        </w:tc>
      </w:tr>
      <w:tr>
        <w:trPr>
          <w:trHeight w:val="162"/>
        </w:trPr>
        <w:tc>
          <w:tcPr>
            <w:tcW w:w="21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3060" w:type="dxa"/>
            <w:vAlign w:val="bottom"/>
          </w:tcPr>
          <w:p>
            <w:pPr>
              <w:jc w:val="right"/>
              <w:ind w:right="28"/>
              <w:spacing w:after="0"/>
              <w:rPr>
                <w:sz w:val="20"/>
                <w:szCs w:val="20"/>
                <w:color w:val="auto"/>
              </w:rPr>
            </w:pPr>
            <w:r>
              <w:rPr>
                <w:rFonts w:ascii="Arial" w:cs="Arial" w:eastAsia="Arial" w:hAnsi="Arial"/>
                <w:sz w:val="14"/>
                <w:szCs w:val="14"/>
                <w:b w:val="1"/>
                <w:bCs w:val="1"/>
                <w:color w:val="auto"/>
              </w:rPr>
              <w:t>or Voluntary Resignation for Good</w:t>
            </w:r>
          </w:p>
        </w:tc>
      </w:tr>
      <w:tr>
        <w:trPr>
          <w:trHeight w:val="162"/>
        </w:trPr>
        <w:tc>
          <w:tcPr>
            <w:tcW w:w="2120" w:type="dxa"/>
            <w:vAlign w:val="bottom"/>
          </w:tcPr>
          <w:p>
            <w:pPr>
              <w:spacing w:after="0"/>
              <w:rPr>
                <w:sz w:val="14"/>
                <w:szCs w:val="14"/>
                <w:color w:val="auto"/>
              </w:rPr>
            </w:pPr>
          </w:p>
        </w:tc>
        <w:tc>
          <w:tcPr>
            <w:tcW w:w="3240" w:type="dxa"/>
            <w:vAlign w:val="bottom"/>
          </w:tcPr>
          <w:p>
            <w:pPr>
              <w:jc w:val="right"/>
              <w:ind w:right="168"/>
              <w:spacing w:after="0"/>
              <w:rPr>
                <w:sz w:val="20"/>
                <w:szCs w:val="20"/>
                <w:color w:val="auto"/>
              </w:rPr>
            </w:pPr>
            <w:r>
              <w:rPr>
                <w:rFonts w:ascii="Arial" w:cs="Arial" w:eastAsia="Arial" w:hAnsi="Arial"/>
                <w:sz w:val="14"/>
                <w:szCs w:val="14"/>
                <w:b w:val="1"/>
                <w:bCs w:val="1"/>
                <w:color w:val="auto"/>
              </w:rPr>
              <w:t>Involuntary Termination of Employment</w:t>
            </w:r>
          </w:p>
        </w:tc>
        <w:tc>
          <w:tcPr>
            <w:tcW w:w="3060" w:type="dxa"/>
            <w:vAlign w:val="bottom"/>
          </w:tcPr>
          <w:p>
            <w:pPr>
              <w:jc w:val="right"/>
              <w:ind w:right="28"/>
              <w:spacing w:after="0"/>
              <w:rPr>
                <w:sz w:val="20"/>
                <w:szCs w:val="20"/>
                <w:color w:val="auto"/>
              </w:rPr>
            </w:pPr>
            <w:r>
              <w:rPr>
                <w:rFonts w:ascii="Arial" w:cs="Arial" w:eastAsia="Arial" w:hAnsi="Arial"/>
                <w:sz w:val="14"/>
                <w:szCs w:val="14"/>
                <w:b w:val="1"/>
                <w:bCs w:val="1"/>
                <w:color w:val="auto"/>
              </w:rPr>
              <w:t>Reason Within 12 Months Following a</w:t>
            </w:r>
          </w:p>
        </w:tc>
      </w:tr>
      <w:tr>
        <w:trPr>
          <w:trHeight w:val="205"/>
        </w:trPr>
        <w:tc>
          <w:tcPr>
            <w:tcW w:w="212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Named Executive Officer</w:t>
            </w:r>
          </w:p>
        </w:tc>
        <w:tc>
          <w:tcPr>
            <w:tcW w:w="3240" w:type="dxa"/>
            <w:vAlign w:val="bottom"/>
            <w:tcBorders>
              <w:bottom w:val="single" w:sz="8" w:color="404040"/>
            </w:tcBorders>
          </w:tcPr>
          <w:p>
            <w:pPr>
              <w:jc w:val="right"/>
              <w:ind w:right="168"/>
              <w:spacing w:after="0"/>
              <w:rPr>
                <w:sz w:val="20"/>
                <w:szCs w:val="20"/>
                <w:color w:val="auto"/>
              </w:rPr>
            </w:pPr>
            <w:r>
              <w:rPr>
                <w:rFonts w:ascii="Arial" w:cs="Arial" w:eastAsia="Arial" w:hAnsi="Arial"/>
                <w:sz w:val="14"/>
                <w:szCs w:val="14"/>
                <w:b w:val="1"/>
                <w:bCs w:val="1"/>
                <w:color w:val="auto"/>
              </w:rPr>
              <w:t>Without Cause ($)</w:t>
            </w:r>
          </w:p>
        </w:tc>
        <w:tc>
          <w:tcPr>
            <w:tcW w:w="3060" w:type="dxa"/>
            <w:vAlign w:val="bottom"/>
            <w:tcBorders>
              <w:bottom w:val="single" w:sz="8" w:color="404040"/>
            </w:tcBorders>
          </w:tcPr>
          <w:p>
            <w:pPr>
              <w:jc w:val="right"/>
              <w:ind w:right="28"/>
              <w:spacing w:after="0"/>
              <w:rPr>
                <w:sz w:val="20"/>
                <w:szCs w:val="20"/>
                <w:color w:val="auto"/>
              </w:rPr>
            </w:pPr>
            <w:r>
              <w:rPr>
                <w:rFonts w:ascii="Arial" w:cs="Arial" w:eastAsia="Arial" w:hAnsi="Arial"/>
                <w:sz w:val="14"/>
                <w:szCs w:val="14"/>
                <w:b w:val="1"/>
                <w:bCs w:val="1"/>
                <w:color w:val="auto"/>
              </w:rPr>
              <w:t>Change of Control ($)</w:t>
            </w:r>
          </w:p>
        </w:tc>
      </w:tr>
      <w:tr>
        <w:trPr>
          <w:trHeight w:val="223"/>
        </w:trPr>
        <w:tc>
          <w:tcPr>
            <w:tcW w:w="212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Charles Compton</w:t>
            </w:r>
          </w:p>
        </w:tc>
        <w:tc>
          <w:tcPr>
            <w:tcW w:w="3240" w:type="dxa"/>
            <w:vAlign w:val="bottom"/>
            <w:tcBorders>
              <w:bottom w:val="single" w:sz="8" w:color="404040"/>
            </w:tcBorders>
          </w:tcPr>
          <w:p>
            <w:pPr>
              <w:spacing w:after="0"/>
              <w:rPr>
                <w:sz w:val="19"/>
                <w:szCs w:val="19"/>
                <w:color w:val="auto"/>
              </w:rPr>
            </w:pPr>
          </w:p>
        </w:tc>
        <w:tc>
          <w:tcPr>
            <w:tcW w:w="3060" w:type="dxa"/>
            <w:vAlign w:val="bottom"/>
            <w:tcBorders>
              <w:bottom w:val="single" w:sz="8" w:color="404040"/>
            </w:tcBorders>
          </w:tcPr>
          <w:p>
            <w:pPr>
              <w:spacing w:after="0"/>
              <w:rPr>
                <w:sz w:val="19"/>
                <w:szCs w:val="19"/>
                <w:color w:val="auto"/>
              </w:rPr>
            </w:pPr>
          </w:p>
        </w:tc>
      </w:tr>
      <w:tr>
        <w:trPr>
          <w:trHeight w:val="208"/>
        </w:trPr>
        <w:tc>
          <w:tcPr>
            <w:tcW w:w="2120" w:type="dxa"/>
            <w:vAlign w:val="bottom"/>
          </w:tcPr>
          <w:p>
            <w:pPr>
              <w:ind w:left="200"/>
              <w:spacing w:after="0"/>
              <w:rPr>
                <w:sz w:val="20"/>
                <w:szCs w:val="20"/>
                <w:color w:val="auto"/>
              </w:rPr>
            </w:pPr>
            <w:r>
              <w:rPr>
                <w:rFonts w:ascii="Arial" w:cs="Arial" w:eastAsia="Arial" w:hAnsi="Arial"/>
                <w:sz w:val="14"/>
                <w:szCs w:val="14"/>
                <w:color w:val="auto"/>
              </w:rPr>
              <w:t>Severance Payment</w:t>
            </w:r>
          </w:p>
        </w:tc>
        <w:tc>
          <w:tcPr>
            <w:tcW w:w="3240" w:type="dxa"/>
            <w:vAlign w:val="bottom"/>
          </w:tcPr>
          <w:p>
            <w:pPr>
              <w:ind w:left="2200"/>
              <w:spacing w:after="0"/>
              <w:rPr>
                <w:sz w:val="20"/>
                <w:szCs w:val="20"/>
                <w:color w:val="auto"/>
              </w:rPr>
            </w:pPr>
            <w:r>
              <w:rPr>
                <w:rFonts w:ascii="Arial" w:cs="Arial" w:eastAsia="Arial" w:hAnsi="Arial"/>
                <w:sz w:val="14"/>
                <w:szCs w:val="14"/>
                <w:color w:val="auto"/>
              </w:rPr>
              <w:t>1,125,000</w:t>
            </w:r>
          </w:p>
        </w:tc>
        <w:tc>
          <w:tcPr>
            <w:tcW w:w="3060" w:type="dxa"/>
            <w:vAlign w:val="bottom"/>
          </w:tcPr>
          <w:p>
            <w:pPr>
              <w:jc w:val="right"/>
              <w:ind w:right="188"/>
              <w:spacing w:after="0"/>
              <w:rPr>
                <w:sz w:val="20"/>
                <w:szCs w:val="20"/>
                <w:color w:val="auto"/>
              </w:rPr>
            </w:pPr>
            <w:r>
              <w:rPr>
                <w:rFonts w:ascii="Arial" w:cs="Arial" w:eastAsia="Arial" w:hAnsi="Arial"/>
                <w:sz w:val="14"/>
                <w:szCs w:val="14"/>
                <w:color w:val="auto"/>
              </w:rPr>
              <w:t>1,500,000</w:t>
            </w:r>
          </w:p>
        </w:tc>
      </w:tr>
      <w:tr>
        <w:trPr>
          <w:trHeight w:val="22"/>
        </w:trPr>
        <w:tc>
          <w:tcPr>
            <w:tcW w:w="2120" w:type="dxa"/>
            <w:vAlign w:val="bottom"/>
            <w:tcBorders>
              <w:bottom w:val="single" w:sz="8" w:color="404040"/>
            </w:tcBorders>
          </w:tcPr>
          <w:p>
            <w:pPr>
              <w:spacing w:after="0" w:line="20" w:lineRule="exact"/>
              <w:rPr>
                <w:sz w:val="1"/>
                <w:szCs w:val="1"/>
                <w:color w:val="auto"/>
              </w:rPr>
            </w:pPr>
          </w:p>
        </w:tc>
        <w:tc>
          <w:tcPr>
            <w:tcW w:w="3240" w:type="dxa"/>
            <w:vAlign w:val="bottom"/>
            <w:tcBorders>
              <w:bottom w:val="single" w:sz="8" w:color="404040"/>
            </w:tcBorders>
          </w:tcPr>
          <w:p>
            <w:pPr>
              <w:spacing w:after="0" w:line="20" w:lineRule="exact"/>
              <w:rPr>
                <w:sz w:val="1"/>
                <w:szCs w:val="1"/>
                <w:color w:val="auto"/>
              </w:rPr>
            </w:pPr>
          </w:p>
        </w:tc>
        <w:tc>
          <w:tcPr>
            <w:tcW w:w="3060" w:type="dxa"/>
            <w:vAlign w:val="bottom"/>
            <w:tcBorders>
              <w:bottom w:val="single" w:sz="8" w:color="404040"/>
            </w:tcBorders>
          </w:tcPr>
          <w:p>
            <w:pPr>
              <w:spacing w:after="0" w:line="20" w:lineRule="exact"/>
              <w:rPr>
                <w:sz w:val="1"/>
                <w:szCs w:val="1"/>
                <w:color w:val="auto"/>
              </w:rPr>
            </w:pPr>
          </w:p>
        </w:tc>
      </w:tr>
      <w:tr>
        <w:trPr>
          <w:trHeight w:val="250"/>
        </w:trPr>
        <w:tc>
          <w:tcPr>
            <w:tcW w:w="2120" w:type="dxa"/>
            <w:vAlign w:val="bottom"/>
            <w:tcBorders>
              <w:bottom w:val="single" w:sz="8" w:color="404040"/>
            </w:tcBorders>
          </w:tcPr>
          <w:p>
            <w:pPr>
              <w:ind w:left="200"/>
              <w:spacing w:after="0" w:line="250"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3"/>
                <w:szCs w:val="23"/>
                <w:color w:val="auto"/>
                <w:vertAlign w:val="superscript"/>
              </w:rPr>
              <w:t>(1)</w:t>
            </w:r>
          </w:p>
        </w:tc>
        <w:tc>
          <w:tcPr>
            <w:tcW w:w="3240" w:type="dxa"/>
            <w:vAlign w:val="bottom"/>
            <w:tcBorders>
              <w:bottom w:val="single" w:sz="8" w:color="404040"/>
            </w:tcBorders>
          </w:tcPr>
          <w:p>
            <w:pPr>
              <w:ind w:left="2200"/>
              <w:spacing w:after="0" w:line="250" w:lineRule="exact"/>
              <w:rPr>
                <w:sz w:val="20"/>
                <w:szCs w:val="20"/>
                <w:color w:val="auto"/>
              </w:rPr>
            </w:pPr>
            <w:r>
              <w:rPr>
                <w:rFonts w:ascii="Arial" w:cs="Arial" w:eastAsia="Arial" w:hAnsi="Arial"/>
                <w:sz w:val="14"/>
                <w:szCs w:val="14"/>
                <w:color w:val="auto"/>
              </w:rPr>
              <w:t>4,434,876</w:t>
            </w:r>
            <w:r>
              <w:rPr>
                <w:rFonts w:ascii="Arial" w:cs="Arial" w:eastAsia="Arial" w:hAnsi="Arial"/>
                <w:sz w:val="23"/>
                <w:szCs w:val="23"/>
                <w:color w:val="auto"/>
                <w:vertAlign w:val="superscript"/>
              </w:rPr>
              <w:t>(2)</w:t>
            </w:r>
          </w:p>
        </w:tc>
        <w:tc>
          <w:tcPr>
            <w:tcW w:w="3060" w:type="dxa"/>
            <w:vAlign w:val="bottom"/>
            <w:tcBorders>
              <w:bottom w:val="single" w:sz="8" w:color="404040"/>
            </w:tcBorders>
          </w:tcPr>
          <w:p>
            <w:pPr>
              <w:jc w:val="right"/>
              <w:ind w:right="28"/>
              <w:spacing w:after="0" w:line="250" w:lineRule="exact"/>
              <w:rPr>
                <w:sz w:val="20"/>
                <w:szCs w:val="20"/>
                <w:color w:val="auto"/>
              </w:rPr>
            </w:pPr>
            <w:r>
              <w:rPr>
                <w:rFonts w:ascii="Arial" w:cs="Arial" w:eastAsia="Arial" w:hAnsi="Arial"/>
                <w:sz w:val="14"/>
                <w:szCs w:val="14"/>
                <w:color w:val="auto"/>
              </w:rPr>
              <w:t>8,207,859</w:t>
            </w:r>
            <w:r>
              <w:rPr>
                <w:rFonts w:ascii="Arial" w:cs="Arial" w:eastAsia="Arial" w:hAnsi="Arial"/>
                <w:sz w:val="23"/>
                <w:szCs w:val="23"/>
                <w:color w:val="auto"/>
                <w:vertAlign w:val="superscript"/>
              </w:rPr>
              <w:t>(3)</w:t>
            </w:r>
          </w:p>
        </w:tc>
      </w:tr>
      <w:tr>
        <w:trPr>
          <w:trHeight w:val="201"/>
        </w:trPr>
        <w:tc>
          <w:tcPr>
            <w:tcW w:w="2120" w:type="dxa"/>
            <w:vAlign w:val="bottom"/>
          </w:tcPr>
          <w:p>
            <w:pPr>
              <w:ind w:left="200"/>
              <w:spacing w:after="0"/>
              <w:rPr>
                <w:sz w:val="20"/>
                <w:szCs w:val="20"/>
                <w:color w:val="auto"/>
              </w:rPr>
            </w:pPr>
            <w:r>
              <w:rPr>
                <w:rFonts w:ascii="Arial" w:cs="Arial" w:eastAsia="Arial" w:hAnsi="Arial"/>
                <w:sz w:val="14"/>
                <w:szCs w:val="14"/>
                <w:color w:val="auto"/>
              </w:rPr>
              <w:t>Company-paid premiums</w:t>
            </w:r>
          </w:p>
        </w:tc>
        <w:tc>
          <w:tcPr>
            <w:tcW w:w="3240" w:type="dxa"/>
            <w:vAlign w:val="bottom"/>
          </w:tcPr>
          <w:p>
            <w:pPr>
              <w:jc w:val="right"/>
              <w:ind w:right="348"/>
              <w:spacing w:after="0"/>
              <w:rPr>
                <w:sz w:val="20"/>
                <w:szCs w:val="20"/>
                <w:color w:val="auto"/>
              </w:rPr>
            </w:pPr>
            <w:r>
              <w:rPr>
                <w:rFonts w:ascii="Arial" w:cs="Arial" w:eastAsia="Arial" w:hAnsi="Arial"/>
                <w:sz w:val="14"/>
                <w:szCs w:val="14"/>
                <w:color w:val="auto"/>
              </w:rPr>
              <w:t>50,552</w:t>
            </w:r>
          </w:p>
        </w:tc>
        <w:tc>
          <w:tcPr>
            <w:tcW w:w="3060" w:type="dxa"/>
            <w:vAlign w:val="bottom"/>
          </w:tcPr>
          <w:p>
            <w:pPr>
              <w:jc w:val="right"/>
              <w:ind w:right="208"/>
              <w:spacing w:after="0"/>
              <w:rPr>
                <w:sz w:val="20"/>
                <w:szCs w:val="20"/>
                <w:color w:val="auto"/>
              </w:rPr>
            </w:pPr>
            <w:r>
              <w:rPr>
                <w:rFonts w:ascii="Arial" w:cs="Arial" w:eastAsia="Arial" w:hAnsi="Arial"/>
                <w:sz w:val="14"/>
                <w:szCs w:val="14"/>
                <w:color w:val="auto"/>
              </w:rPr>
              <w:t>67,403</w:t>
            </w:r>
          </w:p>
        </w:tc>
      </w:tr>
      <w:tr>
        <w:trPr>
          <w:trHeight w:val="22"/>
        </w:trPr>
        <w:tc>
          <w:tcPr>
            <w:tcW w:w="2120" w:type="dxa"/>
            <w:vAlign w:val="bottom"/>
            <w:tcBorders>
              <w:bottom w:val="single" w:sz="8" w:color="404040"/>
            </w:tcBorders>
          </w:tcPr>
          <w:p>
            <w:pPr>
              <w:spacing w:after="0" w:line="20" w:lineRule="exact"/>
              <w:rPr>
                <w:sz w:val="1"/>
                <w:szCs w:val="1"/>
                <w:color w:val="auto"/>
              </w:rPr>
            </w:pPr>
          </w:p>
        </w:tc>
        <w:tc>
          <w:tcPr>
            <w:tcW w:w="3240" w:type="dxa"/>
            <w:vAlign w:val="bottom"/>
            <w:tcBorders>
              <w:bottom w:val="single" w:sz="8" w:color="404040"/>
            </w:tcBorders>
          </w:tcPr>
          <w:p>
            <w:pPr>
              <w:spacing w:after="0" w:line="20" w:lineRule="exact"/>
              <w:rPr>
                <w:sz w:val="1"/>
                <w:szCs w:val="1"/>
                <w:color w:val="auto"/>
              </w:rPr>
            </w:pPr>
          </w:p>
        </w:tc>
        <w:tc>
          <w:tcPr>
            <w:tcW w:w="3060" w:type="dxa"/>
            <w:vAlign w:val="bottom"/>
            <w:tcBorders>
              <w:bottom w:val="single" w:sz="8" w:color="404040"/>
            </w:tcBorders>
          </w:tcPr>
          <w:p>
            <w:pPr>
              <w:spacing w:after="0" w:line="20" w:lineRule="exact"/>
              <w:rPr>
                <w:sz w:val="1"/>
                <w:szCs w:val="1"/>
                <w:color w:val="auto"/>
              </w:rPr>
            </w:pPr>
          </w:p>
        </w:tc>
      </w:tr>
      <w:tr>
        <w:trPr>
          <w:trHeight w:val="202"/>
        </w:trPr>
        <w:tc>
          <w:tcPr>
            <w:tcW w:w="2120" w:type="dxa"/>
            <w:vAlign w:val="bottom"/>
          </w:tcPr>
          <w:p>
            <w:pPr>
              <w:ind w:left="200"/>
              <w:spacing w:after="0"/>
              <w:rPr>
                <w:sz w:val="20"/>
                <w:szCs w:val="20"/>
                <w:color w:val="auto"/>
              </w:rPr>
            </w:pPr>
            <w:r>
              <w:rPr>
                <w:rFonts w:ascii="Arial" w:cs="Arial" w:eastAsia="Arial" w:hAnsi="Arial"/>
                <w:sz w:val="14"/>
                <w:szCs w:val="14"/>
                <w:color w:val="auto"/>
              </w:rPr>
              <w:t>Total</w:t>
            </w:r>
          </w:p>
        </w:tc>
        <w:tc>
          <w:tcPr>
            <w:tcW w:w="3240" w:type="dxa"/>
            <w:vAlign w:val="bottom"/>
          </w:tcPr>
          <w:p>
            <w:pPr>
              <w:ind w:left="2200"/>
              <w:spacing w:after="0"/>
              <w:rPr>
                <w:sz w:val="20"/>
                <w:szCs w:val="20"/>
                <w:color w:val="auto"/>
              </w:rPr>
            </w:pPr>
            <w:r>
              <w:rPr>
                <w:rFonts w:ascii="Arial" w:cs="Arial" w:eastAsia="Arial" w:hAnsi="Arial"/>
                <w:sz w:val="14"/>
                <w:szCs w:val="14"/>
                <w:color w:val="auto"/>
              </w:rPr>
              <w:t>5,610,429</w:t>
            </w:r>
          </w:p>
        </w:tc>
        <w:tc>
          <w:tcPr>
            <w:tcW w:w="3060" w:type="dxa"/>
            <w:vAlign w:val="bottom"/>
          </w:tcPr>
          <w:p>
            <w:pPr>
              <w:jc w:val="right"/>
              <w:ind w:right="188"/>
              <w:spacing w:after="0"/>
              <w:rPr>
                <w:sz w:val="20"/>
                <w:szCs w:val="20"/>
                <w:color w:val="auto"/>
              </w:rPr>
            </w:pPr>
            <w:r>
              <w:rPr>
                <w:rFonts w:ascii="Arial" w:cs="Arial" w:eastAsia="Arial" w:hAnsi="Arial"/>
                <w:sz w:val="14"/>
                <w:szCs w:val="14"/>
                <w:color w:val="auto"/>
              </w:rPr>
              <w:t>9,775,262</w:t>
            </w:r>
          </w:p>
        </w:tc>
      </w:tr>
      <w:tr>
        <w:trPr>
          <w:trHeight w:val="22"/>
        </w:trPr>
        <w:tc>
          <w:tcPr>
            <w:tcW w:w="2120" w:type="dxa"/>
            <w:vAlign w:val="bottom"/>
            <w:tcBorders>
              <w:bottom w:val="single" w:sz="8" w:color="404040"/>
            </w:tcBorders>
          </w:tcPr>
          <w:p>
            <w:pPr>
              <w:spacing w:after="0" w:line="20" w:lineRule="exact"/>
              <w:rPr>
                <w:sz w:val="1"/>
                <w:szCs w:val="1"/>
                <w:color w:val="auto"/>
              </w:rPr>
            </w:pPr>
          </w:p>
        </w:tc>
        <w:tc>
          <w:tcPr>
            <w:tcW w:w="3240" w:type="dxa"/>
            <w:vAlign w:val="bottom"/>
            <w:tcBorders>
              <w:bottom w:val="single" w:sz="8" w:color="404040"/>
            </w:tcBorders>
          </w:tcPr>
          <w:p>
            <w:pPr>
              <w:spacing w:after="0" w:line="20" w:lineRule="exact"/>
              <w:rPr>
                <w:sz w:val="1"/>
                <w:szCs w:val="1"/>
                <w:color w:val="auto"/>
              </w:rPr>
            </w:pPr>
          </w:p>
        </w:tc>
        <w:tc>
          <w:tcPr>
            <w:tcW w:w="3060" w:type="dxa"/>
            <w:vAlign w:val="bottom"/>
            <w:tcBorders>
              <w:bottom w:val="single" w:sz="8" w:color="404040"/>
            </w:tcBorders>
          </w:tcPr>
          <w:p>
            <w:pPr>
              <w:spacing w:after="0" w:line="20" w:lineRule="exact"/>
              <w:rPr>
                <w:sz w:val="1"/>
                <w:szCs w:val="1"/>
                <w:color w:val="auto"/>
              </w:rPr>
            </w:pPr>
          </w:p>
        </w:tc>
      </w:tr>
      <w:tr>
        <w:trPr>
          <w:trHeight w:val="216"/>
        </w:trPr>
        <w:tc>
          <w:tcPr>
            <w:tcW w:w="212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Artur Bergman</w:t>
            </w:r>
          </w:p>
        </w:tc>
        <w:tc>
          <w:tcPr>
            <w:tcW w:w="3240" w:type="dxa"/>
            <w:vAlign w:val="bottom"/>
            <w:tcBorders>
              <w:bottom w:val="single" w:sz="8" w:color="404040"/>
            </w:tcBorders>
          </w:tcPr>
          <w:p>
            <w:pPr>
              <w:spacing w:after="0"/>
              <w:rPr>
                <w:sz w:val="18"/>
                <w:szCs w:val="18"/>
                <w:color w:val="auto"/>
              </w:rPr>
            </w:pPr>
          </w:p>
        </w:tc>
        <w:tc>
          <w:tcPr>
            <w:tcW w:w="3060" w:type="dxa"/>
            <w:vAlign w:val="bottom"/>
            <w:tcBorders>
              <w:bottom w:val="single" w:sz="8" w:color="404040"/>
            </w:tcBorders>
          </w:tcPr>
          <w:p>
            <w:pPr>
              <w:spacing w:after="0"/>
              <w:rPr>
                <w:sz w:val="18"/>
                <w:szCs w:val="18"/>
                <w:color w:val="auto"/>
              </w:rPr>
            </w:pPr>
          </w:p>
        </w:tc>
      </w:tr>
      <w:tr>
        <w:trPr>
          <w:trHeight w:val="208"/>
        </w:trPr>
        <w:tc>
          <w:tcPr>
            <w:tcW w:w="2120" w:type="dxa"/>
            <w:vAlign w:val="bottom"/>
          </w:tcPr>
          <w:p>
            <w:pPr>
              <w:ind w:left="200"/>
              <w:spacing w:after="0"/>
              <w:rPr>
                <w:sz w:val="20"/>
                <w:szCs w:val="20"/>
                <w:color w:val="auto"/>
              </w:rPr>
            </w:pPr>
            <w:r>
              <w:rPr>
                <w:rFonts w:ascii="Arial" w:cs="Arial" w:eastAsia="Arial" w:hAnsi="Arial"/>
                <w:sz w:val="14"/>
                <w:szCs w:val="14"/>
                <w:color w:val="auto"/>
              </w:rPr>
              <w:t>Severance Payment</w:t>
            </w:r>
          </w:p>
        </w:tc>
        <w:tc>
          <w:tcPr>
            <w:tcW w:w="3240" w:type="dxa"/>
            <w:vAlign w:val="bottom"/>
          </w:tcPr>
          <w:p>
            <w:pPr>
              <w:jc w:val="right"/>
              <w:ind w:right="348"/>
              <w:spacing w:after="0"/>
              <w:rPr>
                <w:sz w:val="20"/>
                <w:szCs w:val="20"/>
                <w:color w:val="auto"/>
              </w:rPr>
            </w:pPr>
            <w:r>
              <w:rPr>
                <w:rFonts w:ascii="Arial" w:cs="Arial" w:eastAsia="Arial" w:hAnsi="Arial"/>
                <w:sz w:val="14"/>
                <w:szCs w:val="14"/>
                <w:color w:val="auto"/>
              </w:rPr>
              <w:t>249,728</w:t>
            </w:r>
          </w:p>
        </w:tc>
        <w:tc>
          <w:tcPr>
            <w:tcW w:w="3060" w:type="dxa"/>
            <w:vAlign w:val="bottom"/>
          </w:tcPr>
          <w:p>
            <w:pPr>
              <w:jc w:val="right"/>
              <w:ind w:right="208"/>
              <w:spacing w:after="0"/>
              <w:rPr>
                <w:sz w:val="20"/>
                <w:szCs w:val="20"/>
                <w:color w:val="auto"/>
              </w:rPr>
            </w:pPr>
            <w:r>
              <w:rPr>
                <w:rFonts w:ascii="Arial" w:cs="Arial" w:eastAsia="Arial" w:hAnsi="Arial"/>
                <w:sz w:val="14"/>
                <w:szCs w:val="14"/>
                <w:color w:val="auto"/>
              </w:rPr>
              <w:t>442,970</w:t>
            </w:r>
          </w:p>
        </w:tc>
      </w:tr>
      <w:tr>
        <w:trPr>
          <w:trHeight w:val="22"/>
        </w:trPr>
        <w:tc>
          <w:tcPr>
            <w:tcW w:w="2120" w:type="dxa"/>
            <w:vAlign w:val="bottom"/>
            <w:tcBorders>
              <w:bottom w:val="single" w:sz="8" w:color="404040"/>
            </w:tcBorders>
          </w:tcPr>
          <w:p>
            <w:pPr>
              <w:spacing w:after="0" w:line="20" w:lineRule="exact"/>
              <w:rPr>
                <w:sz w:val="1"/>
                <w:szCs w:val="1"/>
                <w:color w:val="auto"/>
              </w:rPr>
            </w:pPr>
          </w:p>
        </w:tc>
        <w:tc>
          <w:tcPr>
            <w:tcW w:w="3240" w:type="dxa"/>
            <w:vAlign w:val="bottom"/>
            <w:tcBorders>
              <w:bottom w:val="single" w:sz="8" w:color="404040"/>
            </w:tcBorders>
          </w:tcPr>
          <w:p>
            <w:pPr>
              <w:spacing w:after="0" w:line="20" w:lineRule="exact"/>
              <w:rPr>
                <w:sz w:val="1"/>
                <w:szCs w:val="1"/>
                <w:color w:val="auto"/>
              </w:rPr>
            </w:pPr>
          </w:p>
        </w:tc>
        <w:tc>
          <w:tcPr>
            <w:tcW w:w="3060" w:type="dxa"/>
            <w:vAlign w:val="bottom"/>
            <w:tcBorders>
              <w:bottom w:val="single" w:sz="8" w:color="404040"/>
            </w:tcBorders>
          </w:tcPr>
          <w:p>
            <w:pPr>
              <w:spacing w:after="0" w:line="20" w:lineRule="exact"/>
              <w:rPr>
                <w:sz w:val="1"/>
                <w:szCs w:val="1"/>
                <w:color w:val="auto"/>
              </w:rPr>
            </w:pPr>
          </w:p>
        </w:tc>
      </w:tr>
      <w:tr>
        <w:trPr>
          <w:trHeight w:val="250"/>
        </w:trPr>
        <w:tc>
          <w:tcPr>
            <w:tcW w:w="2120" w:type="dxa"/>
            <w:vAlign w:val="bottom"/>
            <w:tcBorders>
              <w:bottom w:val="single" w:sz="8" w:color="404040"/>
            </w:tcBorders>
          </w:tcPr>
          <w:p>
            <w:pPr>
              <w:ind w:left="200"/>
              <w:spacing w:after="0" w:line="250"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3"/>
                <w:szCs w:val="23"/>
                <w:color w:val="auto"/>
                <w:vertAlign w:val="superscript"/>
              </w:rPr>
              <w:t>(1)</w:t>
            </w:r>
          </w:p>
        </w:tc>
        <w:tc>
          <w:tcPr>
            <w:tcW w:w="3240" w:type="dxa"/>
            <w:vAlign w:val="bottom"/>
            <w:tcBorders>
              <w:bottom w:val="single" w:sz="8" w:color="404040"/>
            </w:tcBorders>
          </w:tcPr>
          <w:p>
            <w:pPr>
              <w:ind w:left="2200"/>
              <w:spacing w:after="0" w:line="250" w:lineRule="exact"/>
              <w:rPr>
                <w:sz w:val="20"/>
                <w:szCs w:val="20"/>
                <w:color w:val="auto"/>
              </w:rPr>
            </w:pPr>
            <w:r>
              <w:rPr>
                <w:rFonts w:ascii="Arial" w:cs="Arial" w:eastAsia="Arial" w:hAnsi="Arial"/>
                <w:sz w:val="14"/>
                <w:szCs w:val="14"/>
                <w:color w:val="auto"/>
              </w:rPr>
              <w:t>2,455,828</w:t>
            </w:r>
            <w:r>
              <w:rPr>
                <w:rFonts w:ascii="Arial" w:cs="Arial" w:eastAsia="Arial" w:hAnsi="Arial"/>
                <w:sz w:val="23"/>
                <w:szCs w:val="23"/>
                <w:color w:val="auto"/>
                <w:vertAlign w:val="superscript"/>
              </w:rPr>
              <w:t>(2)</w:t>
            </w:r>
          </w:p>
        </w:tc>
        <w:tc>
          <w:tcPr>
            <w:tcW w:w="3060" w:type="dxa"/>
            <w:vAlign w:val="bottom"/>
            <w:tcBorders>
              <w:bottom w:val="single" w:sz="8" w:color="404040"/>
            </w:tcBorders>
          </w:tcPr>
          <w:p>
            <w:pPr>
              <w:jc w:val="right"/>
              <w:ind w:right="28"/>
              <w:spacing w:after="0" w:line="250" w:lineRule="exact"/>
              <w:rPr>
                <w:sz w:val="20"/>
                <w:szCs w:val="20"/>
                <w:color w:val="auto"/>
              </w:rPr>
            </w:pPr>
            <w:r>
              <w:rPr>
                <w:rFonts w:ascii="Arial" w:cs="Arial" w:eastAsia="Arial" w:hAnsi="Arial"/>
                <w:sz w:val="14"/>
                <w:szCs w:val="14"/>
                <w:color w:val="auto"/>
              </w:rPr>
              <w:t>5,200,985</w:t>
            </w:r>
            <w:r>
              <w:rPr>
                <w:rFonts w:ascii="Arial" w:cs="Arial" w:eastAsia="Arial" w:hAnsi="Arial"/>
                <w:sz w:val="23"/>
                <w:szCs w:val="23"/>
                <w:color w:val="auto"/>
                <w:vertAlign w:val="superscript"/>
              </w:rPr>
              <w:t>(3)</w:t>
            </w:r>
          </w:p>
        </w:tc>
      </w:tr>
      <w:tr>
        <w:trPr>
          <w:trHeight w:val="201"/>
        </w:trPr>
        <w:tc>
          <w:tcPr>
            <w:tcW w:w="2120" w:type="dxa"/>
            <w:vAlign w:val="bottom"/>
          </w:tcPr>
          <w:p>
            <w:pPr>
              <w:ind w:left="200"/>
              <w:spacing w:after="0"/>
              <w:rPr>
                <w:sz w:val="20"/>
                <w:szCs w:val="20"/>
                <w:color w:val="auto"/>
              </w:rPr>
            </w:pPr>
            <w:r>
              <w:rPr>
                <w:rFonts w:ascii="Arial" w:cs="Arial" w:eastAsia="Arial" w:hAnsi="Arial"/>
                <w:sz w:val="14"/>
                <w:szCs w:val="14"/>
                <w:color w:val="auto"/>
              </w:rPr>
              <w:t>Company-paid premiums</w:t>
            </w:r>
          </w:p>
        </w:tc>
        <w:tc>
          <w:tcPr>
            <w:tcW w:w="3240" w:type="dxa"/>
            <w:vAlign w:val="bottom"/>
          </w:tcPr>
          <w:p>
            <w:pPr>
              <w:ind w:left="2380"/>
              <w:spacing w:after="0"/>
              <w:rPr>
                <w:sz w:val="20"/>
                <w:szCs w:val="20"/>
                <w:color w:val="auto"/>
              </w:rPr>
            </w:pPr>
            <w:r>
              <w:rPr>
                <w:rFonts w:ascii="Arial" w:cs="Arial" w:eastAsia="Arial" w:hAnsi="Arial"/>
                <w:sz w:val="14"/>
                <w:szCs w:val="14"/>
                <w:color w:val="auto"/>
              </w:rPr>
              <w:t>64,939</w:t>
            </w:r>
          </w:p>
        </w:tc>
        <w:tc>
          <w:tcPr>
            <w:tcW w:w="3060" w:type="dxa"/>
            <w:vAlign w:val="bottom"/>
          </w:tcPr>
          <w:p>
            <w:pPr>
              <w:jc w:val="right"/>
              <w:ind w:right="208"/>
              <w:spacing w:after="0"/>
              <w:rPr>
                <w:sz w:val="20"/>
                <w:szCs w:val="20"/>
                <w:color w:val="auto"/>
              </w:rPr>
            </w:pPr>
            <w:r>
              <w:rPr>
                <w:rFonts w:ascii="Arial" w:cs="Arial" w:eastAsia="Arial" w:hAnsi="Arial"/>
                <w:sz w:val="14"/>
                <w:szCs w:val="14"/>
                <w:color w:val="auto"/>
              </w:rPr>
              <w:t>64,939</w:t>
            </w:r>
          </w:p>
        </w:tc>
      </w:tr>
      <w:tr>
        <w:trPr>
          <w:trHeight w:val="22"/>
        </w:trPr>
        <w:tc>
          <w:tcPr>
            <w:tcW w:w="2120" w:type="dxa"/>
            <w:vAlign w:val="bottom"/>
            <w:tcBorders>
              <w:bottom w:val="single" w:sz="8" w:color="404040"/>
            </w:tcBorders>
          </w:tcPr>
          <w:p>
            <w:pPr>
              <w:spacing w:after="0" w:line="20" w:lineRule="exact"/>
              <w:rPr>
                <w:sz w:val="1"/>
                <w:szCs w:val="1"/>
                <w:color w:val="auto"/>
              </w:rPr>
            </w:pPr>
          </w:p>
        </w:tc>
        <w:tc>
          <w:tcPr>
            <w:tcW w:w="3240" w:type="dxa"/>
            <w:vAlign w:val="bottom"/>
            <w:tcBorders>
              <w:bottom w:val="single" w:sz="8" w:color="404040"/>
            </w:tcBorders>
          </w:tcPr>
          <w:p>
            <w:pPr>
              <w:spacing w:after="0" w:line="20" w:lineRule="exact"/>
              <w:rPr>
                <w:sz w:val="1"/>
                <w:szCs w:val="1"/>
                <w:color w:val="auto"/>
              </w:rPr>
            </w:pPr>
          </w:p>
        </w:tc>
        <w:tc>
          <w:tcPr>
            <w:tcW w:w="3060" w:type="dxa"/>
            <w:vAlign w:val="bottom"/>
            <w:tcBorders>
              <w:bottom w:val="single" w:sz="8" w:color="404040"/>
            </w:tcBorders>
          </w:tcPr>
          <w:p>
            <w:pPr>
              <w:spacing w:after="0" w:line="20" w:lineRule="exact"/>
              <w:rPr>
                <w:sz w:val="1"/>
                <w:szCs w:val="1"/>
                <w:color w:val="auto"/>
              </w:rPr>
            </w:pPr>
          </w:p>
        </w:tc>
      </w:tr>
      <w:tr>
        <w:trPr>
          <w:trHeight w:val="201"/>
        </w:trPr>
        <w:tc>
          <w:tcPr>
            <w:tcW w:w="2120" w:type="dxa"/>
            <w:vAlign w:val="bottom"/>
          </w:tcPr>
          <w:p>
            <w:pPr>
              <w:ind w:left="200"/>
              <w:spacing w:after="0"/>
              <w:rPr>
                <w:sz w:val="20"/>
                <w:szCs w:val="20"/>
                <w:color w:val="auto"/>
              </w:rPr>
            </w:pPr>
            <w:r>
              <w:rPr>
                <w:rFonts w:ascii="Arial" w:cs="Arial" w:eastAsia="Arial" w:hAnsi="Arial"/>
                <w:sz w:val="14"/>
                <w:szCs w:val="14"/>
                <w:color w:val="auto"/>
              </w:rPr>
              <w:t>Total</w:t>
            </w:r>
          </w:p>
        </w:tc>
        <w:tc>
          <w:tcPr>
            <w:tcW w:w="3240" w:type="dxa"/>
            <w:vAlign w:val="bottom"/>
          </w:tcPr>
          <w:p>
            <w:pPr>
              <w:ind w:left="2200"/>
              <w:spacing w:after="0"/>
              <w:rPr>
                <w:sz w:val="20"/>
                <w:szCs w:val="20"/>
                <w:color w:val="auto"/>
              </w:rPr>
            </w:pPr>
            <w:r>
              <w:rPr>
                <w:rFonts w:ascii="Arial" w:cs="Arial" w:eastAsia="Arial" w:hAnsi="Arial"/>
                <w:sz w:val="14"/>
                <w:szCs w:val="14"/>
                <w:color w:val="auto"/>
              </w:rPr>
              <w:t>2,770,494</w:t>
            </w:r>
          </w:p>
        </w:tc>
        <w:tc>
          <w:tcPr>
            <w:tcW w:w="3060" w:type="dxa"/>
            <w:vAlign w:val="bottom"/>
          </w:tcPr>
          <w:p>
            <w:pPr>
              <w:jc w:val="right"/>
              <w:ind w:right="188"/>
              <w:spacing w:after="0"/>
              <w:rPr>
                <w:sz w:val="20"/>
                <w:szCs w:val="20"/>
                <w:color w:val="auto"/>
              </w:rPr>
            </w:pPr>
            <w:r>
              <w:rPr>
                <w:rFonts w:ascii="Arial" w:cs="Arial" w:eastAsia="Arial" w:hAnsi="Arial"/>
                <w:sz w:val="14"/>
                <w:szCs w:val="14"/>
                <w:color w:val="auto"/>
              </w:rPr>
              <w:t>5,708,894</w:t>
            </w:r>
          </w:p>
        </w:tc>
      </w:tr>
      <w:tr>
        <w:trPr>
          <w:trHeight w:val="22"/>
        </w:trPr>
        <w:tc>
          <w:tcPr>
            <w:tcW w:w="2120" w:type="dxa"/>
            <w:vAlign w:val="bottom"/>
            <w:tcBorders>
              <w:bottom w:val="single" w:sz="8" w:color="404040"/>
            </w:tcBorders>
          </w:tcPr>
          <w:p>
            <w:pPr>
              <w:spacing w:after="0" w:line="20" w:lineRule="exact"/>
              <w:rPr>
                <w:sz w:val="1"/>
                <w:szCs w:val="1"/>
                <w:color w:val="auto"/>
              </w:rPr>
            </w:pPr>
          </w:p>
        </w:tc>
        <w:tc>
          <w:tcPr>
            <w:tcW w:w="3240" w:type="dxa"/>
            <w:vAlign w:val="bottom"/>
            <w:tcBorders>
              <w:bottom w:val="single" w:sz="8" w:color="404040"/>
            </w:tcBorders>
          </w:tcPr>
          <w:p>
            <w:pPr>
              <w:spacing w:after="0" w:line="20" w:lineRule="exact"/>
              <w:rPr>
                <w:sz w:val="1"/>
                <w:szCs w:val="1"/>
                <w:color w:val="auto"/>
              </w:rPr>
            </w:pPr>
          </w:p>
        </w:tc>
        <w:tc>
          <w:tcPr>
            <w:tcW w:w="3060" w:type="dxa"/>
            <w:vAlign w:val="bottom"/>
            <w:tcBorders>
              <w:bottom w:val="single" w:sz="8" w:color="404040"/>
            </w:tcBorders>
          </w:tcPr>
          <w:p>
            <w:pPr>
              <w:spacing w:after="0" w:line="20" w:lineRule="exact"/>
              <w:rPr>
                <w:sz w:val="1"/>
                <w:szCs w:val="1"/>
                <w:color w:val="auto"/>
              </w:rPr>
            </w:pPr>
          </w:p>
        </w:tc>
      </w:tr>
      <w:tr>
        <w:trPr>
          <w:trHeight w:val="217"/>
        </w:trPr>
        <w:tc>
          <w:tcPr>
            <w:tcW w:w="212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Richard Wong</w:t>
            </w:r>
          </w:p>
        </w:tc>
        <w:tc>
          <w:tcPr>
            <w:tcW w:w="3240" w:type="dxa"/>
            <w:vAlign w:val="bottom"/>
            <w:tcBorders>
              <w:bottom w:val="single" w:sz="8" w:color="404040"/>
            </w:tcBorders>
          </w:tcPr>
          <w:p>
            <w:pPr>
              <w:spacing w:after="0"/>
              <w:rPr>
                <w:sz w:val="18"/>
                <w:szCs w:val="18"/>
                <w:color w:val="auto"/>
              </w:rPr>
            </w:pPr>
          </w:p>
        </w:tc>
        <w:tc>
          <w:tcPr>
            <w:tcW w:w="3060" w:type="dxa"/>
            <w:vAlign w:val="bottom"/>
            <w:tcBorders>
              <w:bottom w:val="single" w:sz="8" w:color="404040"/>
            </w:tcBorders>
          </w:tcPr>
          <w:p>
            <w:pPr>
              <w:spacing w:after="0"/>
              <w:rPr>
                <w:sz w:val="18"/>
                <w:szCs w:val="18"/>
                <w:color w:val="auto"/>
              </w:rPr>
            </w:pPr>
          </w:p>
        </w:tc>
      </w:tr>
      <w:tr>
        <w:trPr>
          <w:trHeight w:val="208"/>
        </w:trPr>
        <w:tc>
          <w:tcPr>
            <w:tcW w:w="2120" w:type="dxa"/>
            <w:vAlign w:val="bottom"/>
          </w:tcPr>
          <w:p>
            <w:pPr>
              <w:ind w:left="200"/>
              <w:spacing w:after="0"/>
              <w:rPr>
                <w:sz w:val="20"/>
                <w:szCs w:val="20"/>
                <w:color w:val="auto"/>
              </w:rPr>
            </w:pPr>
            <w:r>
              <w:rPr>
                <w:rFonts w:ascii="Arial" w:cs="Arial" w:eastAsia="Arial" w:hAnsi="Arial"/>
                <w:sz w:val="14"/>
                <w:szCs w:val="14"/>
                <w:color w:val="auto"/>
              </w:rPr>
              <w:t>Severance Payment</w:t>
            </w:r>
          </w:p>
        </w:tc>
        <w:tc>
          <w:tcPr>
            <w:tcW w:w="3240" w:type="dxa"/>
            <w:vAlign w:val="bottom"/>
          </w:tcPr>
          <w:p>
            <w:pPr>
              <w:jc w:val="right"/>
              <w:ind w:right="348"/>
              <w:spacing w:after="0"/>
              <w:rPr>
                <w:sz w:val="20"/>
                <w:szCs w:val="20"/>
                <w:color w:val="auto"/>
              </w:rPr>
            </w:pPr>
            <w:r>
              <w:rPr>
                <w:rFonts w:ascii="Arial" w:cs="Arial" w:eastAsia="Arial" w:hAnsi="Arial"/>
                <w:sz w:val="14"/>
                <w:szCs w:val="14"/>
                <w:color w:val="auto"/>
              </w:rPr>
              <w:t>337,500</w:t>
            </w:r>
          </w:p>
        </w:tc>
        <w:tc>
          <w:tcPr>
            <w:tcW w:w="3060" w:type="dxa"/>
            <w:vAlign w:val="bottom"/>
          </w:tcPr>
          <w:p>
            <w:pPr>
              <w:jc w:val="right"/>
              <w:ind w:right="208"/>
              <w:spacing w:after="0"/>
              <w:rPr>
                <w:sz w:val="20"/>
                <w:szCs w:val="20"/>
                <w:color w:val="auto"/>
              </w:rPr>
            </w:pPr>
            <w:r>
              <w:rPr>
                <w:rFonts w:ascii="Arial" w:cs="Arial" w:eastAsia="Arial" w:hAnsi="Arial"/>
                <w:sz w:val="14"/>
                <w:szCs w:val="14"/>
                <w:color w:val="auto"/>
              </w:rPr>
              <w:t>765,000</w:t>
            </w:r>
          </w:p>
        </w:tc>
      </w:tr>
      <w:tr>
        <w:trPr>
          <w:trHeight w:val="22"/>
        </w:trPr>
        <w:tc>
          <w:tcPr>
            <w:tcW w:w="2120" w:type="dxa"/>
            <w:vAlign w:val="bottom"/>
            <w:tcBorders>
              <w:bottom w:val="single" w:sz="8" w:color="404040"/>
            </w:tcBorders>
          </w:tcPr>
          <w:p>
            <w:pPr>
              <w:spacing w:after="0" w:line="20" w:lineRule="exact"/>
              <w:rPr>
                <w:sz w:val="1"/>
                <w:szCs w:val="1"/>
                <w:color w:val="auto"/>
              </w:rPr>
            </w:pPr>
          </w:p>
        </w:tc>
        <w:tc>
          <w:tcPr>
            <w:tcW w:w="3240" w:type="dxa"/>
            <w:vAlign w:val="bottom"/>
            <w:tcBorders>
              <w:bottom w:val="single" w:sz="8" w:color="404040"/>
            </w:tcBorders>
          </w:tcPr>
          <w:p>
            <w:pPr>
              <w:spacing w:after="0" w:line="20" w:lineRule="exact"/>
              <w:rPr>
                <w:sz w:val="1"/>
                <w:szCs w:val="1"/>
                <w:color w:val="auto"/>
              </w:rPr>
            </w:pPr>
          </w:p>
        </w:tc>
        <w:tc>
          <w:tcPr>
            <w:tcW w:w="3060" w:type="dxa"/>
            <w:vAlign w:val="bottom"/>
            <w:tcBorders>
              <w:bottom w:val="single" w:sz="8" w:color="404040"/>
            </w:tcBorders>
          </w:tcPr>
          <w:p>
            <w:pPr>
              <w:spacing w:after="0" w:line="20" w:lineRule="exact"/>
              <w:rPr>
                <w:sz w:val="1"/>
                <w:szCs w:val="1"/>
                <w:color w:val="auto"/>
              </w:rPr>
            </w:pPr>
          </w:p>
        </w:tc>
      </w:tr>
      <w:tr>
        <w:trPr>
          <w:trHeight w:val="250"/>
        </w:trPr>
        <w:tc>
          <w:tcPr>
            <w:tcW w:w="2120" w:type="dxa"/>
            <w:vAlign w:val="bottom"/>
            <w:tcBorders>
              <w:bottom w:val="single" w:sz="8" w:color="404040"/>
            </w:tcBorders>
          </w:tcPr>
          <w:p>
            <w:pPr>
              <w:ind w:left="200"/>
              <w:spacing w:after="0" w:line="250"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3"/>
                <w:szCs w:val="23"/>
                <w:color w:val="auto"/>
                <w:vertAlign w:val="superscript"/>
              </w:rPr>
              <w:t>(1)</w:t>
            </w:r>
          </w:p>
        </w:tc>
        <w:tc>
          <w:tcPr>
            <w:tcW w:w="3240" w:type="dxa"/>
            <w:vAlign w:val="bottom"/>
            <w:tcBorders>
              <w:bottom w:val="single" w:sz="8" w:color="404040"/>
            </w:tcBorders>
          </w:tcPr>
          <w:p>
            <w:pPr>
              <w:ind w:left="2200"/>
              <w:spacing w:after="0" w:line="250" w:lineRule="exact"/>
              <w:rPr>
                <w:sz w:val="20"/>
                <w:szCs w:val="20"/>
                <w:color w:val="auto"/>
              </w:rPr>
            </w:pPr>
            <w:r>
              <w:rPr>
                <w:rFonts w:ascii="Arial" w:cs="Arial" w:eastAsia="Arial" w:hAnsi="Arial"/>
                <w:sz w:val="14"/>
                <w:szCs w:val="14"/>
                <w:color w:val="auto"/>
              </w:rPr>
              <w:t>2,876,664</w:t>
            </w:r>
            <w:r>
              <w:rPr>
                <w:rFonts w:ascii="Arial" w:cs="Arial" w:eastAsia="Arial" w:hAnsi="Arial"/>
                <w:sz w:val="23"/>
                <w:szCs w:val="23"/>
                <w:color w:val="auto"/>
                <w:vertAlign w:val="superscript"/>
              </w:rPr>
              <w:t>(4)</w:t>
            </w:r>
          </w:p>
        </w:tc>
        <w:tc>
          <w:tcPr>
            <w:tcW w:w="3060" w:type="dxa"/>
            <w:vAlign w:val="bottom"/>
            <w:tcBorders>
              <w:bottom w:val="single" w:sz="8" w:color="404040"/>
            </w:tcBorders>
          </w:tcPr>
          <w:p>
            <w:pPr>
              <w:jc w:val="right"/>
              <w:ind w:right="48"/>
              <w:spacing w:after="0" w:line="250" w:lineRule="exact"/>
              <w:rPr>
                <w:sz w:val="20"/>
                <w:szCs w:val="20"/>
                <w:color w:val="auto"/>
              </w:rPr>
            </w:pPr>
            <w:r>
              <w:rPr>
                <w:rFonts w:ascii="Arial" w:cs="Arial" w:eastAsia="Arial" w:hAnsi="Arial"/>
                <w:sz w:val="14"/>
                <w:szCs w:val="14"/>
                <w:color w:val="auto"/>
              </w:rPr>
              <w:t>11,506,688</w:t>
            </w:r>
            <w:r>
              <w:rPr>
                <w:rFonts w:ascii="Arial" w:cs="Arial" w:eastAsia="Arial" w:hAnsi="Arial"/>
                <w:sz w:val="23"/>
                <w:szCs w:val="23"/>
                <w:color w:val="auto"/>
                <w:vertAlign w:val="superscript"/>
              </w:rPr>
              <w:t>(3)</w:t>
            </w:r>
          </w:p>
        </w:tc>
      </w:tr>
      <w:tr>
        <w:trPr>
          <w:trHeight w:val="201"/>
        </w:trPr>
        <w:tc>
          <w:tcPr>
            <w:tcW w:w="2120" w:type="dxa"/>
            <w:vAlign w:val="bottom"/>
          </w:tcPr>
          <w:p>
            <w:pPr>
              <w:ind w:left="200"/>
              <w:spacing w:after="0"/>
              <w:rPr>
                <w:sz w:val="20"/>
                <w:szCs w:val="20"/>
                <w:color w:val="auto"/>
              </w:rPr>
            </w:pPr>
            <w:r>
              <w:rPr>
                <w:rFonts w:ascii="Arial" w:cs="Arial" w:eastAsia="Arial" w:hAnsi="Arial"/>
                <w:sz w:val="14"/>
                <w:szCs w:val="14"/>
                <w:color w:val="auto"/>
              </w:rPr>
              <w:t>Company-paid premiums</w:t>
            </w:r>
          </w:p>
        </w:tc>
        <w:tc>
          <w:tcPr>
            <w:tcW w:w="3240" w:type="dxa"/>
            <w:vAlign w:val="bottom"/>
          </w:tcPr>
          <w:p>
            <w:pPr>
              <w:ind w:left="2380"/>
              <w:spacing w:after="0"/>
              <w:rPr>
                <w:sz w:val="20"/>
                <w:szCs w:val="20"/>
                <w:color w:val="auto"/>
              </w:rPr>
            </w:pPr>
            <w:r>
              <w:rPr>
                <w:rFonts w:ascii="Arial" w:cs="Arial" w:eastAsia="Arial" w:hAnsi="Arial"/>
                <w:sz w:val="14"/>
                <w:szCs w:val="14"/>
                <w:color w:val="auto"/>
              </w:rPr>
              <w:t>32,560</w:t>
            </w:r>
          </w:p>
        </w:tc>
        <w:tc>
          <w:tcPr>
            <w:tcW w:w="3060" w:type="dxa"/>
            <w:vAlign w:val="bottom"/>
          </w:tcPr>
          <w:p>
            <w:pPr>
              <w:jc w:val="right"/>
              <w:ind w:right="208"/>
              <w:spacing w:after="0"/>
              <w:rPr>
                <w:sz w:val="20"/>
                <w:szCs w:val="20"/>
                <w:color w:val="auto"/>
              </w:rPr>
            </w:pPr>
            <w:r>
              <w:rPr>
                <w:rFonts w:ascii="Arial" w:cs="Arial" w:eastAsia="Arial" w:hAnsi="Arial"/>
                <w:sz w:val="14"/>
                <w:szCs w:val="14"/>
                <w:color w:val="auto"/>
              </w:rPr>
              <w:t>43,414</w:t>
            </w:r>
          </w:p>
        </w:tc>
      </w:tr>
      <w:tr>
        <w:trPr>
          <w:trHeight w:val="22"/>
        </w:trPr>
        <w:tc>
          <w:tcPr>
            <w:tcW w:w="2120" w:type="dxa"/>
            <w:vAlign w:val="bottom"/>
            <w:tcBorders>
              <w:bottom w:val="single" w:sz="8" w:color="404040"/>
            </w:tcBorders>
          </w:tcPr>
          <w:p>
            <w:pPr>
              <w:spacing w:after="0" w:line="20" w:lineRule="exact"/>
              <w:rPr>
                <w:sz w:val="1"/>
                <w:szCs w:val="1"/>
                <w:color w:val="auto"/>
              </w:rPr>
            </w:pPr>
          </w:p>
        </w:tc>
        <w:tc>
          <w:tcPr>
            <w:tcW w:w="3240" w:type="dxa"/>
            <w:vAlign w:val="bottom"/>
            <w:tcBorders>
              <w:bottom w:val="single" w:sz="8" w:color="404040"/>
            </w:tcBorders>
          </w:tcPr>
          <w:p>
            <w:pPr>
              <w:spacing w:after="0" w:line="20" w:lineRule="exact"/>
              <w:rPr>
                <w:sz w:val="1"/>
                <w:szCs w:val="1"/>
                <w:color w:val="auto"/>
              </w:rPr>
            </w:pPr>
          </w:p>
        </w:tc>
        <w:tc>
          <w:tcPr>
            <w:tcW w:w="3060" w:type="dxa"/>
            <w:vAlign w:val="bottom"/>
            <w:tcBorders>
              <w:bottom w:val="single" w:sz="8" w:color="404040"/>
            </w:tcBorders>
          </w:tcPr>
          <w:p>
            <w:pPr>
              <w:spacing w:after="0" w:line="20" w:lineRule="exact"/>
              <w:rPr>
                <w:sz w:val="1"/>
                <w:szCs w:val="1"/>
                <w:color w:val="auto"/>
              </w:rPr>
            </w:pPr>
          </w:p>
        </w:tc>
      </w:tr>
      <w:tr>
        <w:trPr>
          <w:trHeight w:val="202"/>
        </w:trPr>
        <w:tc>
          <w:tcPr>
            <w:tcW w:w="2120" w:type="dxa"/>
            <w:vAlign w:val="bottom"/>
          </w:tcPr>
          <w:p>
            <w:pPr>
              <w:ind w:left="200"/>
              <w:spacing w:after="0"/>
              <w:rPr>
                <w:sz w:val="20"/>
                <w:szCs w:val="20"/>
                <w:color w:val="auto"/>
              </w:rPr>
            </w:pPr>
            <w:r>
              <w:rPr>
                <w:rFonts w:ascii="Arial" w:cs="Arial" w:eastAsia="Arial" w:hAnsi="Arial"/>
                <w:sz w:val="14"/>
                <w:szCs w:val="14"/>
                <w:color w:val="auto"/>
              </w:rPr>
              <w:t>Total</w:t>
            </w:r>
          </w:p>
        </w:tc>
        <w:tc>
          <w:tcPr>
            <w:tcW w:w="3240" w:type="dxa"/>
            <w:vAlign w:val="bottom"/>
          </w:tcPr>
          <w:p>
            <w:pPr>
              <w:ind w:left="2200"/>
              <w:spacing w:after="0"/>
              <w:rPr>
                <w:sz w:val="20"/>
                <w:szCs w:val="20"/>
                <w:color w:val="auto"/>
              </w:rPr>
            </w:pPr>
            <w:r>
              <w:rPr>
                <w:rFonts w:ascii="Arial" w:cs="Arial" w:eastAsia="Arial" w:hAnsi="Arial"/>
                <w:sz w:val="14"/>
                <w:szCs w:val="14"/>
                <w:color w:val="auto"/>
              </w:rPr>
              <w:t>3,246,725</w:t>
            </w:r>
          </w:p>
        </w:tc>
        <w:tc>
          <w:tcPr>
            <w:tcW w:w="3060" w:type="dxa"/>
            <w:vAlign w:val="bottom"/>
          </w:tcPr>
          <w:p>
            <w:pPr>
              <w:jc w:val="right"/>
              <w:ind w:right="188"/>
              <w:spacing w:after="0"/>
              <w:rPr>
                <w:sz w:val="20"/>
                <w:szCs w:val="20"/>
                <w:color w:val="auto"/>
              </w:rPr>
            </w:pPr>
            <w:r>
              <w:rPr>
                <w:rFonts w:ascii="Arial" w:cs="Arial" w:eastAsia="Arial" w:hAnsi="Arial"/>
                <w:sz w:val="14"/>
                <w:szCs w:val="14"/>
                <w:color w:val="auto"/>
              </w:rPr>
              <w:t>12,315,102</w:t>
            </w:r>
          </w:p>
        </w:tc>
      </w:tr>
      <w:tr>
        <w:trPr>
          <w:trHeight w:val="22"/>
        </w:trPr>
        <w:tc>
          <w:tcPr>
            <w:tcW w:w="2120" w:type="dxa"/>
            <w:vAlign w:val="bottom"/>
            <w:tcBorders>
              <w:bottom w:val="single" w:sz="8" w:color="404040"/>
            </w:tcBorders>
          </w:tcPr>
          <w:p>
            <w:pPr>
              <w:spacing w:after="0" w:line="20" w:lineRule="exact"/>
              <w:rPr>
                <w:sz w:val="1"/>
                <w:szCs w:val="1"/>
                <w:color w:val="auto"/>
              </w:rPr>
            </w:pPr>
          </w:p>
        </w:tc>
        <w:tc>
          <w:tcPr>
            <w:tcW w:w="3240" w:type="dxa"/>
            <w:vAlign w:val="bottom"/>
            <w:tcBorders>
              <w:bottom w:val="single" w:sz="8" w:color="404040"/>
            </w:tcBorders>
          </w:tcPr>
          <w:p>
            <w:pPr>
              <w:spacing w:after="0" w:line="20" w:lineRule="exact"/>
              <w:rPr>
                <w:sz w:val="1"/>
                <w:szCs w:val="1"/>
                <w:color w:val="auto"/>
              </w:rPr>
            </w:pPr>
          </w:p>
        </w:tc>
        <w:tc>
          <w:tcPr>
            <w:tcW w:w="3060" w:type="dxa"/>
            <w:vAlign w:val="bottom"/>
            <w:tcBorders>
              <w:bottom w:val="single" w:sz="8" w:color="404040"/>
            </w:tcBorders>
          </w:tcPr>
          <w:p>
            <w:pPr>
              <w:spacing w:after="0" w:line="20" w:lineRule="exact"/>
              <w:rPr>
                <w:sz w:val="1"/>
                <w:szCs w:val="1"/>
                <w:color w:val="auto"/>
              </w:rPr>
            </w:pPr>
          </w:p>
        </w:tc>
      </w:tr>
      <w:tr>
        <w:trPr>
          <w:trHeight w:val="216"/>
        </w:trPr>
        <w:tc>
          <w:tcPr>
            <w:tcW w:w="212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Scott Lovett</w:t>
            </w:r>
          </w:p>
        </w:tc>
        <w:tc>
          <w:tcPr>
            <w:tcW w:w="3240" w:type="dxa"/>
            <w:vAlign w:val="bottom"/>
            <w:tcBorders>
              <w:bottom w:val="single" w:sz="8" w:color="404040"/>
            </w:tcBorders>
          </w:tcPr>
          <w:p>
            <w:pPr>
              <w:spacing w:after="0"/>
              <w:rPr>
                <w:sz w:val="18"/>
                <w:szCs w:val="18"/>
                <w:color w:val="auto"/>
              </w:rPr>
            </w:pPr>
          </w:p>
        </w:tc>
        <w:tc>
          <w:tcPr>
            <w:tcW w:w="3060" w:type="dxa"/>
            <w:vAlign w:val="bottom"/>
            <w:tcBorders>
              <w:bottom w:val="single" w:sz="8" w:color="404040"/>
            </w:tcBorders>
          </w:tcPr>
          <w:p>
            <w:pPr>
              <w:spacing w:after="0"/>
              <w:rPr>
                <w:sz w:val="18"/>
                <w:szCs w:val="18"/>
                <w:color w:val="auto"/>
              </w:rPr>
            </w:pPr>
          </w:p>
        </w:tc>
      </w:tr>
      <w:tr>
        <w:trPr>
          <w:trHeight w:val="208"/>
        </w:trPr>
        <w:tc>
          <w:tcPr>
            <w:tcW w:w="2120" w:type="dxa"/>
            <w:vAlign w:val="bottom"/>
          </w:tcPr>
          <w:p>
            <w:pPr>
              <w:ind w:left="200"/>
              <w:spacing w:after="0"/>
              <w:rPr>
                <w:sz w:val="20"/>
                <w:szCs w:val="20"/>
                <w:color w:val="auto"/>
              </w:rPr>
            </w:pPr>
            <w:r>
              <w:rPr>
                <w:rFonts w:ascii="Arial" w:cs="Arial" w:eastAsia="Arial" w:hAnsi="Arial"/>
                <w:sz w:val="14"/>
                <w:szCs w:val="14"/>
                <w:color w:val="auto"/>
              </w:rPr>
              <w:t>Severance Payment</w:t>
            </w:r>
          </w:p>
        </w:tc>
        <w:tc>
          <w:tcPr>
            <w:tcW w:w="3240" w:type="dxa"/>
            <w:vAlign w:val="bottom"/>
          </w:tcPr>
          <w:p>
            <w:pPr>
              <w:jc w:val="right"/>
              <w:ind w:right="348"/>
              <w:spacing w:after="0"/>
              <w:rPr>
                <w:sz w:val="20"/>
                <w:szCs w:val="20"/>
                <w:color w:val="auto"/>
              </w:rPr>
            </w:pPr>
            <w:r>
              <w:rPr>
                <w:rFonts w:ascii="Arial" w:cs="Arial" w:eastAsia="Arial" w:hAnsi="Arial"/>
                <w:sz w:val="14"/>
                <w:szCs w:val="14"/>
                <w:color w:val="auto"/>
              </w:rPr>
              <w:t>337,500</w:t>
            </w:r>
          </w:p>
        </w:tc>
        <w:tc>
          <w:tcPr>
            <w:tcW w:w="3060" w:type="dxa"/>
            <w:vAlign w:val="bottom"/>
          </w:tcPr>
          <w:p>
            <w:pPr>
              <w:jc w:val="right"/>
              <w:ind w:right="208"/>
              <w:spacing w:after="0"/>
              <w:rPr>
                <w:sz w:val="20"/>
                <w:szCs w:val="20"/>
                <w:color w:val="auto"/>
              </w:rPr>
            </w:pPr>
            <w:r>
              <w:rPr>
                <w:rFonts w:ascii="Arial" w:cs="Arial" w:eastAsia="Arial" w:hAnsi="Arial"/>
                <w:sz w:val="14"/>
                <w:szCs w:val="14"/>
                <w:color w:val="auto"/>
              </w:rPr>
              <w:t>450,000</w:t>
            </w:r>
          </w:p>
        </w:tc>
      </w:tr>
      <w:tr>
        <w:trPr>
          <w:trHeight w:val="22"/>
        </w:trPr>
        <w:tc>
          <w:tcPr>
            <w:tcW w:w="2120" w:type="dxa"/>
            <w:vAlign w:val="bottom"/>
            <w:tcBorders>
              <w:bottom w:val="single" w:sz="8" w:color="404040"/>
            </w:tcBorders>
          </w:tcPr>
          <w:p>
            <w:pPr>
              <w:spacing w:after="0" w:line="20" w:lineRule="exact"/>
              <w:rPr>
                <w:sz w:val="1"/>
                <w:szCs w:val="1"/>
                <w:color w:val="auto"/>
              </w:rPr>
            </w:pPr>
          </w:p>
        </w:tc>
        <w:tc>
          <w:tcPr>
            <w:tcW w:w="3240" w:type="dxa"/>
            <w:vAlign w:val="bottom"/>
            <w:tcBorders>
              <w:bottom w:val="single" w:sz="8" w:color="404040"/>
            </w:tcBorders>
          </w:tcPr>
          <w:p>
            <w:pPr>
              <w:spacing w:after="0" w:line="20" w:lineRule="exact"/>
              <w:rPr>
                <w:sz w:val="1"/>
                <w:szCs w:val="1"/>
                <w:color w:val="auto"/>
              </w:rPr>
            </w:pPr>
          </w:p>
        </w:tc>
        <w:tc>
          <w:tcPr>
            <w:tcW w:w="3060" w:type="dxa"/>
            <w:vAlign w:val="bottom"/>
            <w:tcBorders>
              <w:bottom w:val="single" w:sz="8" w:color="404040"/>
            </w:tcBorders>
          </w:tcPr>
          <w:p>
            <w:pPr>
              <w:spacing w:after="0" w:line="20" w:lineRule="exact"/>
              <w:rPr>
                <w:sz w:val="1"/>
                <w:szCs w:val="1"/>
                <w:color w:val="auto"/>
              </w:rPr>
            </w:pPr>
          </w:p>
        </w:tc>
      </w:tr>
      <w:tr>
        <w:trPr>
          <w:trHeight w:val="250"/>
        </w:trPr>
        <w:tc>
          <w:tcPr>
            <w:tcW w:w="2120" w:type="dxa"/>
            <w:vAlign w:val="bottom"/>
            <w:tcBorders>
              <w:bottom w:val="single" w:sz="8" w:color="404040"/>
            </w:tcBorders>
          </w:tcPr>
          <w:p>
            <w:pPr>
              <w:ind w:left="200"/>
              <w:spacing w:after="0" w:line="250" w:lineRule="exact"/>
              <w:rPr>
                <w:sz w:val="20"/>
                <w:szCs w:val="20"/>
                <w:color w:val="auto"/>
              </w:rPr>
            </w:pPr>
            <w:r>
              <w:rPr>
                <w:rFonts w:ascii="Arial" w:cs="Arial" w:eastAsia="Arial" w:hAnsi="Arial"/>
                <w:sz w:val="14"/>
                <w:szCs w:val="14"/>
                <w:color w:val="auto"/>
              </w:rPr>
              <w:t>Equity Acceleration</w:t>
            </w:r>
            <w:r>
              <w:rPr>
                <w:rFonts w:ascii="Arial" w:cs="Arial" w:eastAsia="Arial" w:hAnsi="Arial"/>
                <w:sz w:val="23"/>
                <w:szCs w:val="23"/>
                <w:color w:val="auto"/>
                <w:vertAlign w:val="superscript"/>
              </w:rPr>
              <w:t>(1)</w:t>
            </w:r>
          </w:p>
        </w:tc>
        <w:tc>
          <w:tcPr>
            <w:tcW w:w="3240" w:type="dxa"/>
            <w:vAlign w:val="bottom"/>
            <w:tcBorders>
              <w:bottom w:val="single" w:sz="8" w:color="404040"/>
            </w:tcBorders>
          </w:tcPr>
          <w:p>
            <w:pPr>
              <w:ind w:left="2200"/>
              <w:spacing w:after="0" w:line="250" w:lineRule="exact"/>
              <w:rPr>
                <w:sz w:val="20"/>
                <w:szCs w:val="20"/>
                <w:color w:val="auto"/>
              </w:rPr>
            </w:pPr>
            <w:r>
              <w:rPr>
                <w:rFonts w:ascii="Arial" w:cs="Arial" w:eastAsia="Arial" w:hAnsi="Arial"/>
                <w:sz w:val="14"/>
                <w:szCs w:val="14"/>
                <w:color w:val="auto"/>
              </w:rPr>
              <w:t>5,649,890</w:t>
            </w:r>
            <w:r>
              <w:rPr>
                <w:rFonts w:ascii="Arial" w:cs="Arial" w:eastAsia="Arial" w:hAnsi="Arial"/>
                <w:sz w:val="23"/>
                <w:szCs w:val="23"/>
                <w:color w:val="auto"/>
                <w:vertAlign w:val="superscript"/>
              </w:rPr>
              <w:t>(4)</w:t>
            </w:r>
          </w:p>
        </w:tc>
        <w:tc>
          <w:tcPr>
            <w:tcW w:w="3060" w:type="dxa"/>
            <w:vAlign w:val="bottom"/>
            <w:tcBorders>
              <w:bottom w:val="single" w:sz="8" w:color="404040"/>
            </w:tcBorders>
          </w:tcPr>
          <w:p>
            <w:pPr>
              <w:jc w:val="right"/>
              <w:ind w:right="28"/>
              <w:spacing w:after="0" w:line="250" w:lineRule="exact"/>
              <w:rPr>
                <w:sz w:val="20"/>
                <w:szCs w:val="20"/>
                <w:color w:val="auto"/>
              </w:rPr>
            </w:pPr>
            <w:r>
              <w:rPr>
                <w:rFonts w:ascii="Arial" w:cs="Arial" w:eastAsia="Arial" w:hAnsi="Arial"/>
                <w:sz w:val="14"/>
                <w:szCs w:val="14"/>
                <w:color w:val="auto"/>
              </w:rPr>
              <w:t>15,165,197</w:t>
            </w:r>
            <w:r>
              <w:rPr>
                <w:rFonts w:ascii="Arial" w:cs="Arial" w:eastAsia="Arial" w:hAnsi="Arial"/>
                <w:sz w:val="23"/>
                <w:szCs w:val="23"/>
                <w:color w:val="auto"/>
                <w:vertAlign w:val="superscript"/>
              </w:rPr>
              <w:t>(3)</w:t>
            </w:r>
          </w:p>
        </w:tc>
      </w:tr>
      <w:tr>
        <w:trPr>
          <w:trHeight w:val="201"/>
        </w:trPr>
        <w:tc>
          <w:tcPr>
            <w:tcW w:w="2120" w:type="dxa"/>
            <w:vAlign w:val="bottom"/>
          </w:tcPr>
          <w:p>
            <w:pPr>
              <w:ind w:left="200"/>
              <w:spacing w:after="0"/>
              <w:rPr>
                <w:sz w:val="20"/>
                <w:szCs w:val="20"/>
                <w:color w:val="auto"/>
              </w:rPr>
            </w:pPr>
            <w:r>
              <w:rPr>
                <w:rFonts w:ascii="Arial" w:cs="Arial" w:eastAsia="Arial" w:hAnsi="Arial"/>
                <w:sz w:val="14"/>
                <w:szCs w:val="14"/>
                <w:color w:val="auto"/>
              </w:rPr>
              <w:t>Company-paid premiums</w:t>
            </w:r>
          </w:p>
        </w:tc>
        <w:tc>
          <w:tcPr>
            <w:tcW w:w="3240" w:type="dxa"/>
            <w:vAlign w:val="bottom"/>
          </w:tcPr>
          <w:p>
            <w:pPr>
              <w:jc w:val="right"/>
              <w:ind w:right="348"/>
              <w:spacing w:after="0"/>
              <w:rPr>
                <w:sz w:val="20"/>
                <w:szCs w:val="20"/>
                <w:color w:val="auto"/>
              </w:rPr>
            </w:pPr>
            <w:r>
              <w:rPr>
                <w:rFonts w:ascii="Arial" w:cs="Arial" w:eastAsia="Arial" w:hAnsi="Arial"/>
                <w:sz w:val="14"/>
                <w:szCs w:val="14"/>
                <w:color w:val="auto"/>
              </w:rPr>
              <w:t>32,104</w:t>
            </w:r>
          </w:p>
        </w:tc>
        <w:tc>
          <w:tcPr>
            <w:tcW w:w="3060" w:type="dxa"/>
            <w:vAlign w:val="bottom"/>
          </w:tcPr>
          <w:p>
            <w:pPr>
              <w:jc w:val="right"/>
              <w:ind w:right="208"/>
              <w:spacing w:after="0"/>
              <w:rPr>
                <w:sz w:val="20"/>
                <w:szCs w:val="20"/>
                <w:color w:val="auto"/>
              </w:rPr>
            </w:pPr>
            <w:r>
              <w:rPr>
                <w:rFonts w:ascii="Arial" w:cs="Arial" w:eastAsia="Arial" w:hAnsi="Arial"/>
                <w:sz w:val="14"/>
                <w:szCs w:val="14"/>
                <w:color w:val="auto"/>
              </w:rPr>
              <w:t>42,805</w:t>
            </w:r>
          </w:p>
        </w:tc>
      </w:tr>
      <w:tr>
        <w:trPr>
          <w:trHeight w:val="22"/>
        </w:trPr>
        <w:tc>
          <w:tcPr>
            <w:tcW w:w="2120" w:type="dxa"/>
            <w:vAlign w:val="bottom"/>
            <w:tcBorders>
              <w:bottom w:val="single" w:sz="8" w:color="404040"/>
            </w:tcBorders>
          </w:tcPr>
          <w:p>
            <w:pPr>
              <w:spacing w:after="0" w:line="20" w:lineRule="exact"/>
              <w:rPr>
                <w:sz w:val="1"/>
                <w:szCs w:val="1"/>
                <w:color w:val="auto"/>
              </w:rPr>
            </w:pPr>
          </w:p>
        </w:tc>
        <w:tc>
          <w:tcPr>
            <w:tcW w:w="3240" w:type="dxa"/>
            <w:vAlign w:val="bottom"/>
            <w:tcBorders>
              <w:bottom w:val="single" w:sz="8" w:color="404040"/>
            </w:tcBorders>
          </w:tcPr>
          <w:p>
            <w:pPr>
              <w:spacing w:after="0" w:line="20" w:lineRule="exact"/>
              <w:rPr>
                <w:sz w:val="1"/>
                <w:szCs w:val="1"/>
                <w:color w:val="auto"/>
              </w:rPr>
            </w:pPr>
          </w:p>
        </w:tc>
        <w:tc>
          <w:tcPr>
            <w:tcW w:w="3060" w:type="dxa"/>
            <w:vAlign w:val="bottom"/>
            <w:tcBorders>
              <w:bottom w:val="single" w:sz="8" w:color="404040"/>
            </w:tcBorders>
          </w:tcPr>
          <w:p>
            <w:pPr>
              <w:spacing w:after="0" w:line="20" w:lineRule="exact"/>
              <w:rPr>
                <w:sz w:val="1"/>
                <w:szCs w:val="1"/>
                <w:color w:val="auto"/>
              </w:rPr>
            </w:pPr>
          </w:p>
        </w:tc>
      </w:tr>
      <w:tr>
        <w:trPr>
          <w:trHeight w:val="183"/>
        </w:trPr>
        <w:tc>
          <w:tcPr>
            <w:tcW w:w="2120" w:type="dxa"/>
            <w:vAlign w:val="bottom"/>
            <w:tcBorders>
              <w:bottom w:val="single" w:sz="8" w:color="404040"/>
            </w:tcBorders>
          </w:tcPr>
          <w:p>
            <w:pPr>
              <w:ind w:left="200"/>
              <w:spacing w:after="0"/>
              <w:rPr>
                <w:sz w:val="20"/>
                <w:szCs w:val="20"/>
                <w:color w:val="auto"/>
              </w:rPr>
            </w:pPr>
            <w:r>
              <w:rPr>
                <w:rFonts w:ascii="Arial" w:cs="Arial" w:eastAsia="Arial" w:hAnsi="Arial"/>
                <w:sz w:val="14"/>
                <w:szCs w:val="14"/>
                <w:color w:val="auto"/>
              </w:rPr>
              <w:t>Total</w:t>
            </w:r>
          </w:p>
        </w:tc>
        <w:tc>
          <w:tcPr>
            <w:tcW w:w="3240" w:type="dxa"/>
            <w:vAlign w:val="bottom"/>
            <w:tcBorders>
              <w:bottom w:val="single" w:sz="8" w:color="404040"/>
            </w:tcBorders>
          </w:tcPr>
          <w:p>
            <w:pPr>
              <w:ind w:left="2200"/>
              <w:spacing w:after="0"/>
              <w:rPr>
                <w:sz w:val="20"/>
                <w:szCs w:val="20"/>
                <w:color w:val="auto"/>
              </w:rPr>
            </w:pPr>
            <w:r>
              <w:rPr>
                <w:rFonts w:ascii="Arial" w:cs="Arial" w:eastAsia="Arial" w:hAnsi="Arial"/>
                <w:sz w:val="14"/>
                <w:szCs w:val="14"/>
                <w:color w:val="auto"/>
              </w:rPr>
              <w:t>6,019,494</w:t>
            </w:r>
          </w:p>
        </w:tc>
        <w:tc>
          <w:tcPr>
            <w:tcW w:w="3060" w:type="dxa"/>
            <w:vAlign w:val="bottom"/>
            <w:tcBorders>
              <w:bottom w:val="single" w:sz="8" w:color="404040"/>
            </w:tcBorders>
          </w:tcPr>
          <w:p>
            <w:pPr>
              <w:jc w:val="right"/>
              <w:ind w:right="188"/>
              <w:spacing w:after="0"/>
              <w:rPr>
                <w:sz w:val="20"/>
                <w:szCs w:val="20"/>
                <w:color w:val="auto"/>
              </w:rPr>
            </w:pPr>
            <w:r>
              <w:rPr>
                <w:rFonts w:ascii="Arial" w:cs="Arial" w:eastAsia="Arial" w:hAnsi="Arial"/>
                <w:sz w:val="14"/>
                <w:szCs w:val="14"/>
                <w:color w:val="auto"/>
              </w:rPr>
              <w:t>15,658,002</w:t>
            </w:r>
          </w:p>
        </w:tc>
      </w:tr>
    </w:tbl>
    <w:p>
      <w:pPr>
        <w:spacing w:after="0" w:line="252" w:lineRule="exact"/>
        <w:rPr>
          <w:sz w:val="20"/>
          <w:szCs w:val="20"/>
          <w:color w:val="auto"/>
        </w:rPr>
      </w:pPr>
    </w:p>
    <w:p>
      <w:pPr>
        <w:jc w:val="both"/>
        <w:ind w:left="1000" w:right="319" w:hanging="348"/>
        <w:spacing w:after="0" w:line="233" w:lineRule="auto"/>
        <w:tabs>
          <w:tab w:leader="none" w:pos="10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Represents the market value of the shares underlying the stock options and RSUs as of December 31, 2025, based on the closing price of our common stock, as reported on Nasdaq, of $10.18 per share on December 31, 2025, the last trading day in 2025 minus, in the case of stock options, the exercise price of the unvested stock option shares subject to acceleration.</w:t>
      </w:r>
    </w:p>
    <w:p>
      <w:pPr>
        <w:spacing w:after="0" w:line="10" w:lineRule="exact"/>
        <w:rPr>
          <w:rFonts w:ascii="Arial" w:cs="Arial" w:eastAsia="Arial" w:hAnsi="Arial"/>
          <w:sz w:val="13"/>
          <w:szCs w:val="13"/>
          <w:color w:val="auto"/>
        </w:rPr>
      </w:pPr>
    </w:p>
    <w:p>
      <w:pPr>
        <w:ind w:left="1000" w:right="299" w:hanging="348"/>
        <w:spacing w:after="0" w:line="243" w:lineRule="auto"/>
        <w:tabs>
          <w:tab w:leader="none" w:pos="10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Represents 12 months of accelerated vesting of the total number of shares underlying outstanding and unvested time-based equity awards. For equity awards subject to performance conditions, the performance conditions have been deemed satisfied based on actual achievement.</w:t>
      </w:r>
    </w:p>
    <w:p>
      <w:pPr>
        <w:spacing w:after="0" w:line="7" w:lineRule="exact"/>
        <w:rPr>
          <w:rFonts w:ascii="Arial" w:cs="Arial" w:eastAsia="Arial" w:hAnsi="Arial"/>
          <w:sz w:val="13"/>
          <w:szCs w:val="13"/>
          <w:color w:val="auto"/>
        </w:rPr>
      </w:pPr>
    </w:p>
    <w:p>
      <w:pPr>
        <w:ind w:left="1000" w:right="319" w:hanging="348"/>
        <w:spacing w:after="0" w:line="241" w:lineRule="auto"/>
        <w:tabs>
          <w:tab w:leader="none" w:pos="10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Represents 100% accelerated vesting of the total number of shares underlying outstanding and unvested time-based equity awards. For equity awards subject to performance conditions, the performance conditions have been deemed satisfied based on actual achievement.</w:t>
      </w:r>
    </w:p>
    <w:p>
      <w:pPr>
        <w:ind w:left="1000" w:right="319" w:hanging="348"/>
        <w:spacing w:after="0" w:line="276" w:lineRule="auto"/>
        <w:tabs>
          <w:tab w:leader="none" w:pos="1000" w:val="left"/>
        </w:tabs>
        <w:numPr>
          <w:ilvl w:val="0"/>
          <w:numId w:val="50"/>
        </w:numPr>
        <w:rPr>
          <w:rFonts w:ascii="Arial" w:cs="Arial" w:eastAsia="Arial" w:hAnsi="Arial"/>
          <w:sz w:val="12"/>
          <w:szCs w:val="12"/>
          <w:color w:val="auto"/>
        </w:rPr>
      </w:pPr>
      <w:r>
        <w:rPr>
          <w:rFonts w:ascii="Arial" w:cs="Arial" w:eastAsia="Arial" w:hAnsi="Arial"/>
          <w:sz w:val="12"/>
          <w:szCs w:val="12"/>
          <w:color w:val="auto"/>
        </w:rPr>
        <w:t>Represents nine months of accelerated vesting of the total number of shares underlying outstanding and unvested time-based equity awards. For equity awards subject to performance conditions, the performance conditions have been deemed satisfied based on actual achievement.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56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820"/>
        <w:spacing w:after="0"/>
        <w:rPr>
          <w:sz w:val="20"/>
          <w:szCs w:val="20"/>
          <w:color w:val="auto"/>
        </w:rPr>
      </w:pPr>
      <w:r>
        <w:rPr>
          <w:rFonts w:ascii="Arial" w:cs="Arial" w:eastAsia="Arial" w:hAnsi="Arial"/>
          <w:sz w:val="22"/>
          <w:szCs w:val="22"/>
          <w:b w:val="1"/>
          <w:bCs w:val="1"/>
          <w:color w:val="EE3434"/>
        </w:rPr>
        <w:t>Pay vs. Performance</w:t>
      </w:r>
    </w:p>
    <w:p>
      <w:pPr>
        <w:spacing w:after="0" w:line="139" w:lineRule="exact"/>
        <w:rPr>
          <w:sz w:val="20"/>
          <w:szCs w:val="20"/>
          <w:color w:val="auto"/>
        </w:rPr>
      </w:pPr>
    </w:p>
    <w:p>
      <w:pPr>
        <w:jc w:val="both"/>
        <w:ind w:left="820" w:right="800"/>
        <w:spacing w:after="0" w:line="252" w:lineRule="auto"/>
        <w:rPr>
          <w:sz w:val="20"/>
          <w:szCs w:val="20"/>
          <w:color w:val="auto"/>
        </w:rPr>
      </w:pPr>
      <w:r>
        <w:rPr>
          <w:rFonts w:ascii="Arial" w:cs="Arial" w:eastAsia="Arial" w:hAnsi="Arial"/>
          <w:sz w:val="16"/>
          <w:szCs w:val="16"/>
          <w:color w:val="auto"/>
        </w:rPr>
        <w:t>As required by Item 402(v) of Regulation S-K, we are providing the following information about the relationship between executive compensation actually paid and certain financial performance measures of the Company. In accordance with applicable SEC rules, the adjustments described and quantified below were made to the values reported in the Summary Compensation table for each applicable year to determine the “actual” compensation paid to our Principal Executive Officers (“PEOs”) and the average “actual” compensation paid to our other Named Executive Officers (or “NEOs”). For further information concerning the Company’s variable pay-for-performance philosophy and how the Company aligns executive compensation with the Company’s performance, refer to “Executive Compensation – Compensation Discussion and Analysis.”</w:t>
      </w:r>
    </w:p>
    <w:p>
      <w:pPr>
        <w:spacing w:after="0" w:line="115" w:lineRule="exact"/>
        <w:rPr>
          <w:sz w:val="20"/>
          <w:szCs w:val="20"/>
          <w:color w:val="auto"/>
        </w:rPr>
      </w:pPr>
    </w:p>
    <w:p>
      <w:pPr>
        <w:jc w:val="both"/>
        <w:ind w:left="820" w:right="800"/>
        <w:spacing w:after="0" w:line="266" w:lineRule="auto"/>
        <w:rPr>
          <w:sz w:val="20"/>
          <w:szCs w:val="20"/>
          <w:color w:val="auto"/>
        </w:rPr>
      </w:pPr>
      <w:r>
        <w:rPr>
          <w:rFonts w:ascii="Arial" w:cs="Arial" w:eastAsia="Arial" w:hAnsi="Arial"/>
          <w:sz w:val="16"/>
          <w:szCs w:val="16"/>
          <w:color w:val="auto"/>
        </w:rPr>
        <w:t>The following table summarizes compensation values reported in the Summary Compensation Table for our PEO and the average for our other NEOs, as compared to “compensation actually paid” or “CAP” and the Company’s financial performance for the years ended December 31, 2025, 2024, 2023, 2022, and 2021: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6"/>
              </w:rPr>
              <w:t>Average</w:t>
            </w:r>
          </w:p>
        </w:tc>
        <w:tc>
          <w:tcPr>
            <w:tcW w:w="860" w:type="dxa"/>
            <w:vAlign w:val="bottom"/>
          </w:tcPr>
          <w:p>
            <w:pPr>
              <w:spacing w:after="0"/>
              <w:rPr>
                <w:sz w:val="10"/>
                <w:szCs w:val="10"/>
                <w:color w:val="auto"/>
              </w:rPr>
            </w:pPr>
          </w:p>
        </w:tc>
        <w:tc>
          <w:tcPr>
            <w:tcW w:w="14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7"/>
              </w:rPr>
              <w:t>Value of Initial Fixed $100</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46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98"/>
              </w:rPr>
              <w:t>Investment Based On:</w:t>
            </w: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40" w:type="dxa"/>
            <w:vAlign w:val="bottom"/>
          </w:tcPr>
          <w:p>
            <w:pPr>
              <w:spacing w:after="0"/>
              <w:rPr>
                <w:sz w:val="5"/>
                <w:szCs w:val="5"/>
                <w:color w:val="auto"/>
              </w:rPr>
            </w:pPr>
          </w:p>
        </w:tc>
        <w:tc>
          <w:tcPr>
            <w:tcW w:w="840" w:type="dxa"/>
            <w:vAlign w:val="bottom"/>
            <w:vMerge w:val="restart"/>
          </w:tcPr>
          <w:p>
            <w:pPr>
              <w:jc w:val="center"/>
              <w:spacing w:after="0" w:line="109" w:lineRule="exact"/>
              <w:rPr>
                <w:sz w:val="20"/>
                <w:szCs w:val="20"/>
                <w:color w:val="auto"/>
              </w:rPr>
            </w:pPr>
            <w:r>
              <w:rPr>
                <w:rFonts w:ascii="Arial" w:cs="Arial" w:eastAsia="Arial" w:hAnsi="Arial"/>
                <w:sz w:val="11"/>
                <w:szCs w:val="11"/>
                <w:b w:val="1"/>
                <w:bCs w:val="1"/>
                <w:color w:val="auto"/>
                <w:w w:val="99"/>
              </w:rPr>
              <w:t>Summary</w:t>
            </w:r>
          </w:p>
        </w:tc>
        <w:tc>
          <w:tcPr>
            <w:tcW w:w="880" w:type="dxa"/>
            <w:vAlign w:val="bottom"/>
          </w:tcPr>
          <w:p>
            <w:pPr>
              <w:spacing w:after="0"/>
              <w:rPr>
                <w:sz w:val="5"/>
                <w:szCs w:val="5"/>
                <w:color w:val="auto"/>
              </w:rPr>
            </w:pPr>
          </w:p>
        </w:tc>
        <w:tc>
          <w:tcPr>
            <w:tcW w:w="860" w:type="dxa"/>
            <w:vAlign w:val="bottom"/>
            <w:vMerge w:val="restart"/>
          </w:tcPr>
          <w:p>
            <w:pPr>
              <w:jc w:val="center"/>
              <w:spacing w:after="0" w:line="109" w:lineRule="exact"/>
              <w:rPr>
                <w:sz w:val="20"/>
                <w:szCs w:val="20"/>
                <w:color w:val="auto"/>
              </w:rPr>
            </w:pPr>
            <w:r>
              <w:rPr>
                <w:rFonts w:ascii="Arial" w:cs="Arial" w:eastAsia="Arial" w:hAnsi="Arial"/>
                <w:sz w:val="11"/>
                <w:szCs w:val="11"/>
                <w:b w:val="1"/>
                <w:bCs w:val="1"/>
                <w:color w:val="auto"/>
                <w:w w:val="99"/>
              </w:rPr>
              <w:t>Summary</w:t>
            </w:r>
          </w:p>
        </w:tc>
        <w:tc>
          <w:tcPr>
            <w:tcW w:w="920" w:type="dxa"/>
            <w:vAlign w:val="bottom"/>
          </w:tcPr>
          <w:p>
            <w:pPr>
              <w:spacing w:after="0"/>
              <w:rPr>
                <w:sz w:val="5"/>
                <w:szCs w:val="5"/>
                <w:color w:val="auto"/>
              </w:rPr>
            </w:pPr>
          </w:p>
        </w:tc>
        <w:tc>
          <w:tcPr>
            <w:tcW w:w="840" w:type="dxa"/>
            <w:vAlign w:val="bottom"/>
            <w:vMerge w:val="restart"/>
          </w:tcPr>
          <w:p>
            <w:pPr>
              <w:jc w:val="center"/>
              <w:spacing w:after="0" w:line="109" w:lineRule="exact"/>
              <w:rPr>
                <w:sz w:val="20"/>
                <w:szCs w:val="20"/>
                <w:color w:val="auto"/>
              </w:rPr>
            </w:pPr>
            <w:r>
              <w:rPr>
                <w:rFonts w:ascii="Arial" w:cs="Arial" w:eastAsia="Arial" w:hAnsi="Arial"/>
                <w:sz w:val="11"/>
                <w:szCs w:val="11"/>
                <w:b w:val="1"/>
                <w:bCs w:val="1"/>
                <w:color w:val="auto"/>
                <w:w w:val="95"/>
              </w:rPr>
              <w:t>Summary</w:t>
            </w:r>
          </w:p>
        </w:tc>
        <w:tc>
          <w:tcPr>
            <w:tcW w:w="840" w:type="dxa"/>
            <w:vAlign w:val="bottom"/>
          </w:tcPr>
          <w:p>
            <w:pPr>
              <w:spacing w:after="0"/>
              <w:rPr>
                <w:sz w:val="5"/>
                <w:szCs w:val="5"/>
                <w:color w:val="auto"/>
              </w:rPr>
            </w:pPr>
          </w:p>
        </w:tc>
        <w:tc>
          <w:tcPr>
            <w:tcW w:w="860" w:type="dxa"/>
            <w:vAlign w:val="bottom"/>
            <w:vMerge w:val="restart"/>
          </w:tcPr>
          <w:p>
            <w:pPr>
              <w:jc w:val="center"/>
              <w:spacing w:after="0" w:line="109" w:lineRule="exact"/>
              <w:rPr>
                <w:sz w:val="20"/>
                <w:szCs w:val="20"/>
                <w:color w:val="auto"/>
              </w:rPr>
            </w:pPr>
            <w:r>
              <w:rPr>
                <w:rFonts w:ascii="Arial" w:cs="Arial" w:eastAsia="Arial" w:hAnsi="Arial"/>
                <w:sz w:val="11"/>
                <w:szCs w:val="11"/>
                <w:b w:val="1"/>
                <w:bCs w:val="1"/>
                <w:color w:val="auto"/>
                <w:w w:val="99"/>
              </w:rPr>
              <w:t>Summary</w:t>
            </w:r>
          </w:p>
        </w:tc>
        <w:tc>
          <w:tcPr>
            <w:tcW w:w="860" w:type="dxa"/>
            <w:vAlign w:val="bottom"/>
            <w:vMerge w:val="restart"/>
          </w:tcPr>
          <w:p>
            <w:pPr>
              <w:jc w:val="center"/>
              <w:spacing w:after="0" w:line="109" w:lineRule="exact"/>
              <w:rPr>
                <w:sz w:val="20"/>
                <w:szCs w:val="20"/>
                <w:color w:val="auto"/>
              </w:rPr>
            </w:pPr>
            <w:r>
              <w:rPr>
                <w:rFonts w:ascii="Arial" w:cs="Arial" w:eastAsia="Arial" w:hAnsi="Arial"/>
                <w:sz w:val="11"/>
                <w:szCs w:val="11"/>
                <w:b w:val="1"/>
                <w:bCs w:val="1"/>
                <w:color w:val="auto"/>
              </w:rPr>
              <w:t>Average</w:t>
            </w:r>
          </w:p>
        </w:tc>
        <w:tc>
          <w:tcPr>
            <w:tcW w:w="760" w:type="dxa"/>
            <w:vAlign w:val="bottom"/>
            <w:tcBorders>
              <w:bottom w:val="single" w:sz="8" w:color="404040"/>
            </w:tcBorders>
          </w:tcPr>
          <w:p>
            <w:pPr>
              <w:spacing w:after="0"/>
              <w:rPr>
                <w:sz w:val="5"/>
                <w:szCs w:val="5"/>
                <w:color w:val="auto"/>
              </w:rPr>
            </w:pPr>
          </w:p>
        </w:tc>
        <w:tc>
          <w:tcPr>
            <w:tcW w:w="700" w:type="dxa"/>
            <w:vAlign w:val="bottom"/>
            <w:tcBorders>
              <w:bottom w:val="single" w:sz="8" w:color="404040"/>
            </w:tcBorders>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4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Compensation</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840" w:type="dxa"/>
            <w:vAlign w:val="bottom"/>
          </w:tcPr>
          <w:p>
            <w:pPr>
              <w:jc w:val="right"/>
              <w:ind w:right="4"/>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9"/>
              </w:rPr>
              <w:t>Compensation</w:t>
            </w:r>
          </w:p>
        </w:tc>
        <w:tc>
          <w:tcPr>
            <w:tcW w:w="76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Peer Group</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 w:type="dxa"/>
            <w:vAlign w:val="bottom"/>
          </w:tcPr>
          <w:p>
            <w:pPr>
              <w:spacing w:after="0"/>
              <w:rPr>
                <w:sz w:val="10"/>
                <w:szCs w:val="10"/>
                <w:color w:val="auto"/>
              </w:rPr>
            </w:pP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Table Total for</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Actually Paid</w:t>
            </w:r>
          </w:p>
        </w:tc>
        <w:tc>
          <w:tcPr>
            <w:tcW w:w="860" w:type="dxa"/>
            <w:vAlign w:val="bottom"/>
          </w:tcPr>
          <w:p>
            <w:pPr>
              <w:jc w:val="center"/>
              <w:ind w:right="4"/>
              <w:spacing w:after="0" w:line="122" w:lineRule="exact"/>
              <w:rPr>
                <w:sz w:val="20"/>
                <w:szCs w:val="20"/>
                <w:color w:val="auto"/>
              </w:rPr>
            </w:pPr>
            <w:r>
              <w:rPr>
                <w:rFonts w:ascii="Arial" w:cs="Arial" w:eastAsia="Arial" w:hAnsi="Arial"/>
                <w:sz w:val="11"/>
                <w:szCs w:val="11"/>
                <w:b w:val="1"/>
                <w:bCs w:val="1"/>
                <w:color w:val="auto"/>
                <w:w w:val="94"/>
              </w:rPr>
              <w:t>Table Total for</w:t>
            </w:r>
          </w:p>
        </w:tc>
        <w:tc>
          <w:tcPr>
            <w:tcW w:w="9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Actually Paid</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Table Total for</w:t>
            </w:r>
          </w:p>
        </w:tc>
        <w:tc>
          <w:tcPr>
            <w:tcW w:w="8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Actually Paid</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6"/>
              </w:rPr>
              <w:t>Table Total</w:t>
            </w:r>
          </w:p>
        </w:tc>
        <w:tc>
          <w:tcPr>
            <w:tcW w:w="8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Actually Paid</w:t>
            </w:r>
          </w:p>
        </w:tc>
        <w:tc>
          <w:tcPr>
            <w:tcW w:w="760" w:type="dxa"/>
            <w:vAlign w:val="bottom"/>
          </w:tcPr>
          <w:p>
            <w:pPr>
              <w:jc w:val="right"/>
              <w:ind w:right="4"/>
              <w:spacing w:after="0" w:line="122" w:lineRule="exact"/>
              <w:rPr>
                <w:sz w:val="20"/>
                <w:szCs w:val="20"/>
                <w:color w:val="auto"/>
              </w:rPr>
            </w:pPr>
            <w:r>
              <w:rPr>
                <w:rFonts w:ascii="Arial" w:cs="Arial" w:eastAsia="Arial" w:hAnsi="Arial"/>
                <w:sz w:val="11"/>
                <w:szCs w:val="11"/>
                <w:b w:val="1"/>
                <w:bCs w:val="1"/>
                <w:color w:val="auto"/>
              </w:rPr>
              <w:t>Total</w:t>
            </w:r>
          </w:p>
        </w:tc>
        <w:tc>
          <w:tcPr>
            <w:tcW w:w="70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Total</w:t>
            </w:r>
          </w:p>
        </w:tc>
        <w:tc>
          <w:tcPr>
            <w:tcW w:w="6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Net</w:t>
            </w: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8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8"/>
              </w:rPr>
              <w:t>Joshua</w:t>
            </w:r>
          </w:p>
        </w:tc>
        <w:tc>
          <w:tcPr>
            <w:tcW w:w="8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to Joshua</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4"/>
              </w:rPr>
              <w:t>PEO (Todd</w:t>
            </w:r>
          </w:p>
        </w:tc>
        <w:tc>
          <w:tcPr>
            <w:tcW w:w="92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9"/>
              </w:rPr>
              <w:t>to Todd</w:t>
            </w:r>
          </w:p>
        </w:tc>
        <w:tc>
          <w:tcPr>
            <w:tcW w:w="840" w:type="dxa"/>
            <w:vAlign w:val="bottom"/>
          </w:tcPr>
          <w:p>
            <w:pPr>
              <w:jc w:val="center"/>
              <w:ind w:right="4"/>
              <w:spacing w:after="0" w:line="108" w:lineRule="exact"/>
              <w:rPr>
                <w:sz w:val="20"/>
                <w:szCs w:val="20"/>
                <w:color w:val="auto"/>
              </w:rPr>
            </w:pPr>
            <w:r>
              <w:rPr>
                <w:rFonts w:ascii="Arial" w:cs="Arial" w:eastAsia="Arial" w:hAnsi="Arial"/>
                <w:sz w:val="11"/>
                <w:szCs w:val="11"/>
                <w:b w:val="1"/>
                <w:bCs w:val="1"/>
                <w:color w:val="auto"/>
                <w:w w:val="99"/>
              </w:rPr>
              <w:t>PEO (Charles</w:t>
            </w:r>
          </w:p>
        </w:tc>
        <w:tc>
          <w:tcPr>
            <w:tcW w:w="840" w:type="dxa"/>
            <w:vAlign w:val="bottom"/>
          </w:tcPr>
          <w:p>
            <w:pPr>
              <w:jc w:val="center"/>
              <w:ind w:right="4"/>
              <w:spacing w:after="0" w:line="108" w:lineRule="exact"/>
              <w:rPr>
                <w:sz w:val="20"/>
                <w:szCs w:val="20"/>
                <w:color w:val="auto"/>
              </w:rPr>
            </w:pPr>
            <w:r>
              <w:rPr>
                <w:rFonts w:ascii="Arial" w:cs="Arial" w:eastAsia="Arial" w:hAnsi="Arial"/>
                <w:sz w:val="11"/>
                <w:szCs w:val="11"/>
                <w:b w:val="1"/>
                <w:bCs w:val="1"/>
                <w:color w:val="auto"/>
              </w:rPr>
              <w:t>to Charles</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6"/>
              </w:rPr>
              <w:t>for Non-PEO</w:t>
            </w:r>
          </w:p>
        </w:tc>
        <w:tc>
          <w:tcPr>
            <w:tcW w:w="8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7"/>
              </w:rPr>
              <w:t>to Non-PEO</w:t>
            </w:r>
          </w:p>
        </w:tc>
        <w:tc>
          <w:tcPr>
            <w:tcW w:w="760" w:type="dxa"/>
            <w:vAlign w:val="bottom"/>
          </w:tcPr>
          <w:p>
            <w:pPr>
              <w:jc w:val="right"/>
              <w:ind w:right="4"/>
              <w:spacing w:after="0" w:line="108" w:lineRule="exact"/>
              <w:rPr>
                <w:sz w:val="20"/>
                <w:szCs w:val="20"/>
                <w:color w:val="auto"/>
              </w:rPr>
            </w:pPr>
            <w:r>
              <w:rPr>
                <w:rFonts w:ascii="Arial" w:cs="Arial" w:eastAsia="Arial" w:hAnsi="Arial"/>
                <w:sz w:val="11"/>
                <w:szCs w:val="11"/>
                <w:b w:val="1"/>
                <w:bCs w:val="1"/>
                <w:color w:val="auto"/>
              </w:rPr>
              <w:t>Stockholder</w:t>
            </w:r>
          </w:p>
        </w:tc>
        <w:tc>
          <w:tcPr>
            <w:tcW w:w="70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Stockholder</w:t>
            </w:r>
          </w:p>
        </w:tc>
        <w:tc>
          <w:tcPr>
            <w:tcW w:w="6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rPr>
              <w:t>Loss</w:t>
            </w:r>
          </w:p>
        </w:tc>
        <w:tc>
          <w:tcPr>
            <w:tcW w:w="700" w:type="dxa"/>
            <w:vAlign w:val="bottom"/>
          </w:tcPr>
          <w:p>
            <w:pPr>
              <w:jc w:val="right"/>
              <w:ind w:right="83"/>
              <w:spacing w:after="0" w:line="108" w:lineRule="exact"/>
              <w:rPr>
                <w:sz w:val="20"/>
                <w:szCs w:val="20"/>
                <w:color w:val="auto"/>
              </w:rPr>
            </w:pPr>
            <w:r>
              <w:rPr>
                <w:rFonts w:ascii="Arial" w:cs="Arial" w:eastAsia="Arial" w:hAnsi="Arial"/>
                <w:sz w:val="11"/>
                <w:szCs w:val="11"/>
                <w:b w:val="1"/>
                <w:bCs w:val="1"/>
                <w:color w:val="auto"/>
              </w:rPr>
              <w:t>Revenue</w:t>
            </w:r>
          </w:p>
        </w:tc>
        <w:tc>
          <w:tcPr>
            <w:tcW w:w="0" w:type="dxa"/>
            <w:vAlign w:val="bottom"/>
          </w:tcPr>
          <w:p>
            <w:pPr>
              <w:spacing w:after="0"/>
              <w:rPr>
                <w:sz w:val="1"/>
                <w:szCs w:val="1"/>
                <w:color w:val="auto"/>
              </w:rPr>
            </w:pPr>
          </w:p>
        </w:tc>
      </w:tr>
      <w:tr>
        <w:trPr>
          <w:trHeight w:val="189"/>
        </w:trPr>
        <w:tc>
          <w:tcPr>
            <w:tcW w:w="340" w:type="dxa"/>
            <w:vAlign w:val="bottom"/>
            <w:tcBorders>
              <w:bottom w:val="single" w:sz="8" w:color="404040"/>
            </w:tcBorders>
          </w:tcPr>
          <w:p>
            <w:pPr>
              <w:ind w:left="40"/>
              <w:spacing w:after="0"/>
              <w:rPr>
                <w:sz w:val="20"/>
                <w:szCs w:val="20"/>
                <w:color w:val="auto"/>
              </w:rPr>
            </w:pPr>
            <w:r>
              <w:rPr>
                <w:rFonts w:ascii="Arial" w:cs="Arial" w:eastAsia="Arial" w:hAnsi="Arial"/>
                <w:sz w:val="11"/>
                <w:szCs w:val="11"/>
                <w:b w:val="1"/>
                <w:bCs w:val="1"/>
                <w:color w:val="auto"/>
              </w:rPr>
              <w:t>Year</w:t>
            </w:r>
          </w:p>
        </w:tc>
        <w:tc>
          <w:tcPr>
            <w:tcW w:w="840" w:type="dxa"/>
            <w:vAlign w:val="bottom"/>
            <w:tcBorders>
              <w:bottom w:val="single" w:sz="8" w:color="404040"/>
            </w:tcBorders>
          </w:tcPr>
          <w:p>
            <w:pPr>
              <w:jc w:val="center"/>
              <w:spacing w:after="0"/>
              <w:rPr>
                <w:sz w:val="20"/>
                <w:szCs w:val="20"/>
                <w:color w:val="auto"/>
              </w:rPr>
            </w:pPr>
            <w:r>
              <w:rPr>
                <w:rFonts w:ascii="Arial" w:cs="Arial" w:eastAsia="Arial" w:hAnsi="Arial"/>
                <w:sz w:val="11"/>
                <w:szCs w:val="11"/>
                <w:b w:val="1"/>
                <w:bCs w:val="1"/>
                <w:color w:val="auto"/>
                <w:w w:val="92"/>
              </w:rPr>
              <w:t>Bixby</w:t>
            </w:r>
            <w:r>
              <w:rPr>
                <w:rFonts w:ascii="Arial" w:cs="Arial" w:eastAsia="Arial" w:hAnsi="Arial"/>
                <w:sz w:val="16"/>
                <w:szCs w:val="16"/>
                <w:b w:val="1"/>
                <w:bCs w:val="1"/>
                <w:color w:val="auto"/>
                <w:w w:val="92"/>
                <w:vertAlign w:val="superscript"/>
              </w:rPr>
              <w:t>(1)</w:t>
            </w:r>
          </w:p>
        </w:tc>
        <w:tc>
          <w:tcPr>
            <w:tcW w:w="880" w:type="dxa"/>
            <w:vAlign w:val="bottom"/>
            <w:tcBorders>
              <w:bottom w:val="single" w:sz="8" w:color="404040"/>
            </w:tcBorders>
          </w:tcPr>
          <w:p>
            <w:pPr>
              <w:jc w:val="center"/>
              <w:spacing w:after="0" w:line="189" w:lineRule="exact"/>
              <w:rPr>
                <w:sz w:val="20"/>
                <w:szCs w:val="20"/>
                <w:color w:val="auto"/>
              </w:rPr>
            </w:pPr>
            <w:r>
              <w:rPr>
                <w:rFonts w:ascii="Arial" w:cs="Arial" w:eastAsia="Arial" w:hAnsi="Arial"/>
                <w:sz w:val="21"/>
                <w:szCs w:val="21"/>
                <w:b w:val="1"/>
                <w:bCs w:val="1"/>
                <w:color w:val="auto"/>
                <w:w w:val="83"/>
                <w:vertAlign w:val="subscript"/>
              </w:rPr>
              <w:t>Bixby</w:t>
            </w:r>
            <w:r>
              <w:rPr>
                <w:rFonts w:ascii="Arial" w:cs="Arial" w:eastAsia="Arial" w:hAnsi="Arial"/>
                <w:sz w:val="8"/>
                <w:szCs w:val="8"/>
                <w:b w:val="1"/>
                <w:bCs w:val="1"/>
                <w:color w:val="auto"/>
                <w:w w:val="83"/>
              </w:rPr>
              <w:t>(1)(2)</w:t>
            </w:r>
          </w:p>
        </w:tc>
        <w:tc>
          <w:tcPr>
            <w:tcW w:w="860" w:type="dxa"/>
            <w:vAlign w:val="bottom"/>
            <w:tcBorders>
              <w:bottom w:val="single" w:sz="8" w:color="404040"/>
            </w:tcBorders>
          </w:tcPr>
          <w:p>
            <w:pPr>
              <w:jc w:val="center"/>
              <w:ind w:right="4"/>
              <w:spacing w:after="0"/>
              <w:rPr>
                <w:sz w:val="20"/>
                <w:szCs w:val="20"/>
                <w:color w:val="auto"/>
              </w:rPr>
            </w:pPr>
            <w:r>
              <w:rPr>
                <w:rFonts w:ascii="Arial" w:cs="Arial" w:eastAsia="Arial" w:hAnsi="Arial"/>
                <w:sz w:val="11"/>
                <w:szCs w:val="11"/>
                <w:b w:val="1"/>
                <w:bCs w:val="1"/>
                <w:color w:val="auto"/>
                <w:w w:val="93"/>
              </w:rPr>
              <w:t>Nightingale)</w:t>
            </w:r>
            <w:r>
              <w:rPr>
                <w:rFonts w:ascii="Arial" w:cs="Arial" w:eastAsia="Arial" w:hAnsi="Arial"/>
                <w:sz w:val="16"/>
                <w:szCs w:val="16"/>
                <w:b w:val="1"/>
                <w:bCs w:val="1"/>
                <w:color w:val="auto"/>
                <w:w w:val="93"/>
                <w:vertAlign w:val="superscript"/>
              </w:rPr>
              <w:t>(1)</w:t>
            </w:r>
          </w:p>
        </w:tc>
        <w:tc>
          <w:tcPr>
            <w:tcW w:w="920" w:type="dxa"/>
            <w:vAlign w:val="bottom"/>
            <w:tcBorders>
              <w:bottom w:val="single" w:sz="8" w:color="404040"/>
            </w:tcBorders>
          </w:tcPr>
          <w:p>
            <w:pPr>
              <w:jc w:val="center"/>
              <w:ind w:right="4"/>
              <w:spacing w:after="0"/>
              <w:rPr>
                <w:sz w:val="20"/>
                <w:szCs w:val="20"/>
                <w:color w:val="auto"/>
              </w:rPr>
            </w:pPr>
            <w:r>
              <w:rPr>
                <w:rFonts w:ascii="Arial" w:cs="Arial" w:eastAsia="Arial" w:hAnsi="Arial"/>
                <w:sz w:val="11"/>
                <w:szCs w:val="11"/>
                <w:b w:val="1"/>
                <w:bCs w:val="1"/>
                <w:color w:val="auto"/>
                <w:w w:val="90"/>
              </w:rPr>
              <w:t>Nightingale</w:t>
            </w:r>
            <w:r>
              <w:rPr>
                <w:rFonts w:ascii="Arial" w:cs="Arial" w:eastAsia="Arial" w:hAnsi="Arial"/>
                <w:sz w:val="16"/>
                <w:szCs w:val="16"/>
                <w:b w:val="1"/>
                <w:bCs w:val="1"/>
                <w:color w:val="auto"/>
                <w:w w:val="90"/>
                <w:vertAlign w:val="superscript"/>
              </w:rPr>
              <w:t>(1)(2)</w:t>
            </w:r>
          </w:p>
        </w:tc>
        <w:tc>
          <w:tcPr>
            <w:tcW w:w="840" w:type="dxa"/>
            <w:vAlign w:val="bottom"/>
            <w:tcBorders>
              <w:bottom w:val="single" w:sz="8" w:color="404040"/>
            </w:tcBorders>
          </w:tcPr>
          <w:p>
            <w:pPr>
              <w:jc w:val="center"/>
              <w:spacing w:after="0"/>
              <w:rPr>
                <w:sz w:val="20"/>
                <w:szCs w:val="20"/>
                <w:color w:val="auto"/>
              </w:rPr>
            </w:pPr>
            <w:r>
              <w:rPr>
                <w:rFonts w:ascii="Arial" w:cs="Arial" w:eastAsia="Arial" w:hAnsi="Arial"/>
                <w:sz w:val="11"/>
                <w:szCs w:val="11"/>
                <w:b w:val="1"/>
                <w:bCs w:val="1"/>
                <w:color w:val="auto"/>
                <w:w w:val="92"/>
              </w:rPr>
              <w:t>Compton)</w:t>
            </w:r>
            <w:r>
              <w:rPr>
                <w:rFonts w:ascii="Arial" w:cs="Arial" w:eastAsia="Arial" w:hAnsi="Arial"/>
                <w:sz w:val="16"/>
                <w:szCs w:val="16"/>
                <w:b w:val="1"/>
                <w:bCs w:val="1"/>
                <w:color w:val="auto"/>
                <w:w w:val="92"/>
                <w:vertAlign w:val="superscript"/>
              </w:rPr>
              <w:t>(1)</w:t>
            </w:r>
          </w:p>
        </w:tc>
        <w:tc>
          <w:tcPr>
            <w:tcW w:w="840" w:type="dxa"/>
            <w:vAlign w:val="bottom"/>
            <w:tcBorders>
              <w:bottom w:val="single" w:sz="8" w:color="404040"/>
            </w:tcBorders>
          </w:tcPr>
          <w:p>
            <w:pPr>
              <w:jc w:val="center"/>
              <w:spacing w:after="0"/>
              <w:rPr>
                <w:sz w:val="20"/>
                <w:szCs w:val="20"/>
                <w:color w:val="auto"/>
              </w:rPr>
            </w:pPr>
            <w:r>
              <w:rPr>
                <w:rFonts w:ascii="Arial" w:cs="Arial" w:eastAsia="Arial" w:hAnsi="Arial"/>
                <w:sz w:val="11"/>
                <w:szCs w:val="11"/>
                <w:b w:val="1"/>
                <w:bCs w:val="1"/>
                <w:color w:val="auto"/>
                <w:w w:val="91"/>
              </w:rPr>
              <w:t>Compton</w:t>
            </w:r>
            <w:r>
              <w:rPr>
                <w:rFonts w:ascii="Arial" w:cs="Arial" w:eastAsia="Arial" w:hAnsi="Arial"/>
                <w:sz w:val="16"/>
                <w:szCs w:val="16"/>
                <w:b w:val="1"/>
                <w:bCs w:val="1"/>
                <w:color w:val="auto"/>
                <w:w w:val="91"/>
                <w:vertAlign w:val="superscript"/>
              </w:rPr>
              <w:t>(1)(2)</w:t>
            </w:r>
          </w:p>
        </w:tc>
        <w:tc>
          <w:tcPr>
            <w:tcW w:w="860" w:type="dxa"/>
            <w:vAlign w:val="bottom"/>
            <w:tcBorders>
              <w:bottom w:val="single" w:sz="8" w:color="404040"/>
            </w:tcBorders>
          </w:tcPr>
          <w:p>
            <w:pPr>
              <w:ind w:left="220"/>
              <w:spacing w:after="0"/>
              <w:rPr>
                <w:sz w:val="20"/>
                <w:szCs w:val="20"/>
                <w:color w:val="auto"/>
              </w:rPr>
            </w:pPr>
            <w:r>
              <w:rPr>
                <w:rFonts w:ascii="Arial" w:cs="Arial" w:eastAsia="Arial" w:hAnsi="Arial"/>
                <w:sz w:val="11"/>
                <w:szCs w:val="11"/>
                <w:b w:val="1"/>
                <w:bCs w:val="1"/>
                <w:color w:val="auto"/>
              </w:rPr>
              <w:t>NEOs</w:t>
            </w:r>
            <w:r>
              <w:rPr>
                <w:rFonts w:ascii="Arial" w:cs="Arial" w:eastAsia="Arial" w:hAnsi="Arial"/>
                <w:sz w:val="16"/>
                <w:szCs w:val="16"/>
                <w:b w:val="1"/>
                <w:bCs w:val="1"/>
                <w:color w:val="auto"/>
                <w:vertAlign w:val="superscript"/>
              </w:rPr>
              <w:t>(3)</w:t>
            </w:r>
          </w:p>
        </w:tc>
        <w:tc>
          <w:tcPr>
            <w:tcW w:w="860" w:type="dxa"/>
            <w:vAlign w:val="bottom"/>
            <w:tcBorders>
              <w:bottom w:val="single" w:sz="8" w:color="404040"/>
            </w:tcBorders>
          </w:tcPr>
          <w:p>
            <w:pPr>
              <w:jc w:val="center"/>
              <w:spacing w:after="0" w:line="189" w:lineRule="exact"/>
              <w:rPr>
                <w:sz w:val="20"/>
                <w:szCs w:val="20"/>
                <w:color w:val="auto"/>
              </w:rPr>
            </w:pPr>
            <w:r>
              <w:rPr>
                <w:rFonts w:ascii="Arial" w:cs="Arial" w:eastAsia="Arial" w:hAnsi="Arial"/>
                <w:sz w:val="21"/>
                <w:szCs w:val="21"/>
                <w:b w:val="1"/>
                <w:bCs w:val="1"/>
                <w:color w:val="auto"/>
                <w:w w:val="83"/>
                <w:vertAlign w:val="subscript"/>
              </w:rPr>
              <w:t>NEOs</w:t>
            </w:r>
            <w:r>
              <w:rPr>
                <w:rFonts w:ascii="Arial" w:cs="Arial" w:eastAsia="Arial" w:hAnsi="Arial"/>
                <w:sz w:val="8"/>
                <w:szCs w:val="8"/>
                <w:b w:val="1"/>
                <w:bCs w:val="1"/>
                <w:color w:val="auto"/>
                <w:w w:val="83"/>
              </w:rPr>
              <w:t>(3)(4)</w:t>
            </w:r>
          </w:p>
        </w:tc>
        <w:tc>
          <w:tcPr>
            <w:tcW w:w="760" w:type="dxa"/>
            <w:vAlign w:val="bottom"/>
            <w:tcBorders>
              <w:bottom w:val="single" w:sz="8" w:color="404040"/>
            </w:tcBorders>
          </w:tcPr>
          <w:p>
            <w:pPr>
              <w:jc w:val="right"/>
              <w:ind w:right="4"/>
              <w:spacing w:after="0"/>
              <w:rPr>
                <w:sz w:val="20"/>
                <w:szCs w:val="20"/>
                <w:color w:val="auto"/>
              </w:rPr>
            </w:pPr>
            <w:r>
              <w:rPr>
                <w:rFonts w:ascii="Arial" w:cs="Arial" w:eastAsia="Arial" w:hAnsi="Arial"/>
                <w:sz w:val="11"/>
                <w:szCs w:val="11"/>
                <w:b w:val="1"/>
                <w:bCs w:val="1"/>
                <w:color w:val="auto"/>
              </w:rPr>
              <w:t>Return</w:t>
            </w:r>
          </w:p>
        </w:tc>
        <w:tc>
          <w:tcPr>
            <w:tcW w:w="700" w:type="dxa"/>
            <w:vAlign w:val="bottom"/>
            <w:tcBorders>
              <w:bottom w:val="single" w:sz="8" w:color="404040"/>
            </w:tcBorders>
          </w:tcPr>
          <w:p>
            <w:pPr>
              <w:jc w:val="right"/>
              <w:spacing w:after="0"/>
              <w:rPr>
                <w:sz w:val="20"/>
                <w:szCs w:val="20"/>
                <w:color w:val="auto"/>
              </w:rPr>
            </w:pPr>
            <w:r>
              <w:rPr>
                <w:rFonts w:ascii="Arial" w:cs="Arial" w:eastAsia="Arial" w:hAnsi="Arial"/>
                <w:sz w:val="11"/>
                <w:szCs w:val="11"/>
                <w:b w:val="1"/>
                <w:bCs w:val="1"/>
                <w:color w:val="auto"/>
              </w:rPr>
              <w:t>Return</w:t>
            </w:r>
            <w:r>
              <w:rPr>
                <w:rFonts w:ascii="Arial" w:cs="Arial" w:eastAsia="Arial" w:hAnsi="Arial"/>
                <w:sz w:val="16"/>
                <w:szCs w:val="16"/>
                <w:b w:val="1"/>
                <w:bCs w:val="1"/>
                <w:color w:val="auto"/>
                <w:vertAlign w:val="superscript"/>
              </w:rPr>
              <w:t>(5)</w:t>
            </w:r>
          </w:p>
        </w:tc>
        <w:tc>
          <w:tcPr>
            <w:tcW w:w="640" w:type="dxa"/>
            <w:vAlign w:val="bottom"/>
            <w:tcBorders>
              <w:bottom w:val="single" w:sz="8" w:color="404040"/>
            </w:tcBorders>
          </w:tcPr>
          <w:p>
            <w:pPr>
              <w:jc w:val="center"/>
              <w:spacing w:after="0"/>
              <w:rPr>
                <w:sz w:val="20"/>
                <w:szCs w:val="20"/>
                <w:color w:val="auto"/>
              </w:rPr>
            </w:pPr>
            <w:r>
              <w:rPr>
                <w:rFonts w:ascii="Arial" w:cs="Arial" w:eastAsia="Arial" w:hAnsi="Arial"/>
                <w:sz w:val="11"/>
                <w:szCs w:val="11"/>
                <w:b w:val="1"/>
                <w:bCs w:val="1"/>
                <w:color w:val="auto"/>
                <w:w w:val="98"/>
              </w:rPr>
              <w:t>(millions)</w:t>
            </w:r>
          </w:p>
        </w:tc>
        <w:tc>
          <w:tcPr>
            <w:tcW w:w="700" w:type="dxa"/>
            <w:vAlign w:val="bottom"/>
            <w:tcBorders>
              <w:bottom w:val="single" w:sz="8" w:color="404040"/>
            </w:tcBorders>
          </w:tcPr>
          <w:p>
            <w:pPr>
              <w:jc w:val="right"/>
              <w:ind w:right="3"/>
              <w:spacing w:after="0"/>
              <w:rPr>
                <w:sz w:val="20"/>
                <w:szCs w:val="20"/>
                <w:color w:val="auto"/>
              </w:rPr>
            </w:pPr>
            <w:r>
              <w:rPr>
                <w:rFonts w:ascii="Arial" w:cs="Arial" w:eastAsia="Arial" w:hAnsi="Arial"/>
                <w:sz w:val="11"/>
                <w:szCs w:val="11"/>
                <w:b w:val="1"/>
                <w:bCs w:val="1"/>
                <w:color w:val="auto"/>
              </w:rPr>
              <w:t>(millions)</w:t>
            </w:r>
            <w:r>
              <w:rPr>
                <w:rFonts w:ascii="Arial" w:cs="Arial" w:eastAsia="Arial" w:hAnsi="Arial"/>
                <w:sz w:val="16"/>
                <w:szCs w:val="16"/>
                <w:b w:val="1"/>
                <w:bCs w:val="1"/>
                <w:color w:val="auto"/>
                <w:vertAlign w:val="superscript"/>
              </w:rPr>
              <w:t>(6)</w:t>
            </w:r>
          </w:p>
        </w:tc>
        <w:tc>
          <w:tcPr>
            <w:tcW w:w="0" w:type="dxa"/>
            <w:vAlign w:val="bottom"/>
          </w:tcPr>
          <w:p>
            <w:pPr>
              <w:spacing w:after="0"/>
              <w:rPr>
                <w:sz w:val="1"/>
                <w:szCs w:val="1"/>
                <w:color w:val="auto"/>
              </w:rPr>
            </w:pPr>
          </w:p>
        </w:tc>
      </w:tr>
      <w:tr>
        <w:trPr>
          <w:trHeight w:val="168"/>
        </w:trPr>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(b)</w:t>
            </w:r>
          </w:p>
        </w:tc>
        <w:tc>
          <w:tcPr>
            <w:tcW w:w="880" w:type="dxa"/>
            <w:vAlign w:val="bottom"/>
          </w:tcPr>
          <w:p>
            <w:pPr>
              <w:ind w:left="720"/>
              <w:spacing w:after="0"/>
              <w:rPr>
                <w:sz w:val="20"/>
                <w:szCs w:val="20"/>
                <w:color w:val="auto"/>
              </w:rPr>
            </w:pPr>
            <w:r>
              <w:rPr>
                <w:rFonts w:ascii="Arial" w:cs="Arial" w:eastAsia="Arial" w:hAnsi="Arial"/>
                <w:sz w:val="11"/>
                <w:szCs w:val="11"/>
                <w:b w:val="1"/>
                <w:bCs w:val="1"/>
                <w:color w:val="auto"/>
              </w:rPr>
              <w:t>(c)</w:t>
            </w:r>
          </w:p>
        </w:tc>
        <w:tc>
          <w:tcPr>
            <w:tcW w:w="860" w:type="dxa"/>
            <w:vAlign w:val="bottom"/>
          </w:tcPr>
          <w:p>
            <w:pPr>
              <w:ind w:left="680"/>
              <w:spacing w:after="0"/>
              <w:rPr>
                <w:sz w:val="20"/>
                <w:szCs w:val="20"/>
                <w:color w:val="auto"/>
              </w:rPr>
            </w:pPr>
            <w:r>
              <w:rPr>
                <w:rFonts w:ascii="Arial" w:cs="Arial" w:eastAsia="Arial" w:hAnsi="Arial"/>
                <w:sz w:val="11"/>
                <w:szCs w:val="11"/>
                <w:b w:val="1"/>
                <w:bCs w:val="1"/>
                <w:color w:val="auto"/>
              </w:rPr>
              <w:t>(b)</w:t>
            </w:r>
          </w:p>
        </w:tc>
        <w:tc>
          <w:tcPr>
            <w:tcW w:w="920" w:type="dxa"/>
            <w:vAlign w:val="bottom"/>
          </w:tcPr>
          <w:p>
            <w:pPr>
              <w:ind w:left="760"/>
              <w:spacing w:after="0"/>
              <w:rPr>
                <w:sz w:val="20"/>
                <w:szCs w:val="20"/>
                <w:color w:val="auto"/>
              </w:rPr>
            </w:pPr>
            <w:r>
              <w:rPr>
                <w:rFonts w:ascii="Arial" w:cs="Arial" w:eastAsia="Arial" w:hAnsi="Arial"/>
                <w:sz w:val="11"/>
                <w:szCs w:val="11"/>
                <w:b w:val="1"/>
                <w:bCs w:val="1"/>
                <w:color w:val="auto"/>
              </w:rPr>
              <w:t>(c)</w:t>
            </w:r>
          </w:p>
        </w:tc>
        <w:tc>
          <w:tcPr>
            <w:tcW w:w="840" w:type="dxa"/>
            <w:vAlign w:val="bottom"/>
          </w:tcPr>
          <w:p>
            <w:pPr>
              <w:ind w:left="660"/>
              <w:spacing w:after="0"/>
              <w:rPr>
                <w:sz w:val="20"/>
                <w:szCs w:val="20"/>
                <w:color w:val="auto"/>
              </w:rPr>
            </w:pPr>
            <w:r>
              <w:rPr>
                <w:rFonts w:ascii="Arial" w:cs="Arial" w:eastAsia="Arial" w:hAnsi="Arial"/>
                <w:sz w:val="11"/>
                <w:szCs w:val="11"/>
                <w:b w:val="1"/>
                <w:bCs w:val="1"/>
                <w:color w:val="auto"/>
              </w:rPr>
              <w:t>(b)</w:t>
            </w:r>
          </w:p>
        </w:tc>
        <w:tc>
          <w:tcPr>
            <w:tcW w:w="840" w:type="dxa"/>
            <w:vAlign w:val="bottom"/>
          </w:tcPr>
          <w:p>
            <w:pPr>
              <w:jc w:val="right"/>
              <w:spacing w:after="0"/>
              <w:rPr>
                <w:sz w:val="20"/>
                <w:szCs w:val="20"/>
                <w:color w:val="auto"/>
              </w:rPr>
            </w:pPr>
            <w:r>
              <w:rPr>
                <w:rFonts w:ascii="Arial" w:cs="Arial" w:eastAsia="Arial" w:hAnsi="Arial"/>
                <w:sz w:val="11"/>
                <w:szCs w:val="11"/>
                <w:b w:val="1"/>
                <w:bCs w:val="1"/>
                <w:color w:val="auto"/>
              </w:rPr>
              <w:t>(c)</w:t>
            </w:r>
          </w:p>
        </w:tc>
        <w:tc>
          <w:tcPr>
            <w:tcW w:w="860" w:type="dxa"/>
            <w:vAlign w:val="bottom"/>
          </w:tcPr>
          <w:p>
            <w:pPr>
              <w:ind w:left="680"/>
              <w:spacing w:after="0"/>
              <w:rPr>
                <w:sz w:val="20"/>
                <w:szCs w:val="20"/>
                <w:color w:val="auto"/>
              </w:rPr>
            </w:pPr>
            <w:r>
              <w:rPr>
                <w:rFonts w:ascii="Arial" w:cs="Arial" w:eastAsia="Arial" w:hAnsi="Arial"/>
                <w:sz w:val="11"/>
                <w:szCs w:val="11"/>
                <w:b w:val="1"/>
                <w:bCs w:val="1"/>
                <w:color w:val="auto"/>
              </w:rPr>
              <w:t>(d)</w:t>
            </w:r>
          </w:p>
        </w:tc>
        <w:tc>
          <w:tcPr>
            <w:tcW w:w="860" w:type="dxa"/>
            <w:vAlign w:val="bottom"/>
          </w:tcPr>
          <w:p>
            <w:pPr>
              <w:ind w:left="720"/>
              <w:spacing w:after="0"/>
              <w:rPr>
                <w:sz w:val="20"/>
                <w:szCs w:val="20"/>
                <w:color w:val="auto"/>
              </w:rPr>
            </w:pPr>
            <w:r>
              <w:rPr>
                <w:rFonts w:ascii="Arial" w:cs="Arial" w:eastAsia="Arial" w:hAnsi="Arial"/>
                <w:sz w:val="11"/>
                <w:szCs w:val="11"/>
                <w:b w:val="1"/>
                <w:bCs w:val="1"/>
                <w:color w:val="auto"/>
                <w:w w:val="88"/>
              </w:rPr>
              <w:t>(e)</w:t>
            </w:r>
          </w:p>
        </w:tc>
        <w:tc>
          <w:tcPr>
            <w:tcW w:w="760" w:type="dxa"/>
            <w:vAlign w:val="bottom"/>
          </w:tcPr>
          <w:p>
            <w:pPr>
              <w:jc w:val="right"/>
              <w:ind w:right="4"/>
              <w:spacing w:after="0"/>
              <w:rPr>
                <w:sz w:val="20"/>
                <w:szCs w:val="20"/>
                <w:color w:val="auto"/>
              </w:rPr>
            </w:pPr>
            <w:r>
              <w:rPr>
                <w:rFonts w:ascii="Arial" w:cs="Arial" w:eastAsia="Arial" w:hAnsi="Arial"/>
                <w:sz w:val="11"/>
                <w:szCs w:val="11"/>
                <w:b w:val="1"/>
                <w:bCs w:val="1"/>
                <w:color w:val="auto"/>
              </w:rPr>
              <w:t>(f)</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(g)</w:t>
            </w: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(h)</w:t>
            </w:r>
          </w:p>
        </w:tc>
        <w:tc>
          <w:tcPr>
            <w:tcW w:w="700" w:type="dxa"/>
            <w:vAlign w:val="bottom"/>
          </w:tcPr>
          <w:p>
            <w:pPr>
              <w:jc w:val="right"/>
              <w:spacing w:after="0"/>
              <w:rPr>
                <w:sz w:val="20"/>
                <w:szCs w:val="20"/>
                <w:color w:val="auto"/>
              </w:rPr>
            </w:pPr>
            <w:r>
              <w:rPr>
                <w:rFonts w:ascii="Arial" w:cs="Arial" w:eastAsia="Arial" w:hAnsi="Arial"/>
                <w:sz w:val="11"/>
                <w:szCs w:val="11"/>
                <w:b w:val="1"/>
                <w:bCs w:val="1"/>
                <w:color w:val="auto"/>
              </w:rPr>
              <w:t>(i)</w:t>
            </w:r>
          </w:p>
        </w:tc>
        <w:tc>
          <w:tcPr>
            <w:tcW w:w="0" w:type="dxa"/>
            <w:vAlign w:val="bottom"/>
          </w:tcPr>
          <w:p>
            <w:pPr>
              <w:spacing w:after="0"/>
              <w:rPr>
                <w:sz w:val="1"/>
                <w:szCs w:val="1"/>
                <w:color w:val="auto"/>
              </w:rPr>
            </w:pPr>
          </w:p>
        </w:tc>
      </w:tr>
      <w:tr>
        <w:trPr>
          <w:trHeight w:val="28"/>
        </w:trPr>
        <w:tc>
          <w:tcPr>
            <w:tcW w:w="34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8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92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760" w:type="dxa"/>
            <w:vAlign w:val="bottom"/>
            <w:tcBorders>
              <w:bottom w:val="single" w:sz="8" w:color="404040"/>
            </w:tcBorders>
          </w:tcPr>
          <w:p>
            <w:pPr>
              <w:spacing w:after="0"/>
              <w:rPr>
                <w:sz w:val="2"/>
                <w:szCs w:val="2"/>
                <w:color w:val="auto"/>
              </w:rPr>
            </w:pPr>
          </w:p>
        </w:tc>
        <w:tc>
          <w:tcPr>
            <w:tcW w:w="700" w:type="dxa"/>
            <w:vAlign w:val="bottom"/>
            <w:tcBorders>
              <w:bottom w:val="single" w:sz="8" w:color="404040"/>
            </w:tcBorders>
          </w:tcPr>
          <w:p>
            <w:pPr>
              <w:spacing w:after="0"/>
              <w:rPr>
                <w:sz w:val="2"/>
                <w:szCs w:val="2"/>
                <w:color w:val="auto"/>
              </w:rPr>
            </w:pPr>
          </w:p>
        </w:tc>
        <w:tc>
          <w:tcPr>
            <w:tcW w:w="640" w:type="dxa"/>
            <w:vAlign w:val="bottom"/>
            <w:tcBorders>
              <w:bottom w:val="single" w:sz="8" w:color="404040"/>
            </w:tcBorders>
          </w:tcPr>
          <w:p>
            <w:pPr>
              <w:spacing w:after="0"/>
              <w:rPr>
                <w:sz w:val="2"/>
                <w:szCs w:val="2"/>
                <w:color w:val="auto"/>
              </w:rPr>
            </w:pPr>
          </w:p>
        </w:tc>
        <w:tc>
          <w:tcPr>
            <w:tcW w:w="700" w:type="dxa"/>
            <w:vAlign w:val="bottom"/>
            <w:tcBorders>
              <w:bottom w:val="single" w:sz="8" w:color="404040"/>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40" w:type="dxa"/>
            <w:vAlign w:val="bottom"/>
          </w:tcPr>
          <w:p>
            <w:pPr>
              <w:ind w:left="40"/>
              <w:spacing w:after="0"/>
              <w:rPr>
                <w:sz w:val="20"/>
                <w:szCs w:val="20"/>
                <w:color w:val="auto"/>
              </w:rPr>
            </w:pPr>
            <w:r>
              <w:rPr>
                <w:rFonts w:ascii="Arial" w:cs="Arial" w:eastAsia="Arial" w:hAnsi="Arial"/>
                <w:sz w:val="12"/>
                <w:szCs w:val="12"/>
                <w:color w:val="auto"/>
              </w:rPr>
              <w:t>2025</w:t>
            </w:r>
          </w:p>
        </w:tc>
        <w:tc>
          <w:tcPr>
            <w:tcW w:w="84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80" w:type="dxa"/>
            <w:vAlign w:val="bottom"/>
          </w:tcPr>
          <w:p>
            <w:pPr>
              <w:ind w:left="660"/>
              <w:spacing w:after="0"/>
              <w:rPr>
                <w:sz w:val="20"/>
                <w:szCs w:val="20"/>
                <w:color w:val="auto"/>
              </w:rPr>
            </w:pPr>
            <w:r>
              <w:rPr>
                <w:rFonts w:ascii="Arial" w:cs="Arial" w:eastAsia="Arial" w:hAnsi="Arial"/>
                <w:sz w:val="12"/>
                <w:szCs w:val="12"/>
                <w:color w:val="auto"/>
              </w:rPr>
              <w:t>—</w:t>
            </w:r>
          </w:p>
        </w:tc>
        <w:tc>
          <w:tcPr>
            <w:tcW w:w="860" w:type="dxa"/>
            <w:vAlign w:val="bottom"/>
          </w:tcPr>
          <w:p>
            <w:pPr>
              <w:ind w:left="160"/>
              <w:spacing w:after="0"/>
              <w:rPr>
                <w:sz w:val="20"/>
                <w:szCs w:val="20"/>
                <w:color w:val="auto"/>
              </w:rPr>
            </w:pPr>
            <w:r>
              <w:rPr>
                <w:rFonts w:ascii="Arial" w:cs="Arial" w:eastAsia="Arial" w:hAnsi="Arial"/>
                <w:sz w:val="12"/>
                <w:szCs w:val="12"/>
                <w:color w:val="auto"/>
              </w:rPr>
              <w:t>$ 6,372,684</w:t>
            </w:r>
          </w:p>
        </w:tc>
        <w:tc>
          <w:tcPr>
            <w:tcW w:w="920" w:type="dxa"/>
            <w:vAlign w:val="bottom"/>
          </w:tcPr>
          <w:p>
            <w:pPr>
              <w:ind w:left="160"/>
              <w:spacing w:after="0"/>
              <w:rPr>
                <w:sz w:val="20"/>
                <w:szCs w:val="20"/>
                <w:color w:val="auto"/>
              </w:rPr>
            </w:pPr>
            <w:r>
              <w:rPr>
                <w:rFonts w:ascii="Arial" w:cs="Arial" w:eastAsia="Arial" w:hAnsi="Arial"/>
                <w:sz w:val="12"/>
                <w:szCs w:val="12"/>
                <w:color w:val="auto"/>
                <w:w w:val="98"/>
              </w:rPr>
              <w:t>$(23,137,805)</w:t>
            </w:r>
          </w:p>
        </w:tc>
        <w:tc>
          <w:tcPr>
            <w:tcW w:w="840" w:type="dxa"/>
            <w:vAlign w:val="bottom"/>
          </w:tcPr>
          <w:p>
            <w:pPr>
              <w:ind w:left="220"/>
              <w:spacing w:after="0"/>
              <w:rPr>
                <w:sz w:val="20"/>
                <w:szCs w:val="20"/>
                <w:color w:val="auto"/>
              </w:rPr>
            </w:pPr>
            <w:r>
              <w:rPr>
                <w:rFonts w:ascii="Arial" w:cs="Arial" w:eastAsia="Arial" w:hAnsi="Arial"/>
                <w:sz w:val="12"/>
                <w:szCs w:val="12"/>
                <w:color w:val="auto"/>
                <w:w w:val="99"/>
              </w:rPr>
              <w:t>$6,798,332</w:t>
            </w:r>
          </w:p>
        </w:tc>
        <w:tc>
          <w:tcPr>
            <w:tcW w:w="840" w:type="dxa"/>
            <w:vAlign w:val="bottom"/>
          </w:tcPr>
          <w:p>
            <w:pPr>
              <w:jc w:val="right"/>
              <w:spacing w:after="0"/>
              <w:rPr>
                <w:sz w:val="20"/>
                <w:szCs w:val="20"/>
                <w:color w:val="auto"/>
              </w:rPr>
            </w:pPr>
            <w:r>
              <w:rPr>
                <w:rFonts w:ascii="Arial" w:cs="Arial" w:eastAsia="Arial" w:hAnsi="Arial"/>
                <w:sz w:val="12"/>
                <w:szCs w:val="12"/>
                <w:color w:val="auto"/>
              </w:rPr>
              <w:t>$10,457,248</w:t>
            </w:r>
          </w:p>
        </w:tc>
        <w:tc>
          <w:tcPr>
            <w:tcW w:w="860" w:type="dxa"/>
            <w:vAlign w:val="bottom"/>
          </w:tcPr>
          <w:p>
            <w:pPr>
              <w:ind w:left="220"/>
              <w:spacing w:after="0"/>
              <w:rPr>
                <w:sz w:val="20"/>
                <w:szCs w:val="20"/>
                <w:color w:val="auto"/>
              </w:rPr>
            </w:pPr>
            <w:r>
              <w:rPr>
                <w:rFonts w:ascii="Arial" w:cs="Arial" w:eastAsia="Arial" w:hAnsi="Arial"/>
                <w:sz w:val="12"/>
                <w:szCs w:val="12"/>
                <w:color w:val="auto"/>
              </w:rPr>
              <w:t>$​5,790,848</w:t>
            </w:r>
          </w:p>
        </w:tc>
        <w:tc>
          <w:tcPr>
            <w:tcW w:w="860" w:type="dxa"/>
            <w:vAlign w:val="bottom"/>
          </w:tcPr>
          <w:p>
            <w:pPr>
              <w:ind w:left="160"/>
              <w:spacing w:after="0"/>
              <w:rPr>
                <w:sz w:val="20"/>
                <w:szCs w:val="20"/>
                <w:color w:val="auto"/>
              </w:rPr>
            </w:pPr>
            <w:r>
              <w:rPr>
                <w:rFonts w:ascii="Arial" w:cs="Arial" w:eastAsia="Arial" w:hAnsi="Arial"/>
                <w:sz w:val="12"/>
                <w:szCs w:val="12"/>
                <w:color w:val="auto"/>
              </w:rPr>
              <w:t>$ 1,793,705​</w:t>
            </w:r>
          </w:p>
        </w:tc>
        <w:tc>
          <w:tcPr>
            <w:tcW w:w="760" w:type="dxa"/>
            <w:vAlign w:val="bottom"/>
          </w:tcPr>
          <w:p>
            <w:pPr>
              <w:ind w:left="340"/>
              <w:spacing w:after="0"/>
              <w:rPr>
                <w:sz w:val="20"/>
                <w:szCs w:val="20"/>
                <w:color w:val="auto"/>
              </w:rPr>
            </w:pPr>
            <w:r>
              <w:rPr>
                <w:rFonts w:ascii="Arial" w:cs="Arial" w:eastAsia="Arial" w:hAnsi="Arial"/>
                <w:sz w:val="12"/>
                <w:szCs w:val="12"/>
                <w:color w:val="auto"/>
              </w:rPr>
              <w:t>$11.65</w:t>
            </w:r>
          </w:p>
        </w:tc>
        <w:tc>
          <w:tcPr>
            <w:tcW w:w="700" w:type="dxa"/>
            <w:vAlign w:val="bottom"/>
          </w:tcPr>
          <w:p>
            <w:pPr>
              <w:ind w:left="260"/>
              <w:spacing w:after="0"/>
              <w:rPr>
                <w:sz w:val="20"/>
                <w:szCs w:val="20"/>
                <w:color w:val="auto"/>
              </w:rPr>
            </w:pPr>
            <w:r>
              <w:rPr>
                <w:rFonts w:ascii="Arial" w:cs="Arial" w:eastAsia="Arial" w:hAnsi="Arial"/>
                <w:sz w:val="12"/>
                <w:szCs w:val="12"/>
                <w:color w:val="auto"/>
                <w:w w:val="96"/>
              </w:rPr>
              <w:t>$248.07</w:t>
            </w:r>
          </w:p>
        </w:tc>
        <w:tc>
          <w:tcPr>
            <w:tcW w:w="640" w:type="dxa"/>
            <w:vAlign w:val="bottom"/>
          </w:tcPr>
          <w:p>
            <w:pPr>
              <w:jc w:val="right"/>
              <w:ind w:right="4"/>
              <w:spacing w:after="0"/>
              <w:rPr>
                <w:sz w:val="20"/>
                <w:szCs w:val="20"/>
                <w:color w:val="auto"/>
              </w:rPr>
            </w:pPr>
            <w:r>
              <w:rPr>
                <w:rFonts w:ascii="Arial" w:cs="Arial" w:eastAsia="Arial" w:hAnsi="Arial"/>
                <w:sz w:val="12"/>
                <w:szCs w:val="12"/>
                <w:color w:val="auto"/>
              </w:rPr>
              <w:t>$(121.7)</w:t>
            </w:r>
          </w:p>
        </w:tc>
        <w:tc>
          <w:tcPr>
            <w:tcW w:w="700" w:type="dxa"/>
            <w:vAlign w:val="bottom"/>
          </w:tcPr>
          <w:p>
            <w:pPr>
              <w:jc w:val="right"/>
              <w:spacing w:after="0"/>
              <w:rPr>
                <w:sz w:val="20"/>
                <w:szCs w:val="20"/>
                <w:color w:val="auto"/>
              </w:rPr>
            </w:pPr>
            <w:r>
              <w:rPr>
                <w:rFonts w:ascii="Arial" w:cs="Arial" w:eastAsia="Arial" w:hAnsi="Arial"/>
                <w:sz w:val="12"/>
                <w:szCs w:val="12"/>
                <w:color w:val="auto"/>
              </w:rPr>
              <w:t>$624.0</w:t>
            </w:r>
          </w:p>
        </w:tc>
        <w:tc>
          <w:tcPr>
            <w:tcW w:w="0" w:type="dxa"/>
            <w:vAlign w:val="bottom"/>
          </w:tcPr>
          <w:p>
            <w:pPr>
              <w:spacing w:after="0"/>
              <w:rPr>
                <w:sz w:val="1"/>
                <w:szCs w:val="1"/>
                <w:color w:val="auto"/>
              </w:rPr>
            </w:pPr>
          </w:p>
        </w:tc>
      </w:tr>
      <w:tr>
        <w:trPr>
          <w:trHeight w:val="32"/>
        </w:trPr>
        <w:tc>
          <w:tcPr>
            <w:tcW w:w="34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8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92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760" w:type="dxa"/>
            <w:vAlign w:val="bottom"/>
            <w:tcBorders>
              <w:bottom w:val="single" w:sz="8" w:color="404040"/>
            </w:tcBorders>
          </w:tcPr>
          <w:p>
            <w:pPr>
              <w:spacing w:after="0"/>
              <w:rPr>
                <w:sz w:val="2"/>
                <w:szCs w:val="2"/>
                <w:color w:val="auto"/>
              </w:rPr>
            </w:pPr>
          </w:p>
        </w:tc>
        <w:tc>
          <w:tcPr>
            <w:tcW w:w="700" w:type="dxa"/>
            <w:vAlign w:val="bottom"/>
            <w:tcBorders>
              <w:bottom w:val="single" w:sz="8" w:color="404040"/>
            </w:tcBorders>
          </w:tcPr>
          <w:p>
            <w:pPr>
              <w:spacing w:after="0"/>
              <w:rPr>
                <w:sz w:val="2"/>
                <w:szCs w:val="2"/>
                <w:color w:val="auto"/>
              </w:rPr>
            </w:pPr>
          </w:p>
        </w:tc>
        <w:tc>
          <w:tcPr>
            <w:tcW w:w="640" w:type="dxa"/>
            <w:vAlign w:val="bottom"/>
            <w:tcBorders>
              <w:bottom w:val="single" w:sz="8" w:color="404040"/>
            </w:tcBorders>
          </w:tcPr>
          <w:p>
            <w:pPr>
              <w:spacing w:after="0"/>
              <w:rPr>
                <w:sz w:val="2"/>
                <w:szCs w:val="2"/>
                <w:color w:val="auto"/>
              </w:rPr>
            </w:pPr>
          </w:p>
        </w:tc>
        <w:tc>
          <w:tcPr>
            <w:tcW w:w="700" w:type="dxa"/>
            <w:vAlign w:val="bottom"/>
            <w:tcBorders>
              <w:bottom w:val="single" w:sz="8" w:color="404040"/>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40" w:type="dxa"/>
            <w:vAlign w:val="bottom"/>
          </w:tcPr>
          <w:p>
            <w:pPr>
              <w:ind w:left="40"/>
              <w:spacing w:after="0"/>
              <w:rPr>
                <w:sz w:val="20"/>
                <w:szCs w:val="20"/>
                <w:color w:val="auto"/>
              </w:rPr>
            </w:pPr>
            <w:r>
              <w:rPr>
                <w:rFonts w:ascii="Arial" w:cs="Arial" w:eastAsia="Arial" w:hAnsi="Arial"/>
                <w:sz w:val="12"/>
                <w:szCs w:val="12"/>
                <w:color w:val="auto"/>
              </w:rPr>
              <w:t>2024</w:t>
            </w:r>
          </w:p>
        </w:tc>
        <w:tc>
          <w:tcPr>
            <w:tcW w:w="84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80" w:type="dxa"/>
            <w:vAlign w:val="bottom"/>
          </w:tcPr>
          <w:p>
            <w:pPr>
              <w:ind w:left="660"/>
              <w:spacing w:after="0"/>
              <w:rPr>
                <w:sz w:val="20"/>
                <w:szCs w:val="20"/>
                <w:color w:val="auto"/>
              </w:rPr>
            </w:pPr>
            <w:r>
              <w:rPr>
                <w:rFonts w:ascii="Arial" w:cs="Arial" w:eastAsia="Arial" w:hAnsi="Arial"/>
                <w:sz w:val="12"/>
                <w:szCs w:val="12"/>
                <w:color w:val="auto"/>
              </w:rPr>
              <w:t>—</w:t>
            </w:r>
          </w:p>
        </w:tc>
        <w:tc>
          <w:tcPr>
            <w:tcW w:w="860" w:type="dxa"/>
            <w:vAlign w:val="bottom"/>
          </w:tcPr>
          <w:p>
            <w:pPr>
              <w:ind w:left="160"/>
              <w:spacing w:after="0"/>
              <w:rPr>
                <w:sz w:val="20"/>
                <w:szCs w:val="20"/>
                <w:color w:val="auto"/>
              </w:rPr>
            </w:pPr>
            <w:r>
              <w:rPr>
                <w:rFonts w:ascii="Arial" w:cs="Arial" w:eastAsia="Arial" w:hAnsi="Arial"/>
                <w:sz w:val="12"/>
                <w:szCs w:val="12"/>
                <w:color w:val="auto"/>
              </w:rPr>
              <w:t>$ 7,464,594</w:t>
            </w:r>
          </w:p>
        </w:tc>
        <w:tc>
          <w:tcPr>
            <w:tcW w:w="920" w:type="dxa"/>
            <w:vAlign w:val="bottom"/>
          </w:tcPr>
          <w:p>
            <w:pPr>
              <w:ind w:left="160"/>
              <w:spacing w:after="0"/>
              <w:rPr>
                <w:sz w:val="20"/>
                <w:szCs w:val="20"/>
                <w:color w:val="auto"/>
              </w:rPr>
            </w:pPr>
            <w:r>
              <w:rPr>
                <w:rFonts w:ascii="Arial" w:cs="Arial" w:eastAsia="Arial" w:hAnsi="Arial"/>
                <w:sz w:val="12"/>
                <w:szCs w:val="12"/>
                <w:color w:val="auto"/>
                <w:w w:val="98"/>
              </w:rPr>
              <w:t>$(24,691,973)</w:t>
            </w:r>
          </w:p>
        </w:tc>
        <w:tc>
          <w:tcPr>
            <w:tcW w:w="840" w:type="dxa"/>
            <w:vAlign w:val="bottom"/>
          </w:tcPr>
          <w:p>
            <w:pPr>
              <w:ind w:left="6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60" w:type="dxa"/>
            <w:vAlign w:val="bottom"/>
          </w:tcPr>
          <w:p>
            <w:pPr>
              <w:ind w:left="220"/>
              <w:spacing w:after="0"/>
              <w:rPr>
                <w:sz w:val="20"/>
                <w:szCs w:val="20"/>
                <w:color w:val="auto"/>
              </w:rPr>
            </w:pPr>
            <w:r>
              <w:rPr>
                <w:rFonts w:ascii="Arial" w:cs="Arial" w:eastAsia="Arial" w:hAnsi="Arial"/>
                <w:sz w:val="12"/>
                <w:szCs w:val="12"/>
                <w:color w:val="auto"/>
              </w:rPr>
              <w:t>$5,678,680</w:t>
            </w:r>
          </w:p>
        </w:tc>
        <w:tc>
          <w:tcPr>
            <w:tcW w:w="860" w:type="dxa"/>
            <w:vAlign w:val="bottom"/>
          </w:tcPr>
          <w:p>
            <w:pPr>
              <w:ind w:left="160"/>
              <w:spacing w:after="0"/>
              <w:rPr>
                <w:sz w:val="20"/>
                <w:szCs w:val="20"/>
                <w:color w:val="auto"/>
              </w:rPr>
            </w:pPr>
            <w:r>
              <w:rPr>
                <w:rFonts w:ascii="Arial" w:cs="Arial" w:eastAsia="Arial" w:hAnsi="Arial"/>
                <w:sz w:val="12"/>
                <w:szCs w:val="12"/>
                <w:color w:val="auto"/>
              </w:rPr>
              <w:t>$   726,959</w:t>
            </w:r>
          </w:p>
        </w:tc>
        <w:tc>
          <w:tcPr>
            <w:tcW w:w="760" w:type="dxa"/>
            <w:vAlign w:val="bottom"/>
          </w:tcPr>
          <w:p>
            <w:pPr>
              <w:ind w:left="340"/>
              <w:spacing w:after="0"/>
              <w:rPr>
                <w:sz w:val="20"/>
                <w:szCs w:val="20"/>
                <w:color w:val="auto"/>
              </w:rPr>
            </w:pPr>
            <w:r>
              <w:rPr>
                <w:rFonts w:ascii="Arial" w:cs="Arial" w:eastAsia="Arial" w:hAnsi="Arial"/>
                <w:sz w:val="12"/>
                <w:szCs w:val="12"/>
                <w:color w:val="auto"/>
              </w:rPr>
              <w:t>$10.80</w:t>
            </w:r>
          </w:p>
        </w:tc>
        <w:tc>
          <w:tcPr>
            <w:tcW w:w="700" w:type="dxa"/>
            <w:vAlign w:val="bottom"/>
          </w:tcPr>
          <w:p>
            <w:pPr>
              <w:ind w:left="260"/>
              <w:spacing w:after="0"/>
              <w:rPr>
                <w:sz w:val="20"/>
                <w:szCs w:val="20"/>
                <w:color w:val="auto"/>
              </w:rPr>
            </w:pPr>
            <w:r>
              <w:rPr>
                <w:rFonts w:ascii="Arial" w:cs="Arial" w:eastAsia="Arial" w:hAnsi="Arial"/>
                <w:sz w:val="12"/>
                <w:szCs w:val="12"/>
                <w:color w:val="auto"/>
                <w:w w:val="96"/>
              </w:rPr>
              <w:t>$201.18</w:t>
            </w:r>
          </w:p>
        </w:tc>
        <w:tc>
          <w:tcPr>
            <w:tcW w:w="640" w:type="dxa"/>
            <w:vAlign w:val="bottom"/>
          </w:tcPr>
          <w:p>
            <w:pPr>
              <w:jc w:val="right"/>
              <w:ind w:right="4"/>
              <w:spacing w:after="0"/>
              <w:rPr>
                <w:sz w:val="20"/>
                <w:szCs w:val="20"/>
                <w:color w:val="auto"/>
              </w:rPr>
            </w:pPr>
            <w:r>
              <w:rPr>
                <w:rFonts w:ascii="Arial" w:cs="Arial" w:eastAsia="Arial" w:hAnsi="Arial"/>
                <w:sz w:val="12"/>
                <w:szCs w:val="12"/>
                <w:color w:val="auto"/>
              </w:rPr>
              <w:t>$(158.1)</w:t>
            </w:r>
          </w:p>
        </w:tc>
        <w:tc>
          <w:tcPr>
            <w:tcW w:w="700" w:type="dxa"/>
            <w:vAlign w:val="bottom"/>
          </w:tcPr>
          <w:p>
            <w:pPr>
              <w:jc w:val="right"/>
              <w:spacing w:after="0"/>
              <w:rPr>
                <w:sz w:val="20"/>
                <w:szCs w:val="20"/>
                <w:color w:val="auto"/>
              </w:rPr>
            </w:pPr>
            <w:r>
              <w:rPr>
                <w:rFonts w:ascii="Arial" w:cs="Arial" w:eastAsia="Arial" w:hAnsi="Arial"/>
                <w:sz w:val="12"/>
                <w:szCs w:val="12"/>
                <w:color w:val="auto"/>
              </w:rPr>
              <w:t>$543.7</w:t>
            </w:r>
          </w:p>
        </w:tc>
        <w:tc>
          <w:tcPr>
            <w:tcW w:w="0" w:type="dxa"/>
            <w:vAlign w:val="bottom"/>
          </w:tcPr>
          <w:p>
            <w:pPr>
              <w:spacing w:after="0"/>
              <w:rPr>
                <w:sz w:val="1"/>
                <w:szCs w:val="1"/>
                <w:color w:val="auto"/>
              </w:rPr>
            </w:pPr>
          </w:p>
        </w:tc>
      </w:tr>
      <w:tr>
        <w:trPr>
          <w:trHeight w:val="32"/>
        </w:trPr>
        <w:tc>
          <w:tcPr>
            <w:tcW w:w="34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8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92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760" w:type="dxa"/>
            <w:vAlign w:val="bottom"/>
            <w:tcBorders>
              <w:bottom w:val="single" w:sz="8" w:color="404040"/>
            </w:tcBorders>
          </w:tcPr>
          <w:p>
            <w:pPr>
              <w:spacing w:after="0"/>
              <w:rPr>
                <w:sz w:val="2"/>
                <w:szCs w:val="2"/>
                <w:color w:val="auto"/>
              </w:rPr>
            </w:pPr>
          </w:p>
        </w:tc>
        <w:tc>
          <w:tcPr>
            <w:tcW w:w="700" w:type="dxa"/>
            <w:vAlign w:val="bottom"/>
            <w:tcBorders>
              <w:bottom w:val="single" w:sz="8" w:color="404040"/>
            </w:tcBorders>
          </w:tcPr>
          <w:p>
            <w:pPr>
              <w:spacing w:after="0"/>
              <w:rPr>
                <w:sz w:val="2"/>
                <w:szCs w:val="2"/>
                <w:color w:val="auto"/>
              </w:rPr>
            </w:pPr>
          </w:p>
        </w:tc>
        <w:tc>
          <w:tcPr>
            <w:tcW w:w="640" w:type="dxa"/>
            <w:vAlign w:val="bottom"/>
            <w:tcBorders>
              <w:bottom w:val="single" w:sz="8" w:color="404040"/>
            </w:tcBorders>
          </w:tcPr>
          <w:p>
            <w:pPr>
              <w:spacing w:after="0"/>
              <w:rPr>
                <w:sz w:val="2"/>
                <w:szCs w:val="2"/>
                <w:color w:val="auto"/>
              </w:rPr>
            </w:pPr>
          </w:p>
        </w:tc>
        <w:tc>
          <w:tcPr>
            <w:tcW w:w="700" w:type="dxa"/>
            <w:vAlign w:val="bottom"/>
            <w:tcBorders>
              <w:bottom w:val="single" w:sz="8" w:color="404040"/>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40" w:type="dxa"/>
            <w:vAlign w:val="bottom"/>
          </w:tcPr>
          <w:p>
            <w:pPr>
              <w:ind w:left="40"/>
              <w:spacing w:after="0"/>
              <w:rPr>
                <w:sz w:val="20"/>
                <w:szCs w:val="20"/>
                <w:color w:val="auto"/>
              </w:rPr>
            </w:pPr>
            <w:r>
              <w:rPr>
                <w:rFonts w:ascii="Arial" w:cs="Arial" w:eastAsia="Arial" w:hAnsi="Arial"/>
                <w:sz w:val="12"/>
                <w:szCs w:val="12"/>
                <w:color w:val="auto"/>
              </w:rPr>
              <w:t>2023</w:t>
            </w:r>
          </w:p>
        </w:tc>
        <w:tc>
          <w:tcPr>
            <w:tcW w:w="84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80" w:type="dxa"/>
            <w:vAlign w:val="bottom"/>
          </w:tcPr>
          <w:p>
            <w:pPr>
              <w:ind w:left="660"/>
              <w:spacing w:after="0"/>
              <w:rPr>
                <w:sz w:val="20"/>
                <w:szCs w:val="20"/>
                <w:color w:val="auto"/>
              </w:rPr>
            </w:pPr>
            <w:r>
              <w:rPr>
                <w:rFonts w:ascii="Arial" w:cs="Arial" w:eastAsia="Arial" w:hAnsi="Arial"/>
                <w:sz w:val="12"/>
                <w:szCs w:val="12"/>
                <w:color w:val="auto"/>
              </w:rPr>
              <w:t>—</w:t>
            </w:r>
          </w:p>
        </w:tc>
        <w:tc>
          <w:tcPr>
            <w:tcW w:w="860" w:type="dxa"/>
            <w:vAlign w:val="bottom"/>
          </w:tcPr>
          <w:p>
            <w:pPr>
              <w:ind w:left="160"/>
              <w:spacing w:after="0"/>
              <w:rPr>
                <w:sz w:val="20"/>
                <w:szCs w:val="20"/>
                <w:color w:val="auto"/>
              </w:rPr>
            </w:pPr>
            <w:r>
              <w:rPr>
                <w:rFonts w:ascii="Arial" w:cs="Arial" w:eastAsia="Arial" w:hAnsi="Arial"/>
                <w:sz w:val="12"/>
                <w:szCs w:val="12"/>
                <w:color w:val="auto"/>
              </w:rPr>
              <w:t>$10,165,468</w:t>
            </w:r>
          </w:p>
        </w:tc>
        <w:tc>
          <w:tcPr>
            <w:tcW w:w="920" w:type="dxa"/>
            <w:vAlign w:val="bottom"/>
          </w:tcPr>
          <w:p>
            <w:pPr>
              <w:ind w:left="160"/>
              <w:spacing w:after="0"/>
              <w:rPr>
                <w:sz w:val="20"/>
                <w:szCs w:val="20"/>
                <w:color w:val="auto"/>
              </w:rPr>
            </w:pPr>
            <w:r>
              <w:rPr>
                <w:rFonts w:ascii="Arial" w:cs="Arial" w:eastAsia="Arial" w:hAnsi="Arial"/>
                <w:sz w:val="12"/>
                <w:szCs w:val="12"/>
                <w:color w:val="auto"/>
              </w:rPr>
              <w:t>$ 36,942,933</w:t>
            </w:r>
          </w:p>
        </w:tc>
        <w:tc>
          <w:tcPr>
            <w:tcW w:w="840" w:type="dxa"/>
            <w:vAlign w:val="bottom"/>
          </w:tcPr>
          <w:p>
            <w:pPr>
              <w:ind w:left="6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60" w:type="dxa"/>
            <w:vAlign w:val="bottom"/>
          </w:tcPr>
          <w:p>
            <w:pPr>
              <w:ind w:left="220"/>
              <w:spacing w:after="0"/>
              <w:rPr>
                <w:sz w:val="20"/>
                <w:szCs w:val="20"/>
                <w:color w:val="auto"/>
              </w:rPr>
            </w:pPr>
            <w:r>
              <w:rPr>
                <w:rFonts w:ascii="Arial" w:cs="Arial" w:eastAsia="Arial" w:hAnsi="Arial"/>
                <w:sz w:val="12"/>
                <w:szCs w:val="12"/>
                <w:color w:val="auto"/>
              </w:rPr>
              <w:t>$6,867,702</w:t>
            </w:r>
          </w:p>
        </w:tc>
        <w:tc>
          <w:tcPr>
            <w:tcW w:w="860" w:type="dxa"/>
            <w:vAlign w:val="bottom"/>
          </w:tcPr>
          <w:p>
            <w:pPr>
              <w:ind w:left="160"/>
              <w:spacing w:after="0"/>
              <w:rPr>
                <w:sz w:val="20"/>
                <w:szCs w:val="20"/>
                <w:color w:val="auto"/>
              </w:rPr>
            </w:pPr>
            <w:r>
              <w:rPr>
                <w:rFonts w:ascii="Arial" w:cs="Arial" w:eastAsia="Arial" w:hAnsi="Arial"/>
                <w:sz w:val="12"/>
                <w:szCs w:val="12"/>
                <w:color w:val="auto"/>
              </w:rPr>
              <w:t>$12,229,373</w:t>
            </w:r>
          </w:p>
        </w:tc>
        <w:tc>
          <w:tcPr>
            <w:tcW w:w="760" w:type="dxa"/>
            <w:vAlign w:val="bottom"/>
          </w:tcPr>
          <w:p>
            <w:pPr>
              <w:ind w:left="340"/>
              <w:spacing w:after="0"/>
              <w:rPr>
                <w:sz w:val="20"/>
                <w:szCs w:val="20"/>
                <w:color w:val="auto"/>
              </w:rPr>
            </w:pPr>
            <w:r>
              <w:rPr>
                <w:rFonts w:ascii="Arial" w:cs="Arial" w:eastAsia="Arial" w:hAnsi="Arial"/>
                <w:sz w:val="12"/>
                <w:szCs w:val="12"/>
                <w:color w:val="auto"/>
              </w:rPr>
              <w:t>$20.37</w:t>
            </w:r>
          </w:p>
        </w:tc>
        <w:tc>
          <w:tcPr>
            <w:tcW w:w="700" w:type="dxa"/>
            <w:vAlign w:val="bottom"/>
          </w:tcPr>
          <w:p>
            <w:pPr>
              <w:ind w:left="260"/>
              <w:spacing w:after="0"/>
              <w:rPr>
                <w:sz w:val="20"/>
                <w:szCs w:val="20"/>
                <w:color w:val="auto"/>
              </w:rPr>
            </w:pPr>
            <w:r>
              <w:rPr>
                <w:rFonts w:ascii="Arial" w:cs="Arial" w:eastAsia="Arial" w:hAnsi="Arial"/>
                <w:sz w:val="12"/>
                <w:szCs w:val="12"/>
                <w:color w:val="auto"/>
                <w:w w:val="96"/>
              </w:rPr>
              <w:t>$148.26</w:t>
            </w:r>
          </w:p>
        </w:tc>
        <w:tc>
          <w:tcPr>
            <w:tcW w:w="640" w:type="dxa"/>
            <w:vAlign w:val="bottom"/>
          </w:tcPr>
          <w:p>
            <w:pPr>
              <w:jc w:val="right"/>
              <w:ind w:right="4"/>
              <w:spacing w:after="0"/>
              <w:rPr>
                <w:sz w:val="20"/>
                <w:szCs w:val="20"/>
                <w:color w:val="auto"/>
              </w:rPr>
            </w:pPr>
            <w:r>
              <w:rPr>
                <w:rFonts w:ascii="Arial" w:cs="Arial" w:eastAsia="Arial" w:hAnsi="Arial"/>
                <w:sz w:val="12"/>
                <w:szCs w:val="12"/>
                <w:color w:val="auto"/>
              </w:rPr>
              <w:t>$(133.1)</w:t>
            </w:r>
          </w:p>
        </w:tc>
        <w:tc>
          <w:tcPr>
            <w:tcW w:w="700" w:type="dxa"/>
            <w:vAlign w:val="bottom"/>
          </w:tcPr>
          <w:p>
            <w:pPr>
              <w:jc w:val="right"/>
              <w:spacing w:after="0"/>
              <w:rPr>
                <w:sz w:val="20"/>
                <w:szCs w:val="20"/>
                <w:color w:val="auto"/>
              </w:rPr>
            </w:pPr>
            <w:r>
              <w:rPr>
                <w:rFonts w:ascii="Arial" w:cs="Arial" w:eastAsia="Arial" w:hAnsi="Arial"/>
                <w:sz w:val="12"/>
                <w:szCs w:val="12"/>
                <w:color w:val="auto"/>
              </w:rPr>
              <w:t>$506.0</w:t>
            </w:r>
          </w:p>
        </w:tc>
        <w:tc>
          <w:tcPr>
            <w:tcW w:w="0" w:type="dxa"/>
            <w:vAlign w:val="bottom"/>
          </w:tcPr>
          <w:p>
            <w:pPr>
              <w:spacing w:after="0"/>
              <w:rPr>
                <w:sz w:val="1"/>
                <w:szCs w:val="1"/>
                <w:color w:val="auto"/>
              </w:rPr>
            </w:pPr>
          </w:p>
        </w:tc>
      </w:tr>
      <w:tr>
        <w:trPr>
          <w:trHeight w:val="32"/>
        </w:trPr>
        <w:tc>
          <w:tcPr>
            <w:tcW w:w="34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8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92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760" w:type="dxa"/>
            <w:vAlign w:val="bottom"/>
            <w:tcBorders>
              <w:bottom w:val="single" w:sz="8" w:color="404040"/>
            </w:tcBorders>
          </w:tcPr>
          <w:p>
            <w:pPr>
              <w:spacing w:after="0"/>
              <w:rPr>
                <w:sz w:val="2"/>
                <w:szCs w:val="2"/>
                <w:color w:val="auto"/>
              </w:rPr>
            </w:pPr>
          </w:p>
        </w:tc>
        <w:tc>
          <w:tcPr>
            <w:tcW w:w="700" w:type="dxa"/>
            <w:vAlign w:val="bottom"/>
            <w:tcBorders>
              <w:bottom w:val="single" w:sz="8" w:color="404040"/>
            </w:tcBorders>
          </w:tcPr>
          <w:p>
            <w:pPr>
              <w:spacing w:after="0"/>
              <w:rPr>
                <w:sz w:val="2"/>
                <w:szCs w:val="2"/>
                <w:color w:val="auto"/>
              </w:rPr>
            </w:pPr>
          </w:p>
        </w:tc>
        <w:tc>
          <w:tcPr>
            <w:tcW w:w="640" w:type="dxa"/>
            <w:vAlign w:val="bottom"/>
            <w:tcBorders>
              <w:bottom w:val="single" w:sz="8" w:color="404040"/>
            </w:tcBorders>
          </w:tcPr>
          <w:p>
            <w:pPr>
              <w:spacing w:after="0"/>
              <w:rPr>
                <w:sz w:val="2"/>
                <w:szCs w:val="2"/>
                <w:color w:val="auto"/>
              </w:rPr>
            </w:pPr>
          </w:p>
        </w:tc>
        <w:tc>
          <w:tcPr>
            <w:tcW w:w="700" w:type="dxa"/>
            <w:vAlign w:val="bottom"/>
            <w:tcBorders>
              <w:bottom w:val="single" w:sz="8" w:color="404040"/>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340" w:type="dxa"/>
            <w:vAlign w:val="bottom"/>
          </w:tcPr>
          <w:p>
            <w:pPr>
              <w:ind w:left="40"/>
              <w:spacing w:after="0"/>
              <w:rPr>
                <w:sz w:val="20"/>
                <w:szCs w:val="20"/>
                <w:color w:val="auto"/>
              </w:rPr>
            </w:pPr>
            <w:r>
              <w:rPr>
                <w:rFonts w:ascii="Arial" w:cs="Arial" w:eastAsia="Arial" w:hAnsi="Arial"/>
                <w:sz w:val="12"/>
                <w:szCs w:val="12"/>
                <w:color w:val="auto"/>
              </w:rPr>
              <w:t>2022</w:t>
            </w:r>
          </w:p>
        </w:tc>
        <w:tc>
          <w:tcPr>
            <w:tcW w:w="840" w:type="dxa"/>
            <w:vAlign w:val="bottom"/>
          </w:tcPr>
          <w:p>
            <w:pPr>
              <w:jc w:val="right"/>
              <w:spacing w:after="0"/>
              <w:rPr>
                <w:sz w:val="20"/>
                <w:szCs w:val="20"/>
                <w:color w:val="auto"/>
              </w:rPr>
            </w:pPr>
            <w:r>
              <w:rPr>
                <w:rFonts w:ascii="Arial" w:cs="Arial" w:eastAsia="Arial" w:hAnsi="Arial"/>
                <w:sz w:val="12"/>
                <w:szCs w:val="12"/>
                <w:color w:val="auto"/>
              </w:rPr>
              <w:t>$ 9,199,127</w:t>
            </w:r>
          </w:p>
        </w:tc>
        <w:tc>
          <w:tcPr>
            <w:tcW w:w="880" w:type="dxa"/>
            <w:vAlign w:val="bottom"/>
          </w:tcPr>
          <w:p>
            <w:pPr>
              <w:ind w:left="120"/>
              <w:spacing w:after="0"/>
              <w:rPr>
                <w:sz w:val="20"/>
                <w:szCs w:val="20"/>
                <w:color w:val="auto"/>
              </w:rPr>
            </w:pPr>
            <w:r>
              <w:rPr>
                <w:rFonts w:ascii="Arial" w:cs="Arial" w:eastAsia="Arial" w:hAnsi="Arial"/>
                <w:sz w:val="12"/>
                <w:szCs w:val="12"/>
                <w:color w:val="auto"/>
              </w:rPr>
              <w:t>$ (3,892,017)</w:t>
            </w:r>
          </w:p>
        </w:tc>
        <w:tc>
          <w:tcPr>
            <w:tcW w:w="860" w:type="dxa"/>
            <w:vAlign w:val="bottom"/>
          </w:tcPr>
          <w:p>
            <w:pPr>
              <w:ind w:left="160"/>
              <w:spacing w:after="0"/>
              <w:rPr>
                <w:sz w:val="20"/>
                <w:szCs w:val="20"/>
                <w:color w:val="auto"/>
              </w:rPr>
            </w:pPr>
            <w:r>
              <w:rPr>
                <w:rFonts w:ascii="Arial" w:cs="Arial" w:eastAsia="Arial" w:hAnsi="Arial"/>
                <w:sz w:val="12"/>
                <w:szCs w:val="12"/>
                <w:color w:val="auto"/>
              </w:rPr>
              <w:t>$21,857,756</w:t>
            </w:r>
          </w:p>
        </w:tc>
        <w:tc>
          <w:tcPr>
            <w:tcW w:w="920" w:type="dxa"/>
            <w:vAlign w:val="bottom"/>
          </w:tcPr>
          <w:p>
            <w:pPr>
              <w:ind w:left="160"/>
              <w:spacing w:after="0"/>
              <w:rPr>
                <w:sz w:val="20"/>
                <w:szCs w:val="20"/>
                <w:color w:val="auto"/>
              </w:rPr>
            </w:pPr>
            <w:r>
              <w:rPr>
                <w:rFonts w:ascii="Arial" w:cs="Arial" w:eastAsia="Arial" w:hAnsi="Arial"/>
                <w:sz w:val="12"/>
                <w:szCs w:val="12"/>
                <w:color w:val="auto"/>
              </w:rPr>
              <w:t>$ 20,179,714</w:t>
            </w:r>
          </w:p>
        </w:tc>
        <w:tc>
          <w:tcPr>
            <w:tcW w:w="840" w:type="dxa"/>
            <w:vAlign w:val="bottom"/>
          </w:tcPr>
          <w:p>
            <w:pPr>
              <w:ind w:left="660"/>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60" w:type="dxa"/>
            <w:vAlign w:val="bottom"/>
          </w:tcPr>
          <w:p>
            <w:pPr>
              <w:ind w:left="220"/>
              <w:spacing w:after="0"/>
              <w:rPr>
                <w:sz w:val="20"/>
                <w:szCs w:val="20"/>
                <w:color w:val="auto"/>
              </w:rPr>
            </w:pPr>
            <w:r>
              <w:rPr>
                <w:rFonts w:ascii="Arial" w:cs="Arial" w:eastAsia="Arial" w:hAnsi="Arial"/>
                <w:sz w:val="12"/>
                <w:szCs w:val="12"/>
                <w:color w:val="auto"/>
              </w:rPr>
              <w:t>$4,066,505</w:t>
            </w:r>
          </w:p>
        </w:tc>
        <w:tc>
          <w:tcPr>
            <w:tcW w:w="860" w:type="dxa"/>
            <w:vAlign w:val="bottom"/>
          </w:tcPr>
          <w:p>
            <w:pPr>
              <w:ind w:left="160"/>
              <w:spacing w:after="0"/>
              <w:rPr>
                <w:sz w:val="20"/>
                <w:szCs w:val="20"/>
                <w:color w:val="auto"/>
              </w:rPr>
            </w:pPr>
            <w:r>
              <w:rPr>
                <w:rFonts w:ascii="Arial" w:cs="Arial" w:eastAsia="Arial" w:hAnsi="Arial"/>
                <w:sz w:val="12"/>
                <w:szCs w:val="12"/>
                <w:color w:val="auto"/>
                <w:w w:val="95"/>
              </w:rPr>
              <w:t>$ (2,381,573)</w:t>
            </w:r>
          </w:p>
        </w:tc>
        <w:tc>
          <w:tcPr>
            <w:tcW w:w="760" w:type="dxa"/>
            <w:vAlign w:val="bottom"/>
          </w:tcPr>
          <w:p>
            <w:pPr>
              <w:ind w:left="340"/>
              <w:spacing w:after="0"/>
              <w:rPr>
                <w:sz w:val="20"/>
                <w:szCs w:val="20"/>
                <w:color w:val="auto"/>
              </w:rPr>
            </w:pPr>
            <w:r>
              <w:rPr>
                <w:rFonts w:ascii="Arial" w:cs="Arial" w:eastAsia="Arial" w:hAnsi="Arial"/>
                <w:sz w:val="12"/>
                <w:szCs w:val="12"/>
                <w:color w:val="auto"/>
              </w:rPr>
              <w:t>$ 9.37</w:t>
            </w:r>
          </w:p>
        </w:tc>
        <w:tc>
          <w:tcPr>
            <w:tcW w:w="700" w:type="dxa"/>
            <w:vAlign w:val="bottom"/>
          </w:tcPr>
          <w:p>
            <w:pPr>
              <w:ind w:left="260"/>
              <w:spacing w:after="0"/>
              <w:rPr>
                <w:sz w:val="20"/>
                <w:szCs w:val="20"/>
                <w:color w:val="auto"/>
              </w:rPr>
            </w:pPr>
            <w:r>
              <w:rPr>
                <w:rFonts w:ascii="Arial" w:cs="Arial" w:eastAsia="Arial" w:hAnsi="Arial"/>
                <w:sz w:val="12"/>
                <w:szCs w:val="12"/>
                <w:color w:val="auto"/>
              </w:rPr>
              <w:t>$ 94.80</w:t>
            </w:r>
          </w:p>
        </w:tc>
        <w:tc>
          <w:tcPr>
            <w:tcW w:w="640" w:type="dxa"/>
            <w:vAlign w:val="bottom"/>
          </w:tcPr>
          <w:p>
            <w:pPr>
              <w:jc w:val="right"/>
              <w:ind w:right="4"/>
              <w:spacing w:after="0"/>
              <w:rPr>
                <w:sz w:val="20"/>
                <w:szCs w:val="20"/>
                <w:color w:val="auto"/>
              </w:rPr>
            </w:pPr>
            <w:r>
              <w:rPr>
                <w:rFonts w:ascii="Arial" w:cs="Arial" w:eastAsia="Arial" w:hAnsi="Arial"/>
                <w:sz w:val="12"/>
                <w:szCs w:val="12"/>
                <w:color w:val="auto"/>
              </w:rPr>
              <w:t>$(190.8)</w:t>
            </w:r>
          </w:p>
        </w:tc>
        <w:tc>
          <w:tcPr>
            <w:tcW w:w="700" w:type="dxa"/>
            <w:vAlign w:val="bottom"/>
          </w:tcPr>
          <w:p>
            <w:pPr>
              <w:jc w:val="right"/>
              <w:spacing w:after="0"/>
              <w:rPr>
                <w:sz w:val="20"/>
                <w:szCs w:val="20"/>
                <w:color w:val="auto"/>
              </w:rPr>
            </w:pPr>
            <w:r>
              <w:rPr>
                <w:rFonts w:ascii="Arial" w:cs="Arial" w:eastAsia="Arial" w:hAnsi="Arial"/>
                <w:sz w:val="12"/>
                <w:szCs w:val="12"/>
                <w:color w:val="auto"/>
              </w:rPr>
              <w:t>$432.7</w:t>
            </w:r>
          </w:p>
        </w:tc>
        <w:tc>
          <w:tcPr>
            <w:tcW w:w="0" w:type="dxa"/>
            <w:vAlign w:val="bottom"/>
          </w:tcPr>
          <w:p>
            <w:pPr>
              <w:spacing w:after="0"/>
              <w:rPr>
                <w:sz w:val="1"/>
                <w:szCs w:val="1"/>
                <w:color w:val="auto"/>
              </w:rPr>
            </w:pPr>
          </w:p>
        </w:tc>
      </w:tr>
      <w:tr>
        <w:trPr>
          <w:trHeight w:val="32"/>
        </w:trPr>
        <w:tc>
          <w:tcPr>
            <w:tcW w:w="34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8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92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4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860" w:type="dxa"/>
            <w:vAlign w:val="bottom"/>
            <w:tcBorders>
              <w:bottom w:val="single" w:sz="8" w:color="404040"/>
            </w:tcBorders>
          </w:tcPr>
          <w:p>
            <w:pPr>
              <w:spacing w:after="0"/>
              <w:rPr>
                <w:sz w:val="2"/>
                <w:szCs w:val="2"/>
                <w:color w:val="auto"/>
              </w:rPr>
            </w:pPr>
          </w:p>
        </w:tc>
        <w:tc>
          <w:tcPr>
            <w:tcW w:w="760" w:type="dxa"/>
            <w:vAlign w:val="bottom"/>
            <w:tcBorders>
              <w:bottom w:val="single" w:sz="8" w:color="404040"/>
            </w:tcBorders>
          </w:tcPr>
          <w:p>
            <w:pPr>
              <w:spacing w:after="0"/>
              <w:rPr>
                <w:sz w:val="2"/>
                <w:szCs w:val="2"/>
                <w:color w:val="auto"/>
              </w:rPr>
            </w:pPr>
          </w:p>
        </w:tc>
        <w:tc>
          <w:tcPr>
            <w:tcW w:w="700" w:type="dxa"/>
            <w:vAlign w:val="bottom"/>
            <w:tcBorders>
              <w:bottom w:val="single" w:sz="8" w:color="404040"/>
            </w:tcBorders>
          </w:tcPr>
          <w:p>
            <w:pPr>
              <w:spacing w:after="0"/>
              <w:rPr>
                <w:sz w:val="2"/>
                <w:szCs w:val="2"/>
                <w:color w:val="auto"/>
              </w:rPr>
            </w:pPr>
          </w:p>
        </w:tc>
        <w:tc>
          <w:tcPr>
            <w:tcW w:w="640" w:type="dxa"/>
            <w:vAlign w:val="bottom"/>
            <w:tcBorders>
              <w:bottom w:val="single" w:sz="8" w:color="404040"/>
            </w:tcBorders>
          </w:tcPr>
          <w:p>
            <w:pPr>
              <w:spacing w:after="0"/>
              <w:rPr>
                <w:sz w:val="2"/>
                <w:szCs w:val="2"/>
                <w:color w:val="auto"/>
              </w:rPr>
            </w:pPr>
          </w:p>
        </w:tc>
        <w:tc>
          <w:tcPr>
            <w:tcW w:w="700" w:type="dxa"/>
            <w:vAlign w:val="bottom"/>
            <w:tcBorders>
              <w:bottom w:val="single" w:sz="8" w:color="404040"/>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40" w:type="dxa"/>
            <w:vAlign w:val="bottom"/>
            <w:tcBorders>
              <w:bottom w:val="single" w:sz="8" w:color="404040"/>
            </w:tcBorders>
          </w:tcPr>
          <w:p>
            <w:pPr>
              <w:ind w:left="40"/>
              <w:spacing w:after="0"/>
              <w:rPr>
                <w:sz w:val="20"/>
                <w:szCs w:val="20"/>
                <w:color w:val="auto"/>
              </w:rPr>
            </w:pPr>
            <w:r>
              <w:rPr>
                <w:rFonts w:ascii="Arial" w:cs="Arial" w:eastAsia="Arial" w:hAnsi="Arial"/>
                <w:sz w:val="12"/>
                <w:szCs w:val="12"/>
                <w:color w:val="auto"/>
              </w:rPr>
              <w:t>2021</w:t>
            </w:r>
          </w:p>
        </w:tc>
        <w:tc>
          <w:tcPr>
            <w:tcW w:w="840" w:type="dxa"/>
            <w:vAlign w:val="bottom"/>
            <w:tcBorders>
              <w:bottom w:val="single" w:sz="8" w:color="404040"/>
            </w:tcBorders>
          </w:tcPr>
          <w:p>
            <w:pPr>
              <w:jc w:val="right"/>
              <w:spacing w:after="0"/>
              <w:rPr>
                <w:sz w:val="20"/>
                <w:szCs w:val="20"/>
                <w:color w:val="auto"/>
              </w:rPr>
            </w:pPr>
            <w:r>
              <w:rPr>
                <w:rFonts w:ascii="Arial" w:cs="Arial" w:eastAsia="Arial" w:hAnsi="Arial"/>
                <w:sz w:val="12"/>
                <w:szCs w:val="12"/>
                <w:color w:val="auto"/>
              </w:rPr>
              <w:t>$10,151,111</w:t>
            </w:r>
          </w:p>
        </w:tc>
        <w:tc>
          <w:tcPr>
            <w:tcW w:w="880" w:type="dxa"/>
            <w:vAlign w:val="bottom"/>
            <w:tcBorders>
              <w:bottom w:val="single" w:sz="8" w:color="404040"/>
            </w:tcBorders>
          </w:tcPr>
          <w:p>
            <w:pPr>
              <w:ind w:left="120"/>
              <w:spacing w:after="0"/>
              <w:rPr>
                <w:sz w:val="20"/>
                <w:szCs w:val="20"/>
                <w:color w:val="auto"/>
              </w:rPr>
            </w:pPr>
            <w:r>
              <w:rPr>
                <w:rFonts w:ascii="Arial" w:cs="Arial" w:eastAsia="Arial" w:hAnsi="Arial"/>
                <w:sz w:val="12"/>
                <w:szCs w:val="12"/>
                <w:color w:val="auto"/>
                <w:w w:val="98"/>
              </w:rPr>
              <w:t>$(12,802,716)</w:t>
            </w:r>
          </w:p>
        </w:tc>
        <w:tc>
          <w:tcPr>
            <w:tcW w:w="860" w:type="dxa"/>
            <w:vAlign w:val="bottom"/>
            <w:tcBorders>
              <w:bottom w:val="single" w:sz="8" w:color="404040"/>
            </w:tcBorders>
          </w:tcPr>
          <w:p>
            <w:pPr>
              <w:ind w:left="680"/>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404040"/>
            </w:tcBorders>
          </w:tcPr>
          <w:p>
            <w:pPr>
              <w:ind w:left="72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404040"/>
            </w:tcBorders>
          </w:tcPr>
          <w:p>
            <w:pPr>
              <w:ind w:left="660"/>
              <w:spacing w:after="0"/>
              <w:rPr>
                <w:sz w:val="20"/>
                <w:szCs w:val="20"/>
                <w:color w:val="auto"/>
              </w:rPr>
            </w:pPr>
            <w:r>
              <w:rPr>
                <w:rFonts w:ascii="Arial" w:cs="Arial" w:eastAsia="Arial" w:hAnsi="Arial"/>
                <w:sz w:val="12"/>
                <w:szCs w:val="12"/>
                <w:color w:val="auto"/>
              </w:rPr>
              <w:t>—</w:t>
            </w:r>
          </w:p>
        </w:tc>
        <w:tc>
          <w:tcPr>
            <w:tcW w:w="840" w:type="dxa"/>
            <w:vAlign w:val="bottom"/>
            <w:tcBorders>
              <w:bottom w:val="single" w:sz="8" w:color="404040"/>
            </w:tcBorders>
          </w:tcPr>
          <w:p>
            <w:pPr>
              <w:jc w:val="right"/>
              <w:ind w:right="4"/>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404040"/>
            </w:tcBorders>
          </w:tcPr>
          <w:p>
            <w:pPr>
              <w:ind w:left="220"/>
              <w:spacing w:after="0"/>
              <w:rPr>
                <w:sz w:val="20"/>
                <w:szCs w:val="20"/>
                <w:color w:val="auto"/>
              </w:rPr>
            </w:pPr>
            <w:r>
              <w:rPr>
                <w:rFonts w:ascii="Arial" w:cs="Arial" w:eastAsia="Arial" w:hAnsi="Arial"/>
                <w:sz w:val="12"/>
                <w:szCs w:val="12"/>
                <w:color w:val="auto"/>
              </w:rPr>
              <w:t>$7,088,904</w:t>
            </w:r>
          </w:p>
        </w:tc>
        <w:tc>
          <w:tcPr>
            <w:tcW w:w="860" w:type="dxa"/>
            <w:vAlign w:val="bottom"/>
            <w:tcBorders>
              <w:bottom w:val="single" w:sz="8" w:color="404040"/>
            </w:tcBorders>
          </w:tcPr>
          <w:p>
            <w:pPr>
              <w:ind w:left="160"/>
              <w:spacing w:after="0"/>
              <w:rPr>
                <w:sz w:val="20"/>
                <w:szCs w:val="20"/>
                <w:color w:val="auto"/>
              </w:rPr>
            </w:pPr>
            <w:r>
              <w:rPr>
                <w:rFonts w:ascii="Arial" w:cs="Arial" w:eastAsia="Arial" w:hAnsi="Arial"/>
                <w:sz w:val="12"/>
                <w:szCs w:val="12"/>
                <w:color w:val="auto"/>
                <w:w w:val="95"/>
              </w:rPr>
              <w:t>$ (1,602,130)</w:t>
            </w:r>
          </w:p>
        </w:tc>
        <w:tc>
          <w:tcPr>
            <w:tcW w:w="760" w:type="dxa"/>
            <w:vAlign w:val="bottom"/>
            <w:tcBorders>
              <w:bottom w:val="single" w:sz="8" w:color="404040"/>
            </w:tcBorders>
          </w:tcPr>
          <w:p>
            <w:pPr>
              <w:ind w:left="340"/>
              <w:spacing w:after="0"/>
              <w:rPr>
                <w:sz w:val="20"/>
                <w:szCs w:val="20"/>
                <w:color w:val="auto"/>
              </w:rPr>
            </w:pPr>
            <w:r>
              <w:rPr>
                <w:rFonts w:ascii="Arial" w:cs="Arial" w:eastAsia="Arial" w:hAnsi="Arial"/>
                <w:sz w:val="12"/>
                <w:szCs w:val="12"/>
                <w:color w:val="auto"/>
              </w:rPr>
              <w:t>$40.57</w:t>
            </w:r>
          </w:p>
        </w:tc>
        <w:tc>
          <w:tcPr>
            <w:tcW w:w="700" w:type="dxa"/>
            <w:vAlign w:val="bottom"/>
            <w:tcBorders>
              <w:bottom w:val="single" w:sz="8" w:color="404040"/>
            </w:tcBorders>
          </w:tcPr>
          <w:p>
            <w:pPr>
              <w:ind w:left="260"/>
              <w:spacing w:after="0"/>
              <w:rPr>
                <w:sz w:val="20"/>
                <w:szCs w:val="20"/>
                <w:color w:val="auto"/>
              </w:rPr>
            </w:pPr>
            <w:r>
              <w:rPr>
                <w:rFonts w:ascii="Arial" w:cs="Arial" w:eastAsia="Arial" w:hAnsi="Arial"/>
                <w:sz w:val="12"/>
                <w:szCs w:val="12"/>
                <w:color w:val="auto"/>
                <w:w w:val="96"/>
              </w:rPr>
              <w:t>$133.35</w:t>
            </w:r>
          </w:p>
        </w:tc>
        <w:tc>
          <w:tcPr>
            <w:tcW w:w="640" w:type="dxa"/>
            <w:vAlign w:val="bottom"/>
            <w:tcBorders>
              <w:bottom w:val="single" w:sz="8" w:color="404040"/>
            </w:tcBorders>
          </w:tcPr>
          <w:p>
            <w:pPr>
              <w:jc w:val="right"/>
              <w:ind w:right="4"/>
              <w:spacing w:after="0"/>
              <w:rPr>
                <w:sz w:val="20"/>
                <w:szCs w:val="20"/>
                <w:color w:val="auto"/>
              </w:rPr>
            </w:pPr>
            <w:r>
              <w:rPr>
                <w:rFonts w:ascii="Arial" w:cs="Arial" w:eastAsia="Arial" w:hAnsi="Arial"/>
                <w:sz w:val="12"/>
                <w:szCs w:val="12"/>
                <w:color w:val="auto"/>
              </w:rPr>
              <w:t>$(222.7)</w:t>
            </w:r>
          </w:p>
        </w:tc>
        <w:tc>
          <w:tcPr>
            <w:tcW w:w="700" w:type="dxa"/>
            <w:vAlign w:val="bottom"/>
            <w:tcBorders>
              <w:bottom w:val="single" w:sz="8" w:color="404040"/>
            </w:tcBorders>
          </w:tcPr>
          <w:p>
            <w:pPr>
              <w:jc w:val="right"/>
              <w:spacing w:after="0"/>
              <w:rPr>
                <w:sz w:val="20"/>
                <w:szCs w:val="20"/>
                <w:color w:val="auto"/>
              </w:rPr>
            </w:pPr>
            <w:r>
              <w:rPr>
                <w:rFonts w:ascii="Arial" w:cs="Arial" w:eastAsia="Arial" w:hAnsi="Arial"/>
                <w:sz w:val="12"/>
                <w:szCs w:val="12"/>
                <w:color w:val="auto"/>
              </w:rPr>
              <w:t>$354.3</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1160" w:right="800" w:hanging="348"/>
        <w:spacing w:after="0" w:line="226" w:lineRule="auto"/>
        <w:tabs>
          <w:tab w:leader="none" w:pos="1160" w:val="left"/>
        </w:tabs>
        <w:numPr>
          <w:ilvl w:val="0"/>
          <w:numId w:val="51"/>
        </w:numPr>
        <w:rPr>
          <w:rFonts w:ascii="Arial" w:cs="Arial" w:eastAsia="Arial" w:hAnsi="Arial"/>
          <w:sz w:val="13"/>
          <w:szCs w:val="13"/>
          <w:color w:val="auto"/>
        </w:rPr>
      </w:pPr>
      <w:r>
        <w:rPr>
          <w:rFonts w:ascii="Arial" w:cs="Arial" w:eastAsia="Arial" w:hAnsi="Arial"/>
          <w:sz w:val="13"/>
          <w:szCs w:val="13"/>
          <w:color w:val="auto"/>
        </w:rPr>
        <w:t>The dollar amounts reported in columns (b) are the amounts reported for Messrs. Bergman, Bixby, Nightingale, and Compton, respectively, for each corresponding year in the “Total” column of the Summary Compensation Table. Mr. Bixby served as our Chief Executive Officer effective February 19, 2020 through August 31, 2022. Mr. Nightingale served as our Chief Executive Officer effective September 1, 2022 through June 16, 2025. Mr. Compton has served as our Chief Executive Officer since June 16, 2025. The following individuals served as our PEOs for the following years:</w:t>
      </w:r>
    </w:p>
    <w:p>
      <w:pPr>
        <w:spacing w:after="0" w:line="36" w:lineRule="exact"/>
        <w:rPr>
          <w:rFonts w:ascii="Arial" w:cs="Arial" w:eastAsia="Arial" w:hAnsi="Arial"/>
          <w:sz w:val="13"/>
          <w:szCs w:val="13"/>
          <w:color w:val="auto"/>
        </w:rPr>
      </w:pPr>
    </w:p>
    <w:p>
      <w:pPr>
        <w:ind w:left="1180"/>
        <w:spacing w:after="0"/>
        <w:rPr>
          <w:rFonts w:ascii="Arial" w:cs="Arial" w:eastAsia="Arial" w:hAnsi="Arial"/>
          <w:sz w:val="13"/>
          <w:szCs w:val="13"/>
          <w:color w:val="auto"/>
        </w:rPr>
      </w:pPr>
      <w:r>
        <w:rPr>
          <w:rFonts w:ascii="Arial" w:cs="Arial" w:eastAsia="Arial" w:hAnsi="Arial"/>
          <w:sz w:val="13"/>
          <w:szCs w:val="13"/>
          <w:color w:val="auto"/>
        </w:rPr>
        <w:t>2025: Todd Nightingale, Charles Compton</w:t>
      </w:r>
    </w:p>
    <w:p>
      <w:pPr>
        <w:ind w:left="1180"/>
        <w:spacing w:after="0" w:line="216" w:lineRule="auto"/>
        <w:rPr>
          <w:rFonts w:ascii="Arial" w:cs="Arial" w:eastAsia="Arial" w:hAnsi="Arial"/>
          <w:sz w:val="13"/>
          <w:szCs w:val="13"/>
          <w:color w:val="auto"/>
        </w:rPr>
      </w:pPr>
      <w:r>
        <w:rPr>
          <w:rFonts w:ascii="Arial" w:cs="Arial" w:eastAsia="Arial" w:hAnsi="Arial"/>
          <w:sz w:val="13"/>
          <w:szCs w:val="13"/>
          <w:color w:val="auto"/>
        </w:rPr>
        <w:t>2024: Todd Nightingale</w:t>
      </w:r>
    </w:p>
    <w:p>
      <w:pPr>
        <w:ind w:left="1180"/>
        <w:spacing w:after="0" w:line="216" w:lineRule="auto"/>
        <w:rPr>
          <w:rFonts w:ascii="Arial" w:cs="Arial" w:eastAsia="Arial" w:hAnsi="Arial"/>
          <w:sz w:val="13"/>
          <w:szCs w:val="13"/>
          <w:color w:val="auto"/>
        </w:rPr>
      </w:pPr>
      <w:r>
        <w:rPr>
          <w:rFonts w:ascii="Arial" w:cs="Arial" w:eastAsia="Arial" w:hAnsi="Arial"/>
          <w:sz w:val="13"/>
          <w:szCs w:val="13"/>
          <w:color w:val="auto"/>
        </w:rPr>
        <w:t>2023: Todd Nightingale</w:t>
      </w:r>
    </w:p>
    <w:p>
      <w:pPr>
        <w:ind w:left="1180"/>
        <w:spacing w:after="0" w:line="216" w:lineRule="auto"/>
        <w:rPr>
          <w:rFonts w:ascii="Arial" w:cs="Arial" w:eastAsia="Arial" w:hAnsi="Arial"/>
          <w:sz w:val="13"/>
          <w:szCs w:val="13"/>
          <w:color w:val="auto"/>
        </w:rPr>
      </w:pPr>
      <w:r>
        <w:rPr>
          <w:rFonts w:ascii="Arial" w:cs="Arial" w:eastAsia="Arial" w:hAnsi="Arial"/>
          <w:sz w:val="13"/>
          <w:szCs w:val="13"/>
          <w:color w:val="auto"/>
        </w:rPr>
        <w:t>2022: Joshua Bixby, Todd Nightingale</w:t>
      </w:r>
    </w:p>
    <w:p>
      <w:pPr>
        <w:ind w:left="1180"/>
        <w:spacing w:after="0"/>
        <w:rPr>
          <w:rFonts w:ascii="Arial" w:cs="Arial" w:eastAsia="Arial" w:hAnsi="Arial"/>
          <w:sz w:val="13"/>
          <w:szCs w:val="13"/>
          <w:color w:val="auto"/>
        </w:rPr>
      </w:pPr>
      <w:r>
        <w:rPr>
          <w:rFonts w:ascii="Arial" w:cs="Arial" w:eastAsia="Arial" w:hAnsi="Arial"/>
          <w:sz w:val="13"/>
          <w:szCs w:val="13"/>
          <w:color w:val="auto"/>
        </w:rPr>
        <w:t>2021: Joshua Bixby</w:t>
      </w:r>
    </w:p>
    <w:p>
      <w:pPr>
        <w:spacing w:after="0" w:line="14" w:lineRule="exact"/>
        <w:rPr>
          <w:rFonts w:ascii="Arial" w:cs="Arial" w:eastAsia="Arial" w:hAnsi="Arial"/>
          <w:sz w:val="13"/>
          <w:szCs w:val="13"/>
          <w:color w:val="auto"/>
        </w:rPr>
      </w:pPr>
    </w:p>
    <w:p>
      <w:pPr>
        <w:jc w:val="both"/>
        <w:ind w:left="1160" w:right="800" w:hanging="348"/>
        <w:spacing w:after="0" w:line="241" w:lineRule="auto"/>
        <w:tabs>
          <w:tab w:leader="none" w:pos="1160" w:val="left"/>
        </w:tabs>
        <w:numPr>
          <w:ilvl w:val="0"/>
          <w:numId w:val="51"/>
        </w:numPr>
        <w:rPr>
          <w:rFonts w:ascii="Arial" w:cs="Arial" w:eastAsia="Arial" w:hAnsi="Arial"/>
          <w:sz w:val="12"/>
          <w:szCs w:val="12"/>
          <w:color w:val="auto"/>
        </w:rPr>
      </w:pPr>
      <w:r>
        <w:rPr>
          <w:rFonts w:ascii="Arial" w:cs="Arial" w:eastAsia="Arial" w:hAnsi="Arial"/>
          <w:sz w:val="12"/>
          <w:szCs w:val="12"/>
          <w:color w:val="auto"/>
        </w:rPr>
        <w:t>The dollar amounts reported in column (c) for fiscal year 2025 represent the amount of CAP for Messrs. Nightingale and Compton, respectively as computed in accordance with Item 402(v) of Regulation S-K. The dollar amounts do not reflect the actual amount of compensation earned by or paid during the applicable year. The Company deducted from and added to the Summary Compensation Table total compensation the following amounts to calculate compensation actually paid in accordance with Item 402(v) of Regulation S-K as disclosed in columns (c) and (e) for our PEO and Non-PEO NEOs in fiscal year 2025. As the Company’s NEOs do not participate in any defined benefit plans, no adjustments were required to amounts reported in the Summary Compensation Table totals related to the value of benefits under such plans. There are no material differences between the assumptions used to compute the valuation of the equity awards for calculating the compensation actually paid from the assumptions used to compute the valuation of such equity awards as of the grant date.</w:t>
      </w:r>
    </w:p>
    <w:p>
      <w:pPr>
        <w:spacing w:after="0" w:line="210" w:lineRule="exact"/>
        <w:rPr>
          <w:sz w:val="20"/>
          <w:szCs w:val="20"/>
          <w:color w:val="auto"/>
        </w:rPr>
      </w:pPr>
    </w:p>
    <w:tbl>
      <w:tblPr>
        <w:tblLayout w:type="fixed"/>
        <w:tblInd w:w="820" w:type="dxa"/>
        <w:tblCellMar>
          <w:top w:w="0" w:type="dxa"/>
          <w:left w:w="0" w:type="dxa"/>
          <w:bottom w:w="0" w:type="dxa"/>
          <w:right w:w="0" w:type="dxa"/>
        </w:tblCellMar>
      </w:tblPr>
      <w:tr>
        <w:trPr>
          <w:trHeight w:val="205"/>
        </w:trPr>
        <w:tc>
          <w:tcPr>
            <w:tcW w:w="4700" w:type="dxa"/>
            <w:vAlign w:val="bottom"/>
            <w:tcBorders>
              <w:bottom w:val="single" w:sz="8" w:color="404040"/>
            </w:tcBorders>
          </w:tcPr>
          <w:p>
            <w:pPr>
              <w:spacing w:after="0"/>
              <w:rPr>
                <w:sz w:val="17"/>
                <w:szCs w:val="17"/>
                <w:color w:val="auto"/>
              </w:rPr>
            </w:pPr>
          </w:p>
        </w:tc>
        <w:tc>
          <w:tcPr>
            <w:tcW w:w="1180" w:type="dxa"/>
            <w:vAlign w:val="bottom"/>
            <w:tcBorders>
              <w:bottom w:val="single" w:sz="8" w:color="404040"/>
            </w:tcBorders>
          </w:tcPr>
          <w:p>
            <w:pPr>
              <w:spacing w:after="0"/>
              <w:rPr>
                <w:sz w:val="17"/>
                <w:szCs w:val="17"/>
                <w:color w:val="auto"/>
              </w:rPr>
            </w:pPr>
          </w:p>
        </w:tc>
        <w:tc>
          <w:tcPr>
            <w:tcW w:w="1160" w:type="dxa"/>
            <w:vAlign w:val="bottom"/>
            <w:tcBorders>
              <w:bottom w:val="single" w:sz="8" w:color="404040"/>
            </w:tcBorders>
          </w:tcPr>
          <w:p>
            <w:pPr>
              <w:jc w:val="right"/>
              <w:ind w:right="208"/>
              <w:spacing w:after="0"/>
              <w:rPr>
                <w:sz w:val="20"/>
                <w:szCs w:val="20"/>
                <w:color w:val="auto"/>
              </w:rPr>
            </w:pPr>
            <w:r>
              <w:rPr>
                <w:rFonts w:ascii="Arial" w:cs="Arial" w:eastAsia="Arial" w:hAnsi="Arial"/>
                <w:sz w:val="14"/>
                <w:szCs w:val="14"/>
                <w:b w:val="1"/>
                <w:bCs w:val="1"/>
                <w:color w:val="auto"/>
              </w:rPr>
              <w:t>2025</w:t>
            </w:r>
          </w:p>
        </w:tc>
        <w:tc>
          <w:tcPr>
            <w:tcW w:w="1380" w:type="dxa"/>
            <w:vAlign w:val="bottom"/>
            <w:tcBorders>
              <w:bottom w:val="single" w:sz="8" w:color="404040"/>
            </w:tcBorders>
          </w:tcPr>
          <w:p>
            <w:pPr>
              <w:spacing w:after="0"/>
              <w:rPr>
                <w:sz w:val="17"/>
                <w:szCs w:val="17"/>
                <w:color w:val="auto"/>
              </w:rPr>
            </w:pPr>
          </w:p>
        </w:tc>
      </w:tr>
      <w:tr>
        <w:trPr>
          <w:trHeight w:val="180"/>
        </w:trPr>
        <w:tc>
          <w:tcPr>
            <w:tcW w:w="4700" w:type="dxa"/>
            <w:vAlign w:val="bottom"/>
          </w:tcPr>
          <w:p>
            <w:pPr>
              <w:spacing w:after="0"/>
              <w:rPr>
                <w:sz w:val="15"/>
                <w:szCs w:val="15"/>
                <w:color w:val="auto"/>
              </w:rPr>
            </w:pPr>
          </w:p>
        </w:tc>
        <w:tc>
          <w:tcPr>
            <w:tcW w:w="1180" w:type="dxa"/>
            <w:vAlign w:val="bottom"/>
          </w:tcPr>
          <w:p>
            <w:pPr>
              <w:jc w:val="right"/>
              <w:ind w:right="168"/>
              <w:spacing w:after="0"/>
              <w:rPr>
                <w:sz w:val="20"/>
                <w:szCs w:val="20"/>
                <w:color w:val="auto"/>
              </w:rPr>
            </w:pPr>
            <w:r>
              <w:rPr>
                <w:rFonts w:ascii="Arial" w:cs="Arial" w:eastAsia="Arial" w:hAnsi="Arial"/>
                <w:sz w:val="14"/>
                <w:szCs w:val="14"/>
                <w:b w:val="1"/>
                <w:bCs w:val="1"/>
                <w:color w:val="auto"/>
              </w:rPr>
              <w:t>Todd</w:t>
            </w:r>
          </w:p>
        </w:tc>
        <w:tc>
          <w:tcPr>
            <w:tcW w:w="1160" w:type="dxa"/>
            <w:vAlign w:val="bottom"/>
          </w:tcPr>
          <w:p>
            <w:pPr>
              <w:jc w:val="right"/>
              <w:ind w:right="168"/>
              <w:spacing w:after="0"/>
              <w:rPr>
                <w:sz w:val="20"/>
                <w:szCs w:val="20"/>
                <w:color w:val="auto"/>
              </w:rPr>
            </w:pPr>
            <w:r>
              <w:rPr>
                <w:rFonts w:ascii="Arial" w:cs="Arial" w:eastAsia="Arial" w:hAnsi="Arial"/>
                <w:sz w:val="14"/>
                <w:szCs w:val="14"/>
                <w:b w:val="1"/>
                <w:bCs w:val="1"/>
                <w:color w:val="auto"/>
              </w:rPr>
              <w:t>Charles</w:t>
            </w:r>
          </w:p>
        </w:tc>
        <w:tc>
          <w:tcPr>
            <w:tcW w:w="1380" w:type="dxa"/>
            <w:vAlign w:val="bottom"/>
          </w:tcPr>
          <w:p>
            <w:pPr>
              <w:jc w:val="right"/>
              <w:ind w:right="88"/>
              <w:spacing w:after="0"/>
              <w:rPr>
                <w:sz w:val="20"/>
                <w:szCs w:val="20"/>
                <w:color w:val="auto"/>
              </w:rPr>
            </w:pPr>
            <w:r>
              <w:rPr>
                <w:rFonts w:ascii="Arial" w:cs="Arial" w:eastAsia="Arial" w:hAnsi="Arial"/>
                <w:sz w:val="14"/>
                <w:szCs w:val="14"/>
                <w:b w:val="1"/>
                <w:bCs w:val="1"/>
                <w:color w:val="auto"/>
              </w:rPr>
              <w:t>Average</w:t>
            </w:r>
          </w:p>
        </w:tc>
      </w:tr>
      <w:tr>
        <w:trPr>
          <w:trHeight w:val="205"/>
        </w:trPr>
        <w:tc>
          <w:tcPr>
            <w:tcW w:w="4700" w:type="dxa"/>
            <w:vAlign w:val="bottom"/>
            <w:tcBorders>
              <w:bottom w:val="single" w:sz="8" w:color="404040"/>
            </w:tcBorders>
          </w:tcPr>
          <w:p>
            <w:pPr>
              <w:spacing w:after="0"/>
              <w:rPr>
                <w:sz w:val="17"/>
                <w:szCs w:val="17"/>
                <w:color w:val="auto"/>
              </w:rPr>
            </w:pPr>
          </w:p>
        </w:tc>
        <w:tc>
          <w:tcPr>
            <w:tcW w:w="118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b w:val="1"/>
                <w:bCs w:val="1"/>
                <w:color w:val="auto"/>
              </w:rPr>
              <w:t>Nightingale</w:t>
            </w:r>
          </w:p>
        </w:tc>
        <w:tc>
          <w:tcPr>
            <w:tcW w:w="116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b w:val="1"/>
                <w:bCs w:val="1"/>
                <w:color w:val="auto"/>
              </w:rPr>
              <w:t>Compton</w:t>
            </w:r>
          </w:p>
        </w:tc>
        <w:tc>
          <w:tcPr>
            <w:tcW w:w="138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Non-PEO NEOs</w:t>
            </w:r>
          </w:p>
        </w:tc>
      </w:tr>
      <w:tr>
        <w:trPr>
          <w:trHeight w:val="208"/>
        </w:trPr>
        <w:tc>
          <w:tcPr>
            <w:tcW w:w="4700" w:type="dxa"/>
            <w:vAlign w:val="bottom"/>
          </w:tcPr>
          <w:p>
            <w:pPr>
              <w:ind w:left="60"/>
              <w:spacing w:after="0"/>
              <w:rPr>
                <w:sz w:val="20"/>
                <w:szCs w:val="20"/>
                <w:color w:val="auto"/>
              </w:rPr>
            </w:pPr>
            <w:r>
              <w:rPr>
                <w:rFonts w:ascii="Arial" w:cs="Arial" w:eastAsia="Arial" w:hAnsi="Arial"/>
                <w:sz w:val="14"/>
                <w:szCs w:val="14"/>
                <w:color w:val="auto"/>
              </w:rPr>
              <w:t>Total Compensation from Summary Compensation Table</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$6,372,684</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$6,798,332</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$5,790,848</w:t>
            </w:r>
          </w:p>
        </w:tc>
      </w:tr>
      <w:tr>
        <w:trPr>
          <w:trHeight w:val="22"/>
        </w:trPr>
        <w:tc>
          <w:tcPr>
            <w:tcW w:w="4700" w:type="dxa"/>
            <w:vAlign w:val="bottom"/>
            <w:tcBorders>
              <w:bottom w:val="single" w:sz="8" w:color="404040"/>
            </w:tcBorders>
          </w:tcPr>
          <w:p>
            <w:pPr>
              <w:spacing w:after="0" w:line="20" w:lineRule="exact"/>
              <w:rPr>
                <w:sz w:val="1"/>
                <w:szCs w:val="1"/>
                <w:color w:val="auto"/>
              </w:rPr>
            </w:pPr>
          </w:p>
        </w:tc>
        <w:tc>
          <w:tcPr>
            <w:tcW w:w="1180" w:type="dxa"/>
            <w:vAlign w:val="bottom"/>
            <w:tcBorders>
              <w:bottom w:val="single" w:sz="8" w:color="404040"/>
            </w:tcBorders>
          </w:tcPr>
          <w:p>
            <w:pPr>
              <w:spacing w:after="0" w:line="20" w:lineRule="exact"/>
              <w:rPr>
                <w:sz w:val="1"/>
                <w:szCs w:val="1"/>
                <w:color w:val="auto"/>
              </w:rPr>
            </w:pPr>
          </w:p>
        </w:tc>
        <w:tc>
          <w:tcPr>
            <w:tcW w:w="1160" w:type="dxa"/>
            <w:vAlign w:val="bottom"/>
            <w:tcBorders>
              <w:bottom w:val="single" w:sz="8" w:color="404040"/>
            </w:tcBorders>
          </w:tcPr>
          <w:p>
            <w:pPr>
              <w:spacing w:after="0" w:line="20" w:lineRule="exact"/>
              <w:rPr>
                <w:sz w:val="1"/>
                <w:szCs w:val="1"/>
                <w:color w:val="auto"/>
              </w:rPr>
            </w:pPr>
          </w:p>
        </w:tc>
        <w:tc>
          <w:tcPr>
            <w:tcW w:w="1380" w:type="dxa"/>
            <w:vAlign w:val="bottom"/>
            <w:tcBorders>
              <w:bottom w:val="single" w:sz="8" w:color="404040"/>
            </w:tcBorders>
          </w:tcPr>
          <w:p>
            <w:pPr>
              <w:spacing w:after="0" w:line="20" w:lineRule="exact"/>
              <w:rPr>
                <w:sz w:val="1"/>
                <w:szCs w:val="1"/>
                <w:color w:val="auto"/>
              </w:rPr>
            </w:pPr>
          </w:p>
        </w:tc>
      </w:tr>
      <w:tr>
        <w:trPr>
          <w:trHeight w:val="217"/>
        </w:trPr>
        <w:tc>
          <w:tcPr>
            <w:tcW w:w="470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Adjustments for Equity Awards</w:t>
            </w:r>
          </w:p>
        </w:tc>
        <w:tc>
          <w:tcPr>
            <w:tcW w:w="1180" w:type="dxa"/>
            <w:vAlign w:val="bottom"/>
            <w:tcBorders>
              <w:bottom w:val="single" w:sz="8" w:color="404040"/>
            </w:tcBorders>
          </w:tcPr>
          <w:p>
            <w:pPr>
              <w:spacing w:after="0"/>
              <w:rPr>
                <w:sz w:val="18"/>
                <w:szCs w:val="18"/>
                <w:color w:val="auto"/>
              </w:rPr>
            </w:pPr>
          </w:p>
        </w:tc>
        <w:tc>
          <w:tcPr>
            <w:tcW w:w="1160" w:type="dxa"/>
            <w:vAlign w:val="bottom"/>
            <w:tcBorders>
              <w:bottom w:val="single" w:sz="8" w:color="404040"/>
            </w:tcBorders>
          </w:tcPr>
          <w:p>
            <w:pPr>
              <w:spacing w:after="0"/>
              <w:rPr>
                <w:sz w:val="18"/>
                <w:szCs w:val="18"/>
                <w:color w:val="auto"/>
              </w:rPr>
            </w:pPr>
          </w:p>
        </w:tc>
        <w:tc>
          <w:tcPr>
            <w:tcW w:w="1380" w:type="dxa"/>
            <w:vAlign w:val="bottom"/>
            <w:tcBorders>
              <w:bottom w:val="single" w:sz="8" w:color="404040"/>
            </w:tcBorders>
          </w:tcPr>
          <w:p>
            <w:pPr>
              <w:spacing w:after="0"/>
              <w:rPr>
                <w:sz w:val="18"/>
                <w:szCs w:val="18"/>
                <w:color w:val="auto"/>
              </w:rPr>
            </w:pPr>
          </w:p>
        </w:tc>
      </w:tr>
      <w:tr>
        <w:trPr>
          <w:trHeight w:val="208"/>
        </w:trPr>
        <w:tc>
          <w:tcPr>
            <w:tcW w:w="4700" w:type="dxa"/>
            <w:vAlign w:val="bottom"/>
          </w:tcPr>
          <w:p>
            <w:pPr>
              <w:ind w:left="60"/>
              <w:spacing w:after="0"/>
              <w:rPr>
                <w:sz w:val="20"/>
                <w:szCs w:val="20"/>
                <w:color w:val="auto"/>
              </w:rPr>
            </w:pPr>
            <w:r>
              <w:rPr>
                <w:rFonts w:ascii="Arial" w:cs="Arial" w:eastAsia="Arial" w:hAnsi="Arial"/>
                <w:sz w:val="14"/>
                <w:szCs w:val="14"/>
                <w:color w:val="auto"/>
              </w:rPr>
              <w:t>Grant date values in the Summary Compensation Table</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-$6,070,684</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-$6,313,831</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-$5,109,690</w:t>
            </w:r>
          </w:p>
        </w:tc>
      </w:tr>
      <w:tr>
        <w:trPr>
          <w:trHeight w:val="22"/>
        </w:trPr>
        <w:tc>
          <w:tcPr>
            <w:tcW w:w="4700" w:type="dxa"/>
            <w:vAlign w:val="bottom"/>
            <w:tcBorders>
              <w:bottom w:val="single" w:sz="8" w:color="404040"/>
            </w:tcBorders>
          </w:tcPr>
          <w:p>
            <w:pPr>
              <w:spacing w:after="0" w:line="20" w:lineRule="exact"/>
              <w:rPr>
                <w:sz w:val="1"/>
                <w:szCs w:val="1"/>
                <w:color w:val="auto"/>
              </w:rPr>
            </w:pPr>
          </w:p>
        </w:tc>
        <w:tc>
          <w:tcPr>
            <w:tcW w:w="1180" w:type="dxa"/>
            <w:vAlign w:val="bottom"/>
            <w:tcBorders>
              <w:bottom w:val="single" w:sz="8" w:color="404040"/>
            </w:tcBorders>
          </w:tcPr>
          <w:p>
            <w:pPr>
              <w:spacing w:after="0" w:line="20" w:lineRule="exact"/>
              <w:rPr>
                <w:sz w:val="1"/>
                <w:szCs w:val="1"/>
                <w:color w:val="auto"/>
              </w:rPr>
            </w:pPr>
          </w:p>
        </w:tc>
        <w:tc>
          <w:tcPr>
            <w:tcW w:w="1160" w:type="dxa"/>
            <w:vAlign w:val="bottom"/>
            <w:tcBorders>
              <w:bottom w:val="single" w:sz="8" w:color="404040"/>
            </w:tcBorders>
          </w:tcPr>
          <w:p>
            <w:pPr>
              <w:spacing w:after="0" w:line="20" w:lineRule="exact"/>
              <w:rPr>
                <w:sz w:val="1"/>
                <w:szCs w:val="1"/>
                <w:color w:val="auto"/>
              </w:rPr>
            </w:pPr>
          </w:p>
        </w:tc>
        <w:tc>
          <w:tcPr>
            <w:tcW w:w="1380" w:type="dxa"/>
            <w:vAlign w:val="bottom"/>
            <w:tcBorders>
              <w:bottom w:val="single" w:sz="8" w:color="404040"/>
            </w:tcBorders>
          </w:tcPr>
          <w:p>
            <w:pPr>
              <w:spacing w:after="0" w:line="20" w:lineRule="exact"/>
              <w:rPr>
                <w:sz w:val="1"/>
                <w:szCs w:val="1"/>
                <w:color w:val="auto"/>
              </w:rPr>
            </w:pPr>
          </w:p>
        </w:tc>
      </w:tr>
      <w:tr>
        <w:trPr>
          <w:trHeight w:val="201"/>
        </w:trPr>
        <w:tc>
          <w:tcPr>
            <w:tcW w:w="4700" w:type="dxa"/>
            <w:vAlign w:val="bottom"/>
          </w:tcPr>
          <w:p>
            <w:pPr>
              <w:ind w:left="60"/>
              <w:spacing w:after="0"/>
              <w:rPr>
                <w:sz w:val="20"/>
                <w:szCs w:val="20"/>
                <w:color w:val="auto"/>
              </w:rPr>
            </w:pPr>
            <w:r>
              <w:rPr>
                <w:rFonts w:ascii="Arial" w:cs="Arial" w:eastAsia="Arial" w:hAnsi="Arial"/>
                <w:sz w:val="14"/>
                <w:szCs w:val="14"/>
                <w:color w:val="auto"/>
              </w:rPr>
              <w:t>Year-end fair value of unvested awards granted in the current year</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$9,288,674</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$7,044,387</w:t>
            </w:r>
          </w:p>
        </w:tc>
      </w:tr>
      <w:tr>
        <w:trPr>
          <w:trHeight w:val="22"/>
        </w:trPr>
        <w:tc>
          <w:tcPr>
            <w:tcW w:w="4700" w:type="dxa"/>
            <w:vAlign w:val="bottom"/>
            <w:tcBorders>
              <w:bottom w:val="single" w:sz="8" w:color="404040"/>
            </w:tcBorders>
          </w:tcPr>
          <w:p>
            <w:pPr>
              <w:spacing w:after="0" w:line="20" w:lineRule="exact"/>
              <w:rPr>
                <w:sz w:val="1"/>
                <w:szCs w:val="1"/>
                <w:color w:val="auto"/>
              </w:rPr>
            </w:pPr>
          </w:p>
        </w:tc>
        <w:tc>
          <w:tcPr>
            <w:tcW w:w="1180" w:type="dxa"/>
            <w:vAlign w:val="bottom"/>
            <w:tcBorders>
              <w:bottom w:val="single" w:sz="8" w:color="404040"/>
            </w:tcBorders>
          </w:tcPr>
          <w:p>
            <w:pPr>
              <w:spacing w:after="0" w:line="20" w:lineRule="exact"/>
              <w:rPr>
                <w:sz w:val="1"/>
                <w:szCs w:val="1"/>
                <w:color w:val="auto"/>
              </w:rPr>
            </w:pPr>
          </w:p>
        </w:tc>
        <w:tc>
          <w:tcPr>
            <w:tcW w:w="1160" w:type="dxa"/>
            <w:vAlign w:val="bottom"/>
            <w:tcBorders>
              <w:bottom w:val="single" w:sz="8" w:color="404040"/>
            </w:tcBorders>
          </w:tcPr>
          <w:p>
            <w:pPr>
              <w:spacing w:after="0" w:line="20" w:lineRule="exact"/>
              <w:rPr>
                <w:sz w:val="1"/>
                <w:szCs w:val="1"/>
                <w:color w:val="auto"/>
              </w:rPr>
            </w:pPr>
          </w:p>
        </w:tc>
        <w:tc>
          <w:tcPr>
            <w:tcW w:w="1380" w:type="dxa"/>
            <w:vAlign w:val="bottom"/>
            <w:tcBorders>
              <w:bottom w:val="single" w:sz="8" w:color="404040"/>
            </w:tcBorders>
          </w:tcPr>
          <w:p>
            <w:pPr>
              <w:spacing w:after="0" w:line="20" w:lineRule="exact"/>
              <w:rPr>
                <w:sz w:val="1"/>
                <w:szCs w:val="1"/>
                <w:color w:val="auto"/>
              </w:rPr>
            </w:pPr>
          </w:p>
        </w:tc>
      </w:tr>
      <w:tr>
        <w:trPr>
          <w:trHeight w:val="173"/>
        </w:trPr>
        <w:tc>
          <w:tcPr>
            <w:tcW w:w="4700" w:type="dxa"/>
            <w:vAlign w:val="bottom"/>
          </w:tcPr>
          <w:p>
            <w:pPr>
              <w:ind w:left="60"/>
              <w:spacing w:after="0"/>
              <w:rPr>
                <w:sz w:val="20"/>
                <w:szCs w:val="20"/>
                <w:color w:val="auto"/>
              </w:rPr>
            </w:pPr>
            <w:r>
              <w:rPr>
                <w:rFonts w:ascii="Arial" w:cs="Arial" w:eastAsia="Arial" w:hAnsi="Arial"/>
                <w:sz w:val="14"/>
                <w:szCs w:val="14"/>
                <w:color w:val="auto"/>
              </w:rPr>
              <w:t>Year-over-year difference of year-end fair values for unvested awards</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0"/>
        </w:trPr>
        <w:tc>
          <w:tcPr>
            <w:tcW w:w="4700" w:type="dxa"/>
            <w:vAlign w:val="bottom"/>
          </w:tcPr>
          <w:p>
            <w:pPr>
              <w:ind w:left="60"/>
              <w:spacing w:after="0"/>
              <w:rPr>
                <w:sz w:val="20"/>
                <w:szCs w:val="20"/>
                <w:color w:val="auto"/>
              </w:rPr>
            </w:pPr>
            <w:r>
              <w:rPr>
                <w:rFonts w:ascii="Arial" w:cs="Arial" w:eastAsia="Arial" w:hAnsi="Arial"/>
                <w:sz w:val="14"/>
                <w:szCs w:val="14"/>
                <w:color w:val="auto"/>
              </w:rPr>
              <w:t>granted in prior years</w:t>
            </w:r>
          </w:p>
        </w:tc>
        <w:tc>
          <w:tcPr>
            <w:tcW w:w="1180" w:type="dxa"/>
            <w:vAlign w:val="bottom"/>
          </w:tcPr>
          <w:p>
            <w:pPr>
              <w:jc w:val="right"/>
              <w:ind w:right="12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$82,491</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$79,100</w:t>
            </w:r>
          </w:p>
        </w:tc>
      </w:tr>
      <w:tr>
        <w:trPr>
          <w:trHeight w:val="22"/>
        </w:trPr>
        <w:tc>
          <w:tcPr>
            <w:tcW w:w="4700" w:type="dxa"/>
            <w:vAlign w:val="bottom"/>
            <w:tcBorders>
              <w:bottom w:val="single" w:sz="8" w:color="404040"/>
            </w:tcBorders>
          </w:tcPr>
          <w:p>
            <w:pPr>
              <w:spacing w:after="0" w:line="20" w:lineRule="exact"/>
              <w:rPr>
                <w:sz w:val="1"/>
                <w:szCs w:val="1"/>
                <w:color w:val="auto"/>
              </w:rPr>
            </w:pPr>
          </w:p>
        </w:tc>
        <w:tc>
          <w:tcPr>
            <w:tcW w:w="1180" w:type="dxa"/>
            <w:vAlign w:val="bottom"/>
            <w:tcBorders>
              <w:bottom w:val="single" w:sz="8" w:color="404040"/>
            </w:tcBorders>
          </w:tcPr>
          <w:p>
            <w:pPr>
              <w:spacing w:after="0" w:line="20" w:lineRule="exact"/>
              <w:rPr>
                <w:sz w:val="1"/>
                <w:szCs w:val="1"/>
                <w:color w:val="auto"/>
              </w:rPr>
            </w:pPr>
          </w:p>
        </w:tc>
        <w:tc>
          <w:tcPr>
            <w:tcW w:w="1160" w:type="dxa"/>
            <w:vAlign w:val="bottom"/>
            <w:tcBorders>
              <w:bottom w:val="single" w:sz="8" w:color="404040"/>
            </w:tcBorders>
          </w:tcPr>
          <w:p>
            <w:pPr>
              <w:spacing w:after="0" w:line="20" w:lineRule="exact"/>
              <w:rPr>
                <w:sz w:val="1"/>
                <w:szCs w:val="1"/>
                <w:color w:val="auto"/>
              </w:rPr>
            </w:pPr>
          </w:p>
        </w:tc>
        <w:tc>
          <w:tcPr>
            <w:tcW w:w="1380" w:type="dxa"/>
            <w:vAlign w:val="bottom"/>
            <w:tcBorders>
              <w:bottom w:val="single" w:sz="8" w:color="404040"/>
            </w:tcBorders>
          </w:tcPr>
          <w:p>
            <w:pPr>
              <w:spacing w:after="0" w:line="20" w:lineRule="exact"/>
              <w:rPr>
                <w:sz w:val="1"/>
                <w:szCs w:val="1"/>
                <w:color w:val="auto"/>
              </w:rPr>
            </w:pPr>
          </w:p>
        </w:tc>
      </w:tr>
      <w:tr>
        <w:trPr>
          <w:trHeight w:val="183"/>
        </w:trPr>
        <w:tc>
          <w:tcPr>
            <w:tcW w:w="4700" w:type="dxa"/>
            <w:vAlign w:val="bottom"/>
            <w:tcBorders>
              <w:bottom w:val="single" w:sz="8" w:color="404040"/>
            </w:tcBorders>
          </w:tcPr>
          <w:p>
            <w:pPr>
              <w:ind w:left="60"/>
              <w:spacing w:after="0"/>
              <w:rPr>
                <w:sz w:val="20"/>
                <w:szCs w:val="20"/>
                <w:color w:val="auto"/>
              </w:rPr>
            </w:pPr>
            <w:r>
              <w:rPr>
                <w:rFonts w:ascii="Arial" w:cs="Arial" w:eastAsia="Arial" w:hAnsi="Arial"/>
                <w:sz w:val="14"/>
                <w:szCs w:val="14"/>
                <w:color w:val="auto"/>
              </w:rPr>
              <w:t>Fair values at vest date for awards granted and vested in current year</w:t>
            </w:r>
          </w:p>
        </w:tc>
        <w:tc>
          <w:tcPr>
            <w:tcW w:w="118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color w:val="auto"/>
              </w:rPr>
              <w:t>$387,094</w:t>
            </w:r>
          </w:p>
        </w:tc>
        <w:tc>
          <w:tcPr>
            <w:tcW w:w="116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color w:val="auto"/>
              </w:rPr>
              <w:t>$773,249</w:t>
            </w:r>
          </w:p>
        </w:tc>
        <w:tc>
          <w:tcPr>
            <w:tcW w:w="138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$516,583</w:t>
            </w:r>
          </w:p>
        </w:tc>
      </w:tr>
    </w:tbl>
    <w:p>
      <w:pPr>
        <w:spacing w:after="0" w:line="198" w:lineRule="exact"/>
        <w:rPr>
          <w:sz w:val="20"/>
          <w:szCs w:val="20"/>
          <w:color w:val="auto"/>
        </w:rPr>
      </w:pPr>
    </w:p>
    <w:p>
      <w:pPr>
        <w:jc w:val="right"/>
        <w:ind w:right="160"/>
        <w:spacing w:after="0"/>
        <w:rPr>
          <w:sz w:val="20"/>
          <w:szCs w:val="20"/>
          <w:color w:val="auto"/>
        </w:rPr>
      </w:pPr>
      <w:r>
        <w:rPr>
          <w:rFonts w:ascii="Arial" w:cs="Arial" w:eastAsia="Arial" w:hAnsi="Arial"/>
          <w:sz w:val="13"/>
          <w:szCs w:val="13"/>
          <w:color w:val="auto"/>
        </w:rPr>
        <w:t>2026 PROXY STATEMENT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113665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40"/>
          </w:cols>
          <w:pgMar w:left="920" w:top="114" w:right="9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61"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4420" w:type="dxa"/>
            <w:vAlign w:val="bottom"/>
            <w:tcBorders>
              <w:bottom w:val="single" w:sz="8" w:color="404040"/>
            </w:tcBorders>
          </w:tcPr>
          <w:p>
            <w:pPr>
              <w:spacing w:after="0"/>
              <w:rPr>
                <w:sz w:val="17"/>
                <w:szCs w:val="17"/>
                <w:color w:val="auto"/>
              </w:rPr>
            </w:pPr>
          </w:p>
        </w:tc>
        <w:tc>
          <w:tcPr>
            <w:tcW w:w="1360" w:type="dxa"/>
            <w:vAlign w:val="bottom"/>
            <w:tcBorders>
              <w:bottom w:val="single" w:sz="8" w:color="404040"/>
            </w:tcBorders>
          </w:tcPr>
          <w:p>
            <w:pPr>
              <w:spacing w:after="0"/>
              <w:rPr>
                <w:sz w:val="17"/>
                <w:szCs w:val="17"/>
                <w:color w:val="auto"/>
              </w:rPr>
            </w:pPr>
          </w:p>
        </w:tc>
        <w:tc>
          <w:tcPr>
            <w:tcW w:w="1240" w:type="dxa"/>
            <w:vAlign w:val="bottom"/>
            <w:tcBorders>
              <w:bottom w:val="single" w:sz="8" w:color="404040"/>
            </w:tcBorders>
          </w:tcPr>
          <w:p>
            <w:pPr>
              <w:jc w:val="center"/>
              <w:ind w:left="168"/>
              <w:spacing w:after="0"/>
              <w:rPr>
                <w:sz w:val="20"/>
                <w:szCs w:val="20"/>
                <w:color w:val="auto"/>
              </w:rPr>
            </w:pPr>
            <w:r>
              <w:rPr>
                <w:rFonts w:ascii="Arial" w:cs="Arial" w:eastAsia="Arial" w:hAnsi="Arial"/>
                <w:sz w:val="14"/>
                <w:szCs w:val="14"/>
                <w:b w:val="1"/>
                <w:bCs w:val="1"/>
                <w:color w:val="auto"/>
              </w:rPr>
              <w:t>2025</w:t>
            </w:r>
          </w:p>
        </w:tc>
        <w:tc>
          <w:tcPr>
            <w:tcW w:w="1400" w:type="dxa"/>
            <w:vAlign w:val="bottom"/>
            <w:tcBorders>
              <w:bottom w:val="single" w:sz="8" w:color="404040"/>
            </w:tcBorders>
          </w:tcPr>
          <w:p>
            <w:pPr>
              <w:spacing w:after="0"/>
              <w:rPr>
                <w:sz w:val="17"/>
                <w:szCs w:val="17"/>
                <w:color w:val="auto"/>
              </w:rPr>
            </w:pPr>
          </w:p>
        </w:tc>
      </w:tr>
      <w:tr>
        <w:trPr>
          <w:trHeight w:val="180"/>
        </w:trPr>
        <w:tc>
          <w:tcPr>
            <w:tcW w:w="4420" w:type="dxa"/>
            <w:vAlign w:val="bottom"/>
          </w:tcPr>
          <w:p>
            <w:pPr>
              <w:spacing w:after="0"/>
              <w:rPr>
                <w:sz w:val="15"/>
                <w:szCs w:val="15"/>
                <w:color w:val="auto"/>
              </w:rPr>
            </w:pPr>
          </w:p>
        </w:tc>
        <w:tc>
          <w:tcPr>
            <w:tcW w:w="1360" w:type="dxa"/>
            <w:vAlign w:val="bottom"/>
          </w:tcPr>
          <w:p>
            <w:pPr>
              <w:jc w:val="right"/>
              <w:ind w:right="188"/>
              <w:spacing w:after="0"/>
              <w:rPr>
                <w:sz w:val="20"/>
                <w:szCs w:val="20"/>
                <w:color w:val="auto"/>
              </w:rPr>
            </w:pPr>
            <w:r>
              <w:rPr>
                <w:rFonts w:ascii="Arial" w:cs="Arial" w:eastAsia="Arial" w:hAnsi="Arial"/>
                <w:sz w:val="14"/>
                <w:szCs w:val="14"/>
                <w:b w:val="1"/>
                <w:bCs w:val="1"/>
                <w:color w:val="auto"/>
              </w:rPr>
              <w:t>Todd</w:t>
            </w:r>
          </w:p>
        </w:tc>
        <w:tc>
          <w:tcPr>
            <w:tcW w:w="1240" w:type="dxa"/>
            <w:vAlign w:val="bottom"/>
          </w:tcPr>
          <w:p>
            <w:pPr>
              <w:jc w:val="center"/>
              <w:ind w:left="128"/>
              <w:spacing w:after="0"/>
              <w:rPr>
                <w:sz w:val="20"/>
                <w:szCs w:val="20"/>
                <w:color w:val="auto"/>
              </w:rPr>
            </w:pPr>
            <w:r>
              <w:rPr>
                <w:rFonts w:ascii="Arial" w:cs="Arial" w:eastAsia="Arial" w:hAnsi="Arial"/>
                <w:sz w:val="14"/>
                <w:szCs w:val="14"/>
                <w:b w:val="1"/>
                <w:bCs w:val="1"/>
                <w:color w:val="auto"/>
              </w:rPr>
              <w:t>Charles</w:t>
            </w:r>
          </w:p>
        </w:tc>
        <w:tc>
          <w:tcPr>
            <w:tcW w:w="1400" w:type="dxa"/>
            <w:vAlign w:val="bottom"/>
          </w:tcPr>
          <w:p>
            <w:pPr>
              <w:jc w:val="right"/>
              <w:ind w:right="88"/>
              <w:spacing w:after="0"/>
              <w:rPr>
                <w:sz w:val="20"/>
                <w:szCs w:val="20"/>
                <w:color w:val="auto"/>
              </w:rPr>
            </w:pPr>
            <w:r>
              <w:rPr>
                <w:rFonts w:ascii="Arial" w:cs="Arial" w:eastAsia="Arial" w:hAnsi="Arial"/>
                <w:sz w:val="14"/>
                <w:szCs w:val="14"/>
                <w:b w:val="1"/>
                <w:bCs w:val="1"/>
                <w:color w:val="auto"/>
              </w:rPr>
              <w:t>Average</w:t>
            </w:r>
          </w:p>
        </w:tc>
      </w:tr>
      <w:tr>
        <w:trPr>
          <w:trHeight w:val="205"/>
        </w:trPr>
        <w:tc>
          <w:tcPr>
            <w:tcW w:w="4420" w:type="dxa"/>
            <w:vAlign w:val="bottom"/>
            <w:tcBorders>
              <w:bottom w:val="single" w:sz="8" w:color="404040"/>
            </w:tcBorders>
          </w:tcPr>
          <w:p>
            <w:pPr>
              <w:spacing w:after="0"/>
              <w:rPr>
                <w:sz w:val="17"/>
                <w:szCs w:val="17"/>
                <w:color w:val="auto"/>
              </w:rPr>
            </w:pPr>
          </w:p>
        </w:tc>
        <w:tc>
          <w:tcPr>
            <w:tcW w:w="136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b w:val="1"/>
                <w:bCs w:val="1"/>
                <w:color w:val="auto"/>
              </w:rPr>
              <w:t>Nightingale</w:t>
            </w:r>
          </w:p>
        </w:tc>
        <w:tc>
          <w:tcPr>
            <w:tcW w:w="1240" w:type="dxa"/>
            <w:vAlign w:val="bottom"/>
            <w:tcBorders>
              <w:bottom w:val="single" w:sz="8" w:color="404040"/>
            </w:tcBorders>
          </w:tcPr>
          <w:p>
            <w:pPr>
              <w:jc w:val="center"/>
              <w:ind w:left="108"/>
              <w:spacing w:after="0"/>
              <w:rPr>
                <w:sz w:val="20"/>
                <w:szCs w:val="20"/>
                <w:color w:val="auto"/>
              </w:rPr>
            </w:pPr>
            <w:r>
              <w:rPr>
                <w:rFonts w:ascii="Arial" w:cs="Arial" w:eastAsia="Arial" w:hAnsi="Arial"/>
                <w:sz w:val="14"/>
                <w:szCs w:val="14"/>
                <w:b w:val="1"/>
                <w:bCs w:val="1"/>
                <w:color w:val="auto"/>
              </w:rPr>
              <w:t>Compton</w:t>
            </w:r>
          </w:p>
        </w:tc>
        <w:tc>
          <w:tcPr>
            <w:tcW w:w="140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Non-PEO NEOs</w:t>
            </w:r>
          </w:p>
        </w:tc>
      </w:tr>
      <w:tr>
        <w:trPr>
          <w:trHeight w:val="180"/>
        </w:trPr>
        <w:tc>
          <w:tcPr>
            <w:tcW w:w="4420" w:type="dxa"/>
            <w:vAlign w:val="bottom"/>
          </w:tcPr>
          <w:p>
            <w:pPr>
              <w:ind w:left="60"/>
              <w:spacing w:after="0"/>
              <w:rPr>
                <w:sz w:val="20"/>
                <w:szCs w:val="20"/>
                <w:color w:val="auto"/>
              </w:rPr>
            </w:pPr>
            <w:r>
              <w:rPr>
                <w:rFonts w:ascii="Arial" w:cs="Arial" w:eastAsia="Arial" w:hAnsi="Arial"/>
                <w:sz w:val="14"/>
                <w:szCs w:val="14"/>
                <w:color w:val="auto"/>
              </w:rPr>
              <w:t>Difference in fair values between prior year-end fair values and</w:t>
            </w: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0"/>
        </w:trPr>
        <w:tc>
          <w:tcPr>
            <w:tcW w:w="4420" w:type="dxa"/>
            <w:vAlign w:val="bottom"/>
          </w:tcPr>
          <w:p>
            <w:pPr>
              <w:ind w:left="60"/>
              <w:spacing w:after="0"/>
              <w:rPr>
                <w:sz w:val="20"/>
                <w:szCs w:val="20"/>
                <w:color w:val="auto"/>
              </w:rPr>
            </w:pPr>
            <w:r>
              <w:rPr>
                <w:rFonts w:ascii="Arial" w:cs="Arial" w:eastAsia="Arial" w:hAnsi="Arial"/>
                <w:sz w:val="14"/>
                <w:szCs w:val="14"/>
                <w:color w:val="auto"/>
              </w:rPr>
              <w:t>vest date fair values for awards granted in prior years</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-$437,562</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-$171,667</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-$376,022</w:t>
            </w:r>
          </w:p>
        </w:tc>
      </w:tr>
      <w:tr>
        <w:trPr>
          <w:trHeight w:val="22"/>
        </w:trPr>
        <w:tc>
          <w:tcPr>
            <w:tcW w:w="4420" w:type="dxa"/>
            <w:vAlign w:val="bottom"/>
            <w:tcBorders>
              <w:bottom w:val="single" w:sz="8" w:color="404040"/>
            </w:tcBorders>
          </w:tcPr>
          <w:p>
            <w:pPr>
              <w:spacing w:after="0" w:line="20" w:lineRule="exact"/>
              <w:rPr>
                <w:sz w:val="1"/>
                <w:szCs w:val="1"/>
                <w:color w:val="auto"/>
              </w:rPr>
            </w:pPr>
          </w:p>
        </w:tc>
        <w:tc>
          <w:tcPr>
            <w:tcW w:w="1360" w:type="dxa"/>
            <w:vAlign w:val="bottom"/>
            <w:tcBorders>
              <w:bottom w:val="single" w:sz="8" w:color="404040"/>
            </w:tcBorders>
          </w:tcPr>
          <w:p>
            <w:pPr>
              <w:spacing w:after="0" w:line="20" w:lineRule="exact"/>
              <w:rPr>
                <w:sz w:val="1"/>
                <w:szCs w:val="1"/>
                <w:color w:val="auto"/>
              </w:rPr>
            </w:pPr>
          </w:p>
        </w:tc>
        <w:tc>
          <w:tcPr>
            <w:tcW w:w="1240" w:type="dxa"/>
            <w:vAlign w:val="bottom"/>
            <w:tcBorders>
              <w:bottom w:val="single" w:sz="8" w:color="404040"/>
            </w:tcBorders>
          </w:tcPr>
          <w:p>
            <w:pPr>
              <w:spacing w:after="0" w:line="20" w:lineRule="exact"/>
              <w:rPr>
                <w:sz w:val="1"/>
                <w:szCs w:val="1"/>
                <w:color w:val="auto"/>
              </w:rPr>
            </w:pPr>
          </w:p>
        </w:tc>
        <w:tc>
          <w:tcPr>
            <w:tcW w:w="1400" w:type="dxa"/>
            <w:vAlign w:val="bottom"/>
            <w:tcBorders>
              <w:bottom w:val="single" w:sz="8" w:color="404040"/>
            </w:tcBorders>
          </w:tcPr>
          <w:p>
            <w:pPr>
              <w:spacing w:after="0" w:line="20" w:lineRule="exact"/>
              <w:rPr>
                <w:sz w:val="1"/>
                <w:szCs w:val="1"/>
                <w:color w:val="auto"/>
              </w:rPr>
            </w:pPr>
          </w:p>
        </w:tc>
      </w:tr>
      <w:tr>
        <w:trPr>
          <w:trHeight w:val="201"/>
        </w:trPr>
        <w:tc>
          <w:tcPr>
            <w:tcW w:w="4420" w:type="dxa"/>
            <w:vAlign w:val="bottom"/>
          </w:tcPr>
          <w:p>
            <w:pPr>
              <w:ind w:left="60"/>
              <w:spacing w:after="0"/>
              <w:rPr>
                <w:sz w:val="20"/>
                <w:szCs w:val="20"/>
                <w:color w:val="auto"/>
              </w:rPr>
            </w:pPr>
            <w:r>
              <w:rPr>
                <w:rFonts w:ascii="Arial" w:cs="Arial" w:eastAsia="Arial" w:hAnsi="Arial"/>
                <w:sz w:val="14"/>
                <w:szCs w:val="14"/>
                <w:color w:val="auto"/>
              </w:rPr>
              <w:t>Forfeitures during current year equal to prior year-end fair value</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-$23,389,338</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-$6,151,501</w:t>
            </w:r>
          </w:p>
        </w:tc>
      </w:tr>
      <w:tr>
        <w:trPr>
          <w:trHeight w:val="22"/>
        </w:trPr>
        <w:tc>
          <w:tcPr>
            <w:tcW w:w="4420" w:type="dxa"/>
            <w:vAlign w:val="bottom"/>
            <w:tcBorders>
              <w:bottom w:val="single" w:sz="8" w:color="404040"/>
            </w:tcBorders>
          </w:tcPr>
          <w:p>
            <w:pPr>
              <w:spacing w:after="0" w:line="20" w:lineRule="exact"/>
              <w:rPr>
                <w:sz w:val="1"/>
                <w:szCs w:val="1"/>
                <w:color w:val="auto"/>
              </w:rPr>
            </w:pPr>
          </w:p>
        </w:tc>
        <w:tc>
          <w:tcPr>
            <w:tcW w:w="1360" w:type="dxa"/>
            <w:vAlign w:val="bottom"/>
            <w:tcBorders>
              <w:bottom w:val="single" w:sz="8" w:color="404040"/>
            </w:tcBorders>
          </w:tcPr>
          <w:p>
            <w:pPr>
              <w:spacing w:after="0" w:line="20" w:lineRule="exact"/>
              <w:rPr>
                <w:sz w:val="1"/>
                <w:szCs w:val="1"/>
                <w:color w:val="auto"/>
              </w:rPr>
            </w:pPr>
          </w:p>
        </w:tc>
        <w:tc>
          <w:tcPr>
            <w:tcW w:w="1240" w:type="dxa"/>
            <w:vAlign w:val="bottom"/>
            <w:tcBorders>
              <w:bottom w:val="single" w:sz="8" w:color="404040"/>
            </w:tcBorders>
          </w:tcPr>
          <w:p>
            <w:pPr>
              <w:spacing w:after="0" w:line="20" w:lineRule="exact"/>
              <w:rPr>
                <w:sz w:val="1"/>
                <w:szCs w:val="1"/>
                <w:color w:val="auto"/>
              </w:rPr>
            </w:pPr>
          </w:p>
        </w:tc>
        <w:tc>
          <w:tcPr>
            <w:tcW w:w="1400" w:type="dxa"/>
            <w:vAlign w:val="bottom"/>
            <w:tcBorders>
              <w:bottom w:val="single" w:sz="8" w:color="404040"/>
            </w:tcBorders>
          </w:tcPr>
          <w:p>
            <w:pPr>
              <w:spacing w:after="0" w:line="20" w:lineRule="exact"/>
              <w:rPr>
                <w:sz w:val="1"/>
                <w:szCs w:val="1"/>
                <w:color w:val="auto"/>
              </w:rPr>
            </w:pPr>
          </w:p>
        </w:tc>
      </w:tr>
      <w:tr>
        <w:trPr>
          <w:trHeight w:val="173"/>
        </w:trPr>
        <w:tc>
          <w:tcPr>
            <w:tcW w:w="4420" w:type="dxa"/>
            <w:vAlign w:val="bottom"/>
          </w:tcPr>
          <w:p>
            <w:pPr>
              <w:ind w:left="60"/>
              <w:spacing w:after="0"/>
              <w:rPr>
                <w:sz w:val="20"/>
                <w:szCs w:val="20"/>
                <w:color w:val="auto"/>
              </w:rPr>
            </w:pPr>
            <w:r>
              <w:rPr>
                <w:rFonts w:ascii="Arial" w:cs="Arial" w:eastAsia="Arial" w:hAnsi="Arial"/>
                <w:sz w:val="14"/>
                <w:szCs w:val="14"/>
                <w:color w:val="auto"/>
              </w:rPr>
              <w:t>Dividends or dividend equivalents not otherwise included in the</w:t>
            </w:r>
          </w:p>
        </w:tc>
        <w:tc>
          <w:tcPr>
            <w:tcW w:w="1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0"/>
        </w:trPr>
        <w:tc>
          <w:tcPr>
            <w:tcW w:w="4420" w:type="dxa"/>
            <w:vAlign w:val="bottom"/>
          </w:tcPr>
          <w:p>
            <w:pPr>
              <w:ind w:left="60"/>
              <w:spacing w:after="0"/>
              <w:rPr>
                <w:sz w:val="20"/>
                <w:szCs w:val="20"/>
                <w:color w:val="auto"/>
              </w:rPr>
            </w:pPr>
            <w:r>
              <w:rPr>
                <w:rFonts w:ascii="Arial" w:cs="Arial" w:eastAsia="Arial" w:hAnsi="Arial"/>
                <w:sz w:val="14"/>
                <w:szCs w:val="14"/>
                <w:color w:val="auto"/>
              </w:rPr>
              <w:t>total compensation</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$0</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$0</w:t>
            </w:r>
          </w:p>
        </w:tc>
      </w:tr>
      <w:tr>
        <w:trPr>
          <w:trHeight w:val="22"/>
        </w:trPr>
        <w:tc>
          <w:tcPr>
            <w:tcW w:w="4420" w:type="dxa"/>
            <w:vAlign w:val="bottom"/>
            <w:tcBorders>
              <w:bottom w:val="single" w:sz="8" w:color="404040"/>
            </w:tcBorders>
          </w:tcPr>
          <w:p>
            <w:pPr>
              <w:spacing w:after="0" w:line="20" w:lineRule="exact"/>
              <w:rPr>
                <w:sz w:val="1"/>
                <w:szCs w:val="1"/>
                <w:color w:val="auto"/>
              </w:rPr>
            </w:pPr>
          </w:p>
        </w:tc>
        <w:tc>
          <w:tcPr>
            <w:tcW w:w="1360" w:type="dxa"/>
            <w:vAlign w:val="bottom"/>
            <w:tcBorders>
              <w:bottom w:val="single" w:sz="8" w:color="404040"/>
            </w:tcBorders>
          </w:tcPr>
          <w:p>
            <w:pPr>
              <w:spacing w:after="0" w:line="20" w:lineRule="exact"/>
              <w:rPr>
                <w:sz w:val="1"/>
                <w:szCs w:val="1"/>
                <w:color w:val="auto"/>
              </w:rPr>
            </w:pPr>
          </w:p>
        </w:tc>
        <w:tc>
          <w:tcPr>
            <w:tcW w:w="1240" w:type="dxa"/>
            <w:vAlign w:val="bottom"/>
            <w:tcBorders>
              <w:bottom w:val="single" w:sz="8" w:color="404040"/>
            </w:tcBorders>
          </w:tcPr>
          <w:p>
            <w:pPr>
              <w:spacing w:after="0" w:line="20" w:lineRule="exact"/>
              <w:rPr>
                <w:sz w:val="1"/>
                <w:szCs w:val="1"/>
                <w:color w:val="auto"/>
              </w:rPr>
            </w:pPr>
          </w:p>
        </w:tc>
        <w:tc>
          <w:tcPr>
            <w:tcW w:w="1400" w:type="dxa"/>
            <w:vAlign w:val="bottom"/>
            <w:tcBorders>
              <w:bottom w:val="single" w:sz="8" w:color="404040"/>
            </w:tcBorders>
          </w:tcPr>
          <w:p>
            <w:pPr>
              <w:spacing w:after="0" w:line="20" w:lineRule="exact"/>
              <w:rPr>
                <w:sz w:val="1"/>
                <w:szCs w:val="1"/>
                <w:color w:val="auto"/>
              </w:rPr>
            </w:pPr>
          </w:p>
        </w:tc>
      </w:tr>
      <w:tr>
        <w:trPr>
          <w:trHeight w:val="202"/>
        </w:trPr>
        <w:tc>
          <w:tcPr>
            <w:tcW w:w="4420" w:type="dxa"/>
            <w:vAlign w:val="bottom"/>
          </w:tcPr>
          <w:p>
            <w:pPr>
              <w:ind w:left="60"/>
              <w:spacing w:after="0"/>
              <w:rPr>
                <w:sz w:val="20"/>
                <w:szCs w:val="20"/>
                <w:color w:val="auto"/>
              </w:rPr>
            </w:pPr>
            <w:r>
              <w:rPr>
                <w:rFonts w:ascii="Arial" w:cs="Arial" w:eastAsia="Arial" w:hAnsi="Arial"/>
                <w:sz w:val="14"/>
                <w:szCs w:val="14"/>
                <w:color w:val="auto"/>
              </w:rPr>
              <w:t>Total Adjustments for Equity Awards</w:t>
            </w:r>
          </w:p>
        </w:tc>
        <w:tc>
          <w:tcPr>
            <w:tcW w:w="1360" w:type="dxa"/>
            <w:vAlign w:val="bottom"/>
          </w:tcPr>
          <w:p>
            <w:pPr>
              <w:jc w:val="right"/>
              <w:ind w:right="148"/>
              <w:spacing w:after="0"/>
              <w:rPr>
                <w:sz w:val="20"/>
                <w:szCs w:val="20"/>
                <w:color w:val="auto"/>
              </w:rPr>
            </w:pPr>
            <w:r>
              <w:rPr>
                <w:rFonts w:ascii="Arial" w:cs="Arial" w:eastAsia="Arial" w:hAnsi="Arial"/>
                <w:sz w:val="14"/>
                <w:szCs w:val="14"/>
                <w:color w:val="auto"/>
              </w:rPr>
              <w:t>-$23,439,805</w:t>
            </w:r>
          </w:p>
        </w:tc>
        <w:tc>
          <w:tcPr>
            <w:tcW w:w="1240" w:type="dxa"/>
            <w:vAlign w:val="bottom"/>
          </w:tcPr>
          <w:p>
            <w:pPr>
              <w:jc w:val="right"/>
              <w:ind w:right="148"/>
              <w:spacing w:after="0"/>
              <w:rPr>
                <w:sz w:val="20"/>
                <w:szCs w:val="20"/>
                <w:color w:val="auto"/>
              </w:rPr>
            </w:pPr>
            <w:r>
              <w:rPr>
                <w:rFonts w:ascii="Arial" w:cs="Arial" w:eastAsia="Arial" w:hAnsi="Arial"/>
                <w:sz w:val="14"/>
                <w:szCs w:val="14"/>
                <w:color w:val="auto"/>
              </w:rPr>
              <w:t>$9,972,747</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$1,112,547</w:t>
            </w:r>
          </w:p>
        </w:tc>
      </w:tr>
      <w:tr>
        <w:trPr>
          <w:trHeight w:val="22"/>
        </w:trPr>
        <w:tc>
          <w:tcPr>
            <w:tcW w:w="4420" w:type="dxa"/>
            <w:vAlign w:val="bottom"/>
            <w:tcBorders>
              <w:bottom w:val="single" w:sz="8" w:color="404040"/>
            </w:tcBorders>
          </w:tcPr>
          <w:p>
            <w:pPr>
              <w:spacing w:after="0" w:line="20" w:lineRule="exact"/>
              <w:rPr>
                <w:sz w:val="1"/>
                <w:szCs w:val="1"/>
                <w:color w:val="auto"/>
              </w:rPr>
            </w:pPr>
          </w:p>
        </w:tc>
        <w:tc>
          <w:tcPr>
            <w:tcW w:w="1360" w:type="dxa"/>
            <w:vAlign w:val="bottom"/>
            <w:tcBorders>
              <w:bottom w:val="single" w:sz="8" w:color="404040"/>
            </w:tcBorders>
          </w:tcPr>
          <w:p>
            <w:pPr>
              <w:spacing w:after="0" w:line="20" w:lineRule="exact"/>
              <w:rPr>
                <w:sz w:val="1"/>
                <w:szCs w:val="1"/>
                <w:color w:val="auto"/>
              </w:rPr>
            </w:pPr>
          </w:p>
        </w:tc>
        <w:tc>
          <w:tcPr>
            <w:tcW w:w="1240" w:type="dxa"/>
            <w:vAlign w:val="bottom"/>
            <w:tcBorders>
              <w:bottom w:val="single" w:sz="8" w:color="404040"/>
            </w:tcBorders>
          </w:tcPr>
          <w:p>
            <w:pPr>
              <w:spacing w:after="0" w:line="20" w:lineRule="exact"/>
              <w:rPr>
                <w:sz w:val="1"/>
                <w:szCs w:val="1"/>
                <w:color w:val="auto"/>
              </w:rPr>
            </w:pPr>
          </w:p>
        </w:tc>
        <w:tc>
          <w:tcPr>
            <w:tcW w:w="1400" w:type="dxa"/>
            <w:vAlign w:val="bottom"/>
            <w:tcBorders>
              <w:bottom w:val="single" w:sz="8" w:color="404040"/>
            </w:tcBorders>
          </w:tcPr>
          <w:p>
            <w:pPr>
              <w:spacing w:after="0" w:line="20" w:lineRule="exact"/>
              <w:rPr>
                <w:sz w:val="1"/>
                <w:szCs w:val="1"/>
                <w:color w:val="auto"/>
              </w:rPr>
            </w:pPr>
          </w:p>
        </w:tc>
      </w:tr>
      <w:tr>
        <w:trPr>
          <w:trHeight w:val="183"/>
        </w:trPr>
        <w:tc>
          <w:tcPr>
            <w:tcW w:w="4420" w:type="dxa"/>
            <w:vAlign w:val="bottom"/>
            <w:tcBorders>
              <w:bottom w:val="single" w:sz="8" w:color="404040"/>
            </w:tcBorders>
          </w:tcPr>
          <w:p>
            <w:pPr>
              <w:ind w:left="60"/>
              <w:spacing w:after="0"/>
              <w:rPr>
                <w:sz w:val="20"/>
                <w:szCs w:val="20"/>
                <w:color w:val="auto"/>
              </w:rPr>
            </w:pPr>
            <w:r>
              <w:rPr>
                <w:rFonts w:ascii="Arial" w:cs="Arial" w:eastAsia="Arial" w:hAnsi="Arial"/>
                <w:sz w:val="14"/>
                <w:szCs w:val="14"/>
                <w:color w:val="auto"/>
              </w:rPr>
              <w:t>Compensation Actually Paid (as calculated)</w:t>
            </w:r>
          </w:p>
        </w:tc>
        <w:tc>
          <w:tcPr>
            <w:tcW w:w="136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color w:val="auto"/>
              </w:rPr>
              <w:t>-$23,137,805</w:t>
            </w:r>
          </w:p>
        </w:tc>
        <w:tc>
          <w:tcPr>
            <w:tcW w:w="124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color w:val="auto"/>
              </w:rPr>
              <w:t>$10,457,248</w:t>
            </w:r>
          </w:p>
        </w:tc>
        <w:tc>
          <w:tcPr>
            <w:tcW w:w="140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$1,793,705</w:t>
            </w:r>
          </w:p>
        </w:tc>
      </w:tr>
    </w:tbl>
    <w:p>
      <w:pPr>
        <w:spacing w:after="0" w:line="252" w:lineRule="exact"/>
        <w:rPr>
          <w:sz w:val="20"/>
          <w:szCs w:val="20"/>
          <w:color w:val="auto"/>
        </w:rPr>
      </w:pPr>
    </w:p>
    <w:p>
      <w:pPr>
        <w:jc w:val="both"/>
        <w:ind w:left="1000" w:right="299" w:hanging="348"/>
        <w:spacing w:after="0" w:line="233" w:lineRule="auto"/>
        <w:tabs>
          <w:tab w:leader="none" w:pos="10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dollar amounts reported in column (d) represent the average of the amounts reported for the Company’s NEOs as a group (excluding our PEOs) in the “Total” column of the Summary Compensation Table Total in each applicable year. The following individuals were our Non-PEO NEOs in the respective years:</w:t>
      </w:r>
    </w:p>
    <w:p>
      <w:pPr>
        <w:spacing w:after="0" w:line="21" w:lineRule="exact"/>
        <w:rPr>
          <w:rFonts w:ascii="Arial" w:cs="Arial" w:eastAsia="Arial" w:hAnsi="Arial"/>
          <w:sz w:val="13"/>
          <w:szCs w:val="13"/>
          <w:color w:val="auto"/>
        </w:rPr>
      </w:pPr>
    </w:p>
    <w:p>
      <w:pPr>
        <w:ind w:left="1020"/>
        <w:spacing w:after="0"/>
        <w:rPr>
          <w:rFonts w:ascii="Arial" w:cs="Arial" w:eastAsia="Arial" w:hAnsi="Arial"/>
          <w:sz w:val="13"/>
          <w:szCs w:val="13"/>
          <w:color w:val="auto"/>
        </w:rPr>
      </w:pPr>
      <w:r>
        <w:rPr>
          <w:rFonts w:ascii="Arial" w:cs="Arial" w:eastAsia="Arial" w:hAnsi="Arial"/>
          <w:sz w:val="13"/>
          <w:szCs w:val="13"/>
          <w:color w:val="auto"/>
        </w:rPr>
        <w:t>2025: Artur Bergman, Ronald Kisling, Scott Lovett, Richard Wong</w:t>
      </w:r>
    </w:p>
    <w:p>
      <w:pPr>
        <w:ind w:left="1020"/>
        <w:spacing w:after="0" w:line="216" w:lineRule="auto"/>
        <w:rPr>
          <w:rFonts w:ascii="Arial" w:cs="Arial" w:eastAsia="Arial" w:hAnsi="Arial"/>
          <w:sz w:val="13"/>
          <w:szCs w:val="13"/>
          <w:color w:val="auto"/>
        </w:rPr>
      </w:pPr>
      <w:r>
        <w:rPr>
          <w:rFonts w:ascii="Arial" w:cs="Arial" w:eastAsia="Arial" w:hAnsi="Arial"/>
          <w:sz w:val="13"/>
          <w:szCs w:val="13"/>
          <w:color w:val="auto"/>
        </w:rPr>
        <w:t>2024: Artur Bergman, Ronald Kisling, and Scott Lovett</w:t>
      </w:r>
    </w:p>
    <w:p>
      <w:pPr>
        <w:ind w:left="1020"/>
        <w:spacing w:after="0" w:line="216" w:lineRule="auto"/>
        <w:rPr>
          <w:rFonts w:ascii="Arial" w:cs="Arial" w:eastAsia="Arial" w:hAnsi="Arial"/>
          <w:sz w:val="13"/>
          <w:szCs w:val="13"/>
          <w:color w:val="auto"/>
        </w:rPr>
      </w:pPr>
      <w:r>
        <w:rPr>
          <w:rFonts w:ascii="Arial" w:cs="Arial" w:eastAsia="Arial" w:hAnsi="Arial"/>
          <w:sz w:val="13"/>
          <w:szCs w:val="13"/>
          <w:color w:val="auto"/>
        </w:rPr>
        <w:t>2023: Artur Bergman, Ronald Kisling, and Brett Shirk</w:t>
      </w:r>
    </w:p>
    <w:p>
      <w:pPr>
        <w:ind w:left="1020"/>
        <w:spacing w:after="0" w:line="216" w:lineRule="auto"/>
        <w:rPr>
          <w:rFonts w:ascii="Arial" w:cs="Arial" w:eastAsia="Arial" w:hAnsi="Arial"/>
          <w:sz w:val="13"/>
          <w:szCs w:val="13"/>
          <w:color w:val="auto"/>
        </w:rPr>
      </w:pPr>
      <w:r>
        <w:rPr>
          <w:rFonts w:ascii="Arial" w:cs="Arial" w:eastAsia="Arial" w:hAnsi="Arial"/>
          <w:sz w:val="13"/>
          <w:szCs w:val="13"/>
          <w:color w:val="auto"/>
        </w:rPr>
        <w:t>2022: Artur Bergman, Ronald Kisling, Paul Luongo, and Brett Shirk</w:t>
      </w:r>
    </w:p>
    <w:p>
      <w:pPr>
        <w:ind w:left="1020"/>
        <w:spacing w:after="0"/>
        <w:rPr>
          <w:rFonts w:ascii="Arial" w:cs="Arial" w:eastAsia="Arial" w:hAnsi="Arial"/>
          <w:sz w:val="13"/>
          <w:szCs w:val="13"/>
          <w:color w:val="auto"/>
        </w:rPr>
      </w:pPr>
      <w:r>
        <w:rPr>
          <w:rFonts w:ascii="Arial" w:cs="Arial" w:eastAsia="Arial" w:hAnsi="Arial"/>
          <w:sz w:val="13"/>
          <w:szCs w:val="13"/>
          <w:color w:val="auto"/>
        </w:rPr>
        <w:t>2021: Artur Bergman, Adriel Lares, Ronald Kisling, Paul Luongo, and Brett Shirk</w:t>
      </w:r>
    </w:p>
    <w:p>
      <w:pPr>
        <w:spacing w:after="0" w:line="14" w:lineRule="exact"/>
        <w:rPr>
          <w:rFonts w:ascii="Arial" w:cs="Arial" w:eastAsia="Arial" w:hAnsi="Arial"/>
          <w:sz w:val="13"/>
          <w:szCs w:val="13"/>
          <w:color w:val="auto"/>
        </w:rPr>
      </w:pPr>
    </w:p>
    <w:p>
      <w:pPr>
        <w:jc w:val="both"/>
        <w:ind w:left="1000" w:right="299" w:hanging="348"/>
        <w:spacing w:after="0" w:line="226" w:lineRule="auto"/>
        <w:tabs>
          <w:tab w:leader="none" w:pos="10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dollar amounts reported in column (e) represent the average amount of CAP to the non-PEO NEOs as a group, as computed in accordance with Item 402(v) of Regulation S-K. The dollar amounts do not reflect the actual average amount of compensation earned by or paid to the Non-PEO NEOs as a group during the applicable year. In accordance with the requirements of Item 402(v) of Regulation S-K, adjustments were made to average total reported compensation for the Non-PEO NEOs as a group for each year to determine the CAP, using the methodology described above in Note 2.</w:t>
      </w:r>
    </w:p>
    <w:p>
      <w:pPr>
        <w:spacing w:after="0" w:line="11" w:lineRule="exact"/>
        <w:rPr>
          <w:rFonts w:ascii="Arial" w:cs="Arial" w:eastAsia="Arial" w:hAnsi="Arial"/>
          <w:sz w:val="13"/>
          <w:szCs w:val="13"/>
          <w:color w:val="auto"/>
        </w:rPr>
      </w:pPr>
    </w:p>
    <w:p>
      <w:pPr>
        <w:ind w:left="1000" w:hanging="348"/>
        <w:spacing w:after="0"/>
        <w:tabs>
          <w:tab w:leader="none" w:pos="10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peer group is the following published industry index: S&amp;P 500 Information Technology Index.</w:t>
      </w:r>
    </w:p>
    <w:p>
      <w:pPr>
        <w:spacing w:after="0" w:line="16" w:lineRule="exact"/>
        <w:rPr>
          <w:rFonts w:ascii="Arial" w:cs="Arial" w:eastAsia="Arial" w:hAnsi="Arial"/>
          <w:sz w:val="13"/>
          <w:szCs w:val="13"/>
          <w:color w:val="auto"/>
        </w:rPr>
      </w:pPr>
    </w:p>
    <w:p>
      <w:pPr>
        <w:jc w:val="both"/>
        <w:ind w:left="1000" w:right="299" w:hanging="348"/>
        <w:spacing w:after="0" w:line="248" w:lineRule="auto"/>
        <w:tabs>
          <w:tab w:leader="none" w:pos="1000" w:val="left"/>
        </w:tabs>
        <w:numPr>
          <w:ilvl w:val="0"/>
          <w:numId w:val="52"/>
        </w:numPr>
        <w:rPr>
          <w:rFonts w:ascii="Arial" w:cs="Arial" w:eastAsia="Arial" w:hAnsi="Arial"/>
          <w:sz w:val="12"/>
          <w:szCs w:val="12"/>
          <w:color w:val="auto"/>
        </w:rPr>
      </w:pPr>
      <w:r>
        <w:rPr>
          <w:rFonts w:ascii="Arial" w:cs="Arial" w:eastAsia="Arial" w:hAnsi="Arial"/>
          <w:sz w:val="12"/>
          <w:szCs w:val="12"/>
          <w:color w:val="auto"/>
        </w:rPr>
        <w:t>While the Company uses numerous financial and non-financial performance measures for the purpose of evaluating performance for the Company’s compensation programs, the Company has determined that Revenue is the financial performance measure that, in the Company’s assessment, represents the most important performance measure (that is not otherwise required to be disclosed in the table) used by the Company to link compensation actually paid to the Company’s NEOs, for the most recently completed fiscal year, to Company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color w:val="auto"/>
        </w:rPr>
        <w:t>58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jc w:val="both"/>
        <w:ind w:left="660" w:right="640"/>
        <w:spacing w:after="0" w:line="294" w:lineRule="auto"/>
        <w:rPr>
          <w:sz w:val="20"/>
          <w:szCs w:val="20"/>
          <w:color w:val="auto"/>
        </w:rPr>
      </w:pPr>
      <w:r>
        <w:rPr>
          <w:rFonts w:ascii="Arial" w:cs="Arial" w:eastAsia="Arial" w:hAnsi="Arial"/>
          <w:sz w:val="16"/>
          <w:szCs w:val="16"/>
          <w:b w:val="1"/>
          <w:bCs w:val="1"/>
          <w:i w:val="1"/>
          <w:iCs w:val="1"/>
          <w:color w:val="auto"/>
        </w:rPr>
        <w:t>Required Disclosure of the Relationship Between Compensation Actually Paid and Financial Performance Measures</w:t>
      </w:r>
    </w:p>
    <w:p>
      <w:pPr>
        <w:spacing w:after="0" w:line="60" w:lineRule="exact"/>
        <w:rPr>
          <w:sz w:val="20"/>
          <w:szCs w:val="20"/>
          <w:color w:val="auto"/>
        </w:rPr>
      </w:pPr>
    </w:p>
    <w:p>
      <w:pPr>
        <w:jc w:val="both"/>
        <w:ind w:left="660" w:right="640"/>
        <w:spacing w:after="0" w:line="254" w:lineRule="auto"/>
        <w:rPr>
          <w:sz w:val="20"/>
          <w:szCs w:val="20"/>
          <w:color w:val="auto"/>
        </w:rPr>
      </w:pPr>
      <w:r>
        <w:rPr>
          <w:rFonts w:ascii="Arial" w:cs="Arial" w:eastAsia="Arial" w:hAnsi="Arial"/>
          <w:sz w:val="16"/>
          <w:szCs w:val="16"/>
          <w:color w:val="auto"/>
        </w:rPr>
        <w:t>As required by Item 402(v) of Regulation S-K, we are providing the following graphs to illustrate the relationship between the CAP and performance figures that are included in the pay versus performance tabular disclosure above. In addition, the first graph below further illustrates the relationship between Company total stockholder return and that of the S&amp;P 500 Information Technology Index. As noted above, CAP for purposes of the tabular disclosure and the following graphs were calculated in accordance with SEC rules and do not fully represent the actual final amount of compensation earned by or actually paid to our NEOs during the applicable years.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CAP and Cumulative TSR / Cumulative TSR of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199390</wp:posOffset>
            </wp:positionV>
            <wp:extent cx="4509135" cy="2674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09135" cy="267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  </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CAP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825500</wp:posOffset>
            </wp:positionH>
            <wp:positionV relativeFrom="paragraph">
              <wp:posOffset>199390</wp:posOffset>
            </wp:positionV>
            <wp:extent cx="4526280" cy="26657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26280"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  </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CAP and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816610</wp:posOffset>
            </wp:positionH>
            <wp:positionV relativeFrom="paragraph">
              <wp:posOffset>199390</wp:posOffset>
            </wp:positionV>
            <wp:extent cx="4543425" cy="26657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43425" cy="2665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  </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Tabular List for 2025 Fiscal Year</w:t>
      </w:r>
    </w:p>
    <w:p>
      <w:pPr>
        <w:spacing w:after="0" w:line="138" w:lineRule="exact"/>
        <w:rPr>
          <w:sz w:val="20"/>
          <w:szCs w:val="20"/>
          <w:color w:val="auto"/>
        </w:rPr>
      </w:pPr>
    </w:p>
    <w:p>
      <w:pPr>
        <w:jc w:val="both"/>
        <w:ind w:left="660" w:right="299"/>
        <w:spacing w:after="0" w:line="254" w:lineRule="auto"/>
        <w:rPr>
          <w:sz w:val="20"/>
          <w:szCs w:val="20"/>
          <w:color w:val="auto"/>
        </w:rPr>
      </w:pPr>
      <w:r>
        <w:rPr>
          <w:rFonts w:ascii="Arial" w:cs="Arial" w:eastAsia="Arial" w:hAnsi="Arial"/>
          <w:sz w:val="16"/>
          <w:szCs w:val="16"/>
          <w:color w:val="auto"/>
        </w:rPr>
        <w:t>As described in greater detail in “Executive Compensation – Compensation Discussion and Analysis,” the Company’s executive compensation program reflects a variable pay-for-performance philosophy. The metrics that the Company uses for both our long-term and short-term incentive awards are selected based on an objective of incentivizing our NEOs to increase the value of our enterprise for our stockholders. The two financial performance measures used by the Company to link executive compensation actually paid to the Company’s NEOs, for the most recently completed fiscal year, to the Company’s performance are as follows:</w:t>
      </w:r>
    </w:p>
    <w:p>
      <w:pPr>
        <w:spacing w:after="0" w:line="74" w:lineRule="exact"/>
        <w:rPr>
          <w:sz w:val="20"/>
          <w:szCs w:val="20"/>
          <w:color w:val="auto"/>
        </w:rPr>
      </w:pPr>
    </w:p>
    <w:p>
      <w:pPr>
        <w:ind w:left="1100" w:hanging="268"/>
        <w:spacing w:after="0"/>
        <w:tabs>
          <w:tab w:leader="none" w:pos="11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Revenue</w:t>
      </w:r>
    </w:p>
    <w:p>
      <w:pPr>
        <w:spacing w:after="0" w:line="30" w:lineRule="exact"/>
        <w:rPr>
          <w:rFonts w:ascii="Arial" w:cs="Arial" w:eastAsia="Arial" w:hAnsi="Arial"/>
          <w:sz w:val="16"/>
          <w:szCs w:val="16"/>
          <w:color w:val="auto"/>
        </w:rPr>
      </w:pPr>
    </w:p>
    <w:p>
      <w:pPr>
        <w:ind w:left="1100" w:hanging="268"/>
        <w:spacing w:after="0" w:line="235" w:lineRule="auto"/>
        <w:tabs>
          <w:tab w:leader="none" w:pos="1100" w:val="left"/>
        </w:tabs>
        <w:numPr>
          <w:ilvl w:val="0"/>
          <w:numId w:val="53"/>
        </w:numPr>
        <w:rPr>
          <w:rFonts w:ascii="Arial" w:cs="Arial" w:eastAsia="Arial" w:hAnsi="Arial"/>
          <w:sz w:val="32"/>
          <w:szCs w:val="32"/>
          <w:color w:val="auto"/>
          <w:vertAlign w:val="superscript"/>
        </w:rPr>
      </w:pPr>
      <w:r>
        <w:rPr>
          <w:rFonts w:ascii="Arial" w:cs="Arial" w:eastAsia="Arial" w:hAnsi="Arial"/>
          <w:sz w:val="16"/>
          <w:szCs w:val="16"/>
          <w:color w:val="auto"/>
        </w:rPr>
        <w:t>Non-GAAP Operating Loss</w:t>
      </w:r>
      <w:r>
        <w:rPr>
          <w:rFonts w:ascii="Arial" w:cs="Arial" w:eastAsia="Arial" w:hAnsi="Arial"/>
          <w:sz w:val="26"/>
          <w:szCs w:val="26"/>
          <w:color w:val="auto"/>
          <w:vertAlign w:val="superscript"/>
        </w:rPr>
        <w:t>(1)</w:t>
      </w:r>
    </w:p>
    <w:p>
      <w:pPr>
        <w:ind w:left="1360" w:right="319" w:hanging="348"/>
        <w:spacing w:after="0" w:line="231" w:lineRule="auto"/>
        <w:tabs>
          <w:tab w:leader="none" w:pos="1360" w:val="left"/>
        </w:tabs>
        <w:numPr>
          <w:ilvl w:val="1"/>
          <w:numId w:val="53"/>
        </w:numPr>
        <w:rPr>
          <w:rFonts w:ascii="Arial" w:cs="Arial" w:eastAsia="Arial" w:hAnsi="Arial"/>
          <w:sz w:val="13"/>
          <w:szCs w:val="13"/>
          <w:color w:val="auto"/>
        </w:rPr>
      </w:pPr>
      <w:r>
        <w:rPr>
          <w:rFonts w:ascii="Arial" w:cs="Arial" w:eastAsia="Arial" w:hAnsi="Arial"/>
          <w:sz w:val="13"/>
          <w:szCs w:val="13"/>
          <w:color w:val="auto"/>
        </w:rPr>
        <w:t>Please refer to Appendix A of this Proxy Statement for a reconciliation of non-GAAP financial measures to their corresponding U.S. GAAP measures.</w:t>
      </w:r>
    </w:p>
    <w:p>
      <w:pPr>
        <w:spacing w:after="0" w:line="123" w:lineRule="exact"/>
        <w:rPr>
          <w:sz w:val="20"/>
          <w:szCs w:val="20"/>
          <w:color w:val="auto"/>
        </w:rPr>
      </w:pPr>
    </w:p>
    <w:p>
      <w:pPr>
        <w:jc w:val="both"/>
        <w:ind w:left="660" w:right="299"/>
        <w:spacing w:after="0" w:line="256" w:lineRule="auto"/>
        <w:rPr>
          <w:sz w:val="20"/>
          <w:szCs w:val="20"/>
          <w:color w:val="auto"/>
        </w:rPr>
      </w:pPr>
      <w:r>
        <w:rPr>
          <w:rFonts w:ascii="Arial" w:cs="Arial" w:eastAsia="Arial" w:hAnsi="Arial"/>
          <w:sz w:val="16"/>
          <w:szCs w:val="16"/>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176" w:lineRule="exact"/>
        <w:rPr>
          <w:sz w:val="20"/>
          <w:szCs w:val="20"/>
          <w:color w:val="auto"/>
        </w:rPr>
      </w:pPr>
    </w:p>
    <w:p>
      <w:pPr>
        <w:spacing w:after="0"/>
        <w:rPr>
          <w:sz w:val="20"/>
          <w:szCs w:val="20"/>
          <w:color w:val="auto"/>
        </w:rPr>
      </w:pPr>
      <w:r>
        <w:rPr>
          <w:rFonts w:ascii="Arial" w:cs="Arial" w:eastAsia="Arial" w:hAnsi="Arial"/>
          <w:sz w:val="13"/>
          <w:szCs w:val="13"/>
          <w:color w:val="auto"/>
        </w:rPr>
        <w:t>60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CEO Pay Ratio</w:t>
      </w:r>
    </w:p>
    <w:p>
      <w:pPr>
        <w:spacing w:after="0" w:line="139" w:lineRule="exact"/>
        <w:rPr>
          <w:sz w:val="20"/>
          <w:szCs w:val="20"/>
          <w:color w:val="auto"/>
        </w:rPr>
      </w:pPr>
    </w:p>
    <w:p>
      <w:pPr>
        <w:jc w:val="both"/>
        <w:ind w:left="660" w:right="640"/>
        <w:spacing w:after="0" w:line="256" w:lineRule="auto"/>
        <w:rPr>
          <w:sz w:val="20"/>
          <w:szCs w:val="20"/>
          <w:color w:val="auto"/>
        </w:rPr>
      </w:pPr>
      <w:r>
        <w:rPr>
          <w:rFonts w:ascii="Arial" w:cs="Arial" w:eastAsia="Arial" w:hAnsi="Arial"/>
          <w:sz w:val="16"/>
          <w:szCs w:val="16"/>
          <w:color w:val="auto"/>
        </w:rPr>
        <w:t>The following table presents the median of the annual total compensation of all our employees (other than Mr. Compton and Mr. Nightingale, who each served as our CEO in 2025), the annual total compensation, annualized as described below, of Mr. Compton, our CEO on December 31, 2025, and the ratio between the annual total compensation for all our employees to Mr. Compton. These ratios are a reasonable estimate calculated in a manner consistent with Item 402(u) of Regulation S-K under the Securities Exchange Act of 1934.</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400" w:type="dxa"/>
            <w:vAlign w:val="bottom"/>
          </w:tcPr>
          <w:p>
            <w:pPr>
              <w:ind w:left="60"/>
              <w:spacing w:after="0"/>
              <w:rPr>
                <w:sz w:val="20"/>
                <w:szCs w:val="20"/>
                <w:color w:val="auto"/>
              </w:rPr>
            </w:pPr>
            <w:r>
              <w:rPr>
                <w:rFonts w:ascii="Arial" w:cs="Arial" w:eastAsia="Arial" w:hAnsi="Arial"/>
                <w:sz w:val="14"/>
                <w:szCs w:val="14"/>
                <w:color w:val="auto"/>
              </w:rPr>
              <w:t>2025 CEO annual total compensation (Charles Compton)</w:t>
            </w:r>
          </w:p>
        </w:tc>
        <w:tc>
          <w:tcPr>
            <w:tcW w:w="2020" w:type="dxa"/>
            <w:vAlign w:val="bottom"/>
            <w:gridSpan w:val="2"/>
          </w:tcPr>
          <w:p>
            <w:pPr>
              <w:ind w:left="1180"/>
              <w:spacing w:after="0"/>
              <w:rPr>
                <w:sz w:val="20"/>
                <w:szCs w:val="20"/>
                <w:color w:val="auto"/>
              </w:rPr>
            </w:pPr>
            <w:r>
              <w:rPr>
                <w:rFonts w:ascii="Arial" w:cs="Arial" w:eastAsia="Arial" w:hAnsi="Arial"/>
                <w:sz w:val="14"/>
                <w:szCs w:val="14"/>
                <w:color w:val="auto"/>
              </w:rPr>
              <w:t>$5,691,848</w:t>
            </w:r>
          </w:p>
        </w:tc>
      </w:tr>
      <w:tr>
        <w:trPr>
          <w:trHeight w:val="22"/>
        </w:trPr>
        <w:tc>
          <w:tcPr>
            <w:tcW w:w="6400" w:type="dxa"/>
            <w:vAlign w:val="bottom"/>
            <w:tcBorders>
              <w:bottom w:val="single" w:sz="8" w:color="404040"/>
            </w:tcBorders>
          </w:tcPr>
          <w:p>
            <w:pPr>
              <w:spacing w:after="0" w:line="20" w:lineRule="exact"/>
              <w:rPr>
                <w:sz w:val="1"/>
                <w:szCs w:val="1"/>
                <w:color w:val="auto"/>
              </w:rPr>
            </w:pPr>
          </w:p>
        </w:tc>
        <w:tc>
          <w:tcPr>
            <w:tcW w:w="1300" w:type="dxa"/>
            <w:vAlign w:val="bottom"/>
            <w:tcBorders>
              <w:bottom w:val="single" w:sz="8" w:color="404040"/>
            </w:tcBorders>
          </w:tcPr>
          <w:p>
            <w:pPr>
              <w:spacing w:after="0" w:line="20" w:lineRule="exact"/>
              <w:rPr>
                <w:sz w:val="1"/>
                <w:szCs w:val="1"/>
                <w:color w:val="auto"/>
              </w:rPr>
            </w:pPr>
          </w:p>
        </w:tc>
        <w:tc>
          <w:tcPr>
            <w:tcW w:w="720" w:type="dxa"/>
            <w:vAlign w:val="bottom"/>
            <w:tcBorders>
              <w:bottom w:val="single" w:sz="8" w:color="404040"/>
            </w:tcBorders>
          </w:tcPr>
          <w:p>
            <w:pPr>
              <w:spacing w:after="0" w:line="20" w:lineRule="exact"/>
              <w:rPr>
                <w:sz w:val="1"/>
                <w:szCs w:val="1"/>
                <w:color w:val="auto"/>
              </w:rPr>
            </w:pPr>
          </w:p>
        </w:tc>
      </w:tr>
      <w:tr>
        <w:trPr>
          <w:trHeight w:val="201"/>
        </w:trPr>
        <w:tc>
          <w:tcPr>
            <w:tcW w:w="6400" w:type="dxa"/>
            <w:vAlign w:val="bottom"/>
          </w:tcPr>
          <w:p>
            <w:pPr>
              <w:ind w:left="60"/>
              <w:spacing w:after="0"/>
              <w:rPr>
                <w:sz w:val="20"/>
                <w:szCs w:val="20"/>
                <w:color w:val="auto"/>
              </w:rPr>
            </w:pPr>
            <w:r>
              <w:rPr>
                <w:rFonts w:ascii="Arial" w:cs="Arial" w:eastAsia="Arial" w:hAnsi="Arial"/>
                <w:sz w:val="14"/>
                <w:szCs w:val="14"/>
                <w:color w:val="auto"/>
              </w:rPr>
              <w:t>2025 median employee annual total compensation</w:t>
            </w:r>
          </w:p>
        </w:tc>
        <w:tc>
          <w:tcPr>
            <w:tcW w:w="1300" w:type="dxa"/>
            <w:vAlign w:val="bottom"/>
          </w:tcPr>
          <w:p>
            <w:pPr>
              <w:ind w:left="11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252,115</w:t>
            </w:r>
          </w:p>
        </w:tc>
      </w:tr>
      <w:tr>
        <w:trPr>
          <w:trHeight w:val="22"/>
        </w:trPr>
        <w:tc>
          <w:tcPr>
            <w:tcW w:w="6400" w:type="dxa"/>
            <w:vAlign w:val="bottom"/>
            <w:tcBorders>
              <w:bottom w:val="single" w:sz="8" w:color="404040"/>
            </w:tcBorders>
          </w:tcPr>
          <w:p>
            <w:pPr>
              <w:spacing w:after="0" w:line="20" w:lineRule="exact"/>
              <w:rPr>
                <w:sz w:val="1"/>
                <w:szCs w:val="1"/>
                <w:color w:val="auto"/>
              </w:rPr>
            </w:pPr>
          </w:p>
        </w:tc>
        <w:tc>
          <w:tcPr>
            <w:tcW w:w="1300" w:type="dxa"/>
            <w:vAlign w:val="bottom"/>
            <w:tcBorders>
              <w:bottom w:val="single" w:sz="8" w:color="404040"/>
            </w:tcBorders>
          </w:tcPr>
          <w:p>
            <w:pPr>
              <w:spacing w:after="0" w:line="20" w:lineRule="exact"/>
              <w:rPr>
                <w:sz w:val="1"/>
                <w:szCs w:val="1"/>
                <w:color w:val="auto"/>
              </w:rPr>
            </w:pPr>
          </w:p>
        </w:tc>
        <w:tc>
          <w:tcPr>
            <w:tcW w:w="720" w:type="dxa"/>
            <w:vAlign w:val="bottom"/>
            <w:tcBorders>
              <w:bottom w:val="single" w:sz="8" w:color="404040"/>
            </w:tcBorders>
          </w:tcPr>
          <w:p>
            <w:pPr>
              <w:spacing w:after="0" w:line="20" w:lineRule="exact"/>
              <w:rPr>
                <w:sz w:val="1"/>
                <w:szCs w:val="1"/>
                <w:color w:val="auto"/>
              </w:rPr>
            </w:pPr>
          </w:p>
        </w:tc>
      </w:tr>
      <w:tr>
        <w:trPr>
          <w:trHeight w:val="183"/>
        </w:trPr>
        <w:tc>
          <w:tcPr>
            <w:tcW w:w="6400" w:type="dxa"/>
            <w:vAlign w:val="bottom"/>
            <w:tcBorders>
              <w:bottom w:val="single" w:sz="8" w:color="404040"/>
            </w:tcBorders>
          </w:tcPr>
          <w:p>
            <w:pPr>
              <w:ind w:left="60"/>
              <w:spacing w:after="0"/>
              <w:rPr>
                <w:sz w:val="20"/>
                <w:szCs w:val="20"/>
                <w:color w:val="auto"/>
              </w:rPr>
            </w:pPr>
            <w:r>
              <w:rPr>
                <w:rFonts w:ascii="Arial" w:cs="Arial" w:eastAsia="Arial" w:hAnsi="Arial"/>
                <w:sz w:val="14"/>
                <w:szCs w:val="14"/>
                <w:color w:val="auto"/>
              </w:rPr>
              <w:t>Ratio of CEO to median employee annual total compensation (Charles Compton)</w:t>
            </w:r>
          </w:p>
        </w:tc>
        <w:tc>
          <w:tcPr>
            <w:tcW w:w="1300" w:type="dxa"/>
            <w:vAlign w:val="bottom"/>
            <w:tcBorders>
              <w:bottom w:val="single" w:sz="8" w:color="404040"/>
            </w:tcBorders>
          </w:tcPr>
          <w:p>
            <w:pPr>
              <w:spacing w:after="0"/>
              <w:rPr>
                <w:sz w:val="15"/>
                <w:szCs w:val="15"/>
                <w:color w:val="auto"/>
              </w:rPr>
            </w:pPr>
          </w:p>
        </w:tc>
        <w:tc>
          <w:tcPr>
            <w:tcW w:w="720" w:type="dxa"/>
            <w:vAlign w:val="bottom"/>
            <w:tcBorders>
              <w:bottom w:val="single" w:sz="8" w:color="404040"/>
            </w:tcBorders>
          </w:tcPr>
          <w:p>
            <w:pPr>
              <w:jc w:val="right"/>
              <w:ind w:right="68"/>
              <w:spacing w:after="0"/>
              <w:rPr>
                <w:sz w:val="20"/>
                <w:szCs w:val="20"/>
                <w:color w:val="auto"/>
              </w:rPr>
            </w:pPr>
            <w:r>
              <w:rPr>
                <w:rFonts w:ascii="Arial" w:cs="Arial" w:eastAsia="Arial" w:hAnsi="Arial"/>
                <w:sz w:val="14"/>
                <w:szCs w:val="14"/>
                <w:color w:val="auto"/>
              </w:rPr>
              <w:t>22.6:1</w:t>
            </w:r>
          </w:p>
        </w:tc>
      </w:tr>
    </w:tbl>
    <w:p>
      <w:pPr>
        <w:spacing w:after="0" w:line="296" w:lineRule="exact"/>
        <w:rPr>
          <w:sz w:val="20"/>
          <w:szCs w:val="20"/>
          <w:color w:val="auto"/>
        </w:rPr>
      </w:pPr>
    </w:p>
    <w:p>
      <w:pPr>
        <w:jc w:val="both"/>
        <w:ind w:left="660" w:right="640"/>
        <w:spacing w:after="0" w:line="250" w:lineRule="auto"/>
        <w:rPr>
          <w:sz w:val="20"/>
          <w:szCs w:val="20"/>
          <w:color w:val="auto"/>
        </w:rPr>
      </w:pPr>
      <w:r>
        <w:rPr>
          <w:rFonts w:ascii="Arial" w:cs="Arial" w:eastAsia="Arial" w:hAnsi="Arial"/>
          <w:sz w:val="16"/>
          <w:szCs w:val="16"/>
          <w:color w:val="auto"/>
        </w:rPr>
        <w:t>In identifying our median employee, we chose December 31, 2025, which is the last day of our most recently completed fiscal year, as the determination date. To identify our median employee, we used a consistently applied compensation measure consisting of annual base salary pay rate, target commissions, and grant date fair value of equity awards granted, including the grant date fair value of the fully vested RSUs granted under the 2025 Bonus Program, to or earned by our employees, excluding our CEO, for the 12-month period from January 1, 2025 through December 31, 2025. This compensation measure was consistently applied to all employees included in the calculation and reasonably reflects the annual compensation of our employees. Payments not made in U.S. dollars were converted to U.S. dollars using the applicable currency exchange rate in effect as of December 31, 2025. We did not make any cost-of-living adjustment. We did not include any independent contractors or other non-employee workers in our employee population.</w:t>
      </w:r>
    </w:p>
    <w:p>
      <w:pPr>
        <w:spacing w:after="0" w:line="108" w:lineRule="exact"/>
        <w:rPr>
          <w:sz w:val="20"/>
          <w:szCs w:val="20"/>
          <w:color w:val="auto"/>
        </w:rPr>
      </w:pPr>
    </w:p>
    <w:p>
      <w:pPr>
        <w:jc w:val="both"/>
        <w:ind w:left="660" w:right="640"/>
        <w:spacing w:after="0" w:line="251" w:lineRule="auto"/>
        <w:rPr>
          <w:sz w:val="20"/>
          <w:szCs w:val="20"/>
          <w:color w:val="auto"/>
        </w:rPr>
      </w:pPr>
      <w:r>
        <w:rPr>
          <w:rFonts w:ascii="Arial" w:cs="Arial" w:eastAsia="Arial" w:hAnsi="Arial"/>
          <w:sz w:val="16"/>
          <w:szCs w:val="16"/>
          <w:color w:val="auto"/>
        </w:rPr>
        <w:t>Using this approach, we selected the individual at the median of our employee population, who was a full-time employee based in the United States. We then calculated annual total compensation for this employee using the same methodology we use for our Named Executive Officers as set forth in our Summary Compensation Table. With respect to the annual total compensation of Mr. Compton, our CEO on December 31, 2025, for purposes of this section, we annualized his CEO salary and the grant date fair value of the fully vested RSUs granted under the 2025 Bonus Program, assuming he served as CEO for the 12-month period from January 1, 2025 through December 31, 2025. In addition, we included the grant date fair value of the RSUs and PSUs granted to Mr. Compton in August 2025 in connection with his promotion to CEO. As such, the amount used differs from the amount reported in the “Total” column of our 2025 Summary Compensation Table.</w:t>
      </w:r>
    </w:p>
    <w:p>
      <w:pPr>
        <w:spacing w:after="0" w:line="118" w:lineRule="exact"/>
        <w:rPr>
          <w:sz w:val="20"/>
          <w:szCs w:val="20"/>
          <w:color w:val="auto"/>
        </w:rPr>
      </w:pPr>
    </w:p>
    <w:p>
      <w:pPr>
        <w:jc w:val="both"/>
        <w:ind w:left="660" w:right="640"/>
        <w:spacing w:after="0" w:line="254" w:lineRule="auto"/>
        <w:rPr>
          <w:sz w:val="20"/>
          <w:szCs w:val="20"/>
          <w:color w:val="auto"/>
        </w:rPr>
      </w:pPr>
      <w:r>
        <w:rPr>
          <w:rFonts w:ascii="Arial" w:cs="Arial" w:eastAsia="Arial" w:hAnsi="Arial"/>
          <w:sz w:val="16"/>
          <w:szCs w:val="16"/>
          <w:color w:val="auto"/>
        </w:rPr>
        <w:t>SEC rules and guidance provide significant flexibility in how companies identify the median employee, and each company may use a different methodology and make different assumptions particular to that company. As a result, and as the SEC explained when it adopted these rules, in considering the pay-ratio disclosure, stockholders should keep in mind that the rules were not designed to facilitate comparisons of pay ratios among different companies, even companies within the same industry, but rather were designed to allow stockholders to better understand and assess each particular company’s compensation practices and pay-ratio disclosures.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660" w:right="2159"/>
        <w:spacing w:after="0" w:line="266" w:lineRule="auto"/>
        <w:rPr>
          <w:sz w:val="20"/>
          <w:szCs w:val="20"/>
          <w:color w:val="auto"/>
        </w:rPr>
      </w:pPr>
      <w:r>
        <w:rPr>
          <w:rFonts w:ascii="Arial" w:cs="Arial" w:eastAsia="Arial" w:hAnsi="Arial"/>
          <w:sz w:val="43"/>
          <w:szCs w:val="43"/>
          <w:b w:val="1"/>
          <w:bCs w:val="1"/>
          <w:color w:val="auto"/>
        </w:rPr>
        <w:t>SECURITIES AUTHORIZED FOR ISSUANCE UNDER EQUITY COMPENSATION PLANS</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certain information with respect to all our equity compensation plans in effect as of</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December 31, 2025:</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0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Number of</w:t>
            </w:r>
          </w:p>
        </w:tc>
        <w:tc>
          <w:tcPr>
            <w:tcW w:w="138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securities to be</w:t>
            </w:r>
          </w:p>
        </w:tc>
        <w:tc>
          <w:tcPr>
            <w:tcW w:w="1380" w:type="dxa"/>
            <w:vAlign w:val="bottom"/>
          </w:tcPr>
          <w:p>
            <w:pPr>
              <w:spacing w:after="0"/>
              <w:rPr>
                <w:sz w:val="14"/>
                <w:szCs w:val="14"/>
                <w:color w:val="auto"/>
              </w:rPr>
            </w:pP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securities remaining</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issued upon</w:t>
            </w:r>
          </w:p>
        </w:tc>
        <w:tc>
          <w:tcPr>
            <w:tcW w:w="1380" w:type="dxa"/>
            <w:vAlign w:val="bottom"/>
            <w:vMerge w:val="restart"/>
          </w:tcPr>
          <w:p>
            <w:pPr>
              <w:jc w:val="right"/>
              <w:ind w:right="90"/>
              <w:spacing w:after="0"/>
              <w:rPr>
                <w:sz w:val="20"/>
                <w:szCs w:val="20"/>
                <w:color w:val="auto"/>
              </w:rPr>
            </w:pPr>
            <w:r>
              <w:rPr>
                <w:rFonts w:ascii="Arial" w:cs="Arial" w:eastAsia="Arial" w:hAnsi="Arial"/>
                <w:sz w:val="14"/>
                <w:szCs w:val="14"/>
                <w:b w:val="1"/>
                <w:bCs w:val="1"/>
                <w:color w:val="auto"/>
              </w:rPr>
              <w:t>Weighted-</w:t>
            </w: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available for</w:t>
            </w: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1340" w:type="dxa"/>
            <w:vAlign w:val="bottom"/>
          </w:tcPr>
          <w:p>
            <w:pPr>
              <w:jc w:val="right"/>
              <w:ind w:right="8"/>
              <w:spacing w:after="0" w:line="145" w:lineRule="exact"/>
              <w:rPr>
                <w:sz w:val="20"/>
                <w:szCs w:val="20"/>
                <w:color w:val="auto"/>
              </w:rPr>
            </w:pPr>
            <w:r>
              <w:rPr>
                <w:rFonts w:ascii="Arial" w:cs="Arial" w:eastAsia="Arial" w:hAnsi="Arial"/>
                <w:sz w:val="14"/>
                <w:szCs w:val="14"/>
                <w:b w:val="1"/>
                <w:bCs w:val="1"/>
                <w:color w:val="auto"/>
              </w:rPr>
              <w:t>exercise of</w:t>
            </w:r>
          </w:p>
        </w:tc>
        <w:tc>
          <w:tcPr>
            <w:tcW w:w="1380" w:type="dxa"/>
            <w:vAlign w:val="bottom"/>
            <w:vMerge w:val="continue"/>
          </w:tcPr>
          <w:p>
            <w:pPr>
              <w:spacing w:after="0"/>
              <w:rPr>
                <w:sz w:val="12"/>
                <w:szCs w:val="12"/>
                <w:color w:val="auto"/>
              </w:rPr>
            </w:pPr>
          </w:p>
        </w:tc>
        <w:tc>
          <w:tcPr>
            <w:tcW w:w="1640" w:type="dxa"/>
            <w:vAlign w:val="bottom"/>
          </w:tcPr>
          <w:p>
            <w:pPr>
              <w:jc w:val="right"/>
              <w:ind w:right="8"/>
              <w:spacing w:after="0" w:line="145" w:lineRule="exact"/>
              <w:rPr>
                <w:sz w:val="20"/>
                <w:szCs w:val="20"/>
                <w:color w:val="auto"/>
              </w:rPr>
            </w:pPr>
            <w:r>
              <w:rPr>
                <w:rFonts w:ascii="Arial" w:cs="Arial" w:eastAsia="Arial" w:hAnsi="Arial"/>
                <w:sz w:val="14"/>
                <w:szCs w:val="14"/>
                <w:b w:val="1"/>
                <w:bCs w:val="1"/>
                <w:color w:val="auto"/>
              </w:rPr>
              <w:t>issuance under</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outstanding</w:t>
            </w:r>
          </w:p>
        </w:tc>
        <w:tc>
          <w:tcPr>
            <w:tcW w:w="1380" w:type="dxa"/>
            <w:vAlign w:val="bottom"/>
          </w:tcPr>
          <w:p>
            <w:pPr>
              <w:jc w:val="right"/>
              <w:ind w:right="90"/>
              <w:spacing w:after="0"/>
              <w:rPr>
                <w:sz w:val="20"/>
                <w:szCs w:val="20"/>
                <w:color w:val="auto"/>
              </w:rPr>
            </w:pPr>
            <w:r>
              <w:rPr>
                <w:rFonts w:ascii="Arial" w:cs="Arial" w:eastAsia="Arial" w:hAnsi="Arial"/>
                <w:sz w:val="14"/>
                <w:szCs w:val="14"/>
                <w:b w:val="1"/>
                <w:bCs w:val="1"/>
                <w:color w:val="auto"/>
              </w:rPr>
              <w:t>average</w:t>
            </w: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stock options</w:t>
            </w:r>
          </w:p>
        </w:tc>
        <w:tc>
          <w:tcPr>
            <w:tcW w:w="1380" w:type="dxa"/>
            <w:vAlign w:val="bottom"/>
          </w:tcPr>
          <w:p>
            <w:pPr>
              <w:jc w:val="right"/>
              <w:ind w:right="90"/>
              <w:spacing w:after="0"/>
              <w:rPr>
                <w:sz w:val="20"/>
                <w:szCs w:val="20"/>
                <w:color w:val="auto"/>
              </w:rPr>
            </w:pPr>
            <w:r>
              <w:rPr>
                <w:rFonts w:ascii="Arial" w:cs="Arial" w:eastAsia="Arial" w:hAnsi="Arial"/>
                <w:sz w:val="14"/>
                <w:szCs w:val="14"/>
                <w:b w:val="1"/>
                <w:bCs w:val="1"/>
                <w:color w:val="auto"/>
              </w:rPr>
              <w:t>exercise price of</w:t>
            </w: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compensation</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and restricted</w:t>
            </w:r>
          </w:p>
        </w:tc>
        <w:tc>
          <w:tcPr>
            <w:tcW w:w="1380" w:type="dxa"/>
            <w:vAlign w:val="bottom"/>
          </w:tcPr>
          <w:p>
            <w:pPr>
              <w:jc w:val="right"/>
              <w:ind w:right="90"/>
              <w:spacing w:after="0"/>
              <w:rPr>
                <w:sz w:val="20"/>
                <w:szCs w:val="20"/>
                <w:color w:val="auto"/>
              </w:rPr>
            </w:pPr>
            <w:r>
              <w:rPr>
                <w:rFonts w:ascii="Arial" w:cs="Arial" w:eastAsia="Arial" w:hAnsi="Arial"/>
                <w:sz w:val="14"/>
                <w:szCs w:val="14"/>
                <w:b w:val="1"/>
                <w:bCs w:val="1"/>
                <w:color w:val="auto"/>
              </w:rPr>
              <w:t>outstanding</w:t>
            </w: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plans (excluding</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b w:val="1"/>
                <w:bCs w:val="1"/>
                <w:color w:val="auto"/>
              </w:rPr>
              <w:t>stock units</w:t>
            </w:r>
          </w:p>
        </w:tc>
        <w:tc>
          <w:tcPr>
            <w:tcW w:w="1380" w:type="dxa"/>
            <w:vAlign w:val="bottom"/>
          </w:tcPr>
          <w:p>
            <w:pPr>
              <w:jc w:val="right"/>
              <w:ind w:right="90"/>
              <w:spacing w:after="0"/>
              <w:rPr>
                <w:sz w:val="20"/>
                <w:szCs w:val="20"/>
                <w:color w:val="auto"/>
              </w:rPr>
            </w:pPr>
            <w:r>
              <w:rPr>
                <w:rFonts w:ascii="Arial" w:cs="Arial" w:eastAsia="Arial" w:hAnsi="Arial"/>
                <w:sz w:val="14"/>
                <w:szCs w:val="14"/>
                <w:b w:val="1"/>
                <w:bCs w:val="1"/>
                <w:color w:val="auto"/>
              </w:rPr>
              <w:t>stock options</w:t>
            </w:r>
          </w:p>
        </w:tc>
        <w:tc>
          <w:tcPr>
            <w:tcW w:w="1640" w:type="dxa"/>
            <w:vAlign w:val="bottom"/>
          </w:tcPr>
          <w:p>
            <w:pPr>
              <w:jc w:val="right"/>
              <w:ind w:right="8"/>
              <w:spacing w:after="0"/>
              <w:rPr>
                <w:sz w:val="20"/>
                <w:szCs w:val="20"/>
                <w:color w:val="auto"/>
              </w:rPr>
            </w:pPr>
            <w:r>
              <w:rPr>
                <w:rFonts w:ascii="Arial" w:cs="Arial" w:eastAsia="Arial" w:hAnsi="Arial"/>
                <w:sz w:val="14"/>
                <w:szCs w:val="14"/>
                <w:b w:val="1"/>
                <w:bCs w:val="1"/>
                <w:color w:val="auto"/>
              </w:rPr>
              <w:t>securities reflected</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404040"/>
            </w:tcBorders>
          </w:tcPr>
          <w:p>
            <w:pPr>
              <w:ind w:left="40"/>
              <w:spacing w:after="0"/>
              <w:rPr>
                <w:sz w:val="20"/>
                <w:szCs w:val="20"/>
                <w:color w:val="auto"/>
              </w:rPr>
            </w:pPr>
            <w:r>
              <w:rPr>
                <w:rFonts w:ascii="Arial" w:cs="Arial" w:eastAsia="Arial" w:hAnsi="Arial"/>
                <w:sz w:val="14"/>
                <w:szCs w:val="14"/>
                <w:b w:val="1"/>
                <w:bCs w:val="1"/>
                <w:color w:val="auto"/>
              </w:rPr>
              <w:t>Plan Category</w:t>
            </w:r>
          </w:p>
        </w:tc>
        <w:tc>
          <w:tcPr>
            <w:tcW w:w="1340" w:type="dxa"/>
            <w:vAlign w:val="bottom"/>
            <w:tcBorders>
              <w:bottom w:val="single" w:sz="8" w:color="404040"/>
            </w:tcBorders>
          </w:tcPr>
          <w:p>
            <w:pPr>
              <w:jc w:val="right"/>
              <w:ind w:right="8"/>
              <w:spacing w:after="0"/>
              <w:rPr>
                <w:sz w:val="20"/>
                <w:szCs w:val="20"/>
                <w:color w:val="auto"/>
              </w:rPr>
            </w:pPr>
            <w:r>
              <w:rPr>
                <w:rFonts w:ascii="Arial" w:cs="Arial" w:eastAsia="Arial" w:hAnsi="Arial"/>
                <w:sz w:val="14"/>
                <w:szCs w:val="14"/>
                <w:b w:val="1"/>
                <w:bCs w:val="1"/>
                <w:color w:val="auto"/>
              </w:rPr>
              <w:t>(a)</w:t>
            </w:r>
          </w:p>
        </w:tc>
        <w:tc>
          <w:tcPr>
            <w:tcW w:w="1380" w:type="dxa"/>
            <w:vAlign w:val="bottom"/>
            <w:tcBorders>
              <w:bottom w:val="single" w:sz="8" w:color="404040"/>
            </w:tcBorders>
          </w:tcPr>
          <w:p>
            <w:pPr>
              <w:jc w:val="right"/>
              <w:ind w:right="90"/>
              <w:spacing w:after="0" w:line="230" w:lineRule="exact"/>
              <w:rPr>
                <w:sz w:val="20"/>
                <w:szCs w:val="20"/>
                <w:color w:val="auto"/>
              </w:rPr>
            </w:pPr>
            <w:r>
              <w:rPr>
                <w:rFonts w:ascii="Arial" w:cs="Arial" w:eastAsia="Arial" w:hAnsi="Arial"/>
                <w:sz w:val="26"/>
                <w:szCs w:val="26"/>
                <w:b w:val="1"/>
                <w:bCs w:val="1"/>
                <w:color w:val="auto"/>
                <w:vertAlign w:val="subscript"/>
              </w:rPr>
              <w:t>(b)</w:t>
            </w:r>
            <w:r>
              <w:rPr>
                <w:rFonts w:ascii="Arial" w:cs="Arial" w:eastAsia="Arial" w:hAnsi="Arial"/>
                <w:sz w:val="11"/>
                <w:szCs w:val="11"/>
                <w:b w:val="1"/>
                <w:bCs w:val="1"/>
                <w:color w:val="auto"/>
              </w:rPr>
              <w:t>(3)</w:t>
            </w:r>
          </w:p>
        </w:tc>
        <w:tc>
          <w:tcPr>
            <w:tcW w:w="1640" w:type="dxa"/>
            <w:vAlign w:val="bottom"/>
            <w:tcBorders>
              <w:bottom w:val="single" w:sz="8" w:color="404040"/>
            </w:tcBorders>
          </w:tcPr>
          <w:p>
            <w:pPr>
              <w:jc w:val="right"/>
              <w:ind w:right="8"/>
              <w:spacing w:after="0"/>
              <w:rPr>
                <w:sz w:val="20"/>
                <w:szCs w:val="20"/>
                <w:color w:val="auto"/>
              </w:rPr>
            </w:pPr>
            <w:r>
              <w:rPr>
                <w:rFonts w:ascii="Arial" w:cs="Arial" w:eastAsia="Arial" w:hAnsi="Arial"/>
                <w:sz w:val="14"/>
                <w:szCs w:val="14"/>
                <w:b w:val="1"/>
                <w:bCs w:val="1"/>
                <w:color w:val="auto"/>
              </w:rPr>
              <w:t>in column (a))</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404040"/>
            </w:tcBorders>
          </w:tcPr>
          <w:p>
            <w:pPr>
              <w:ind w:left="40"/>
              <w:spacing w:after="0" w:line="250" w:lineRule="exact"/>
              <w:rPr>
                <w:sz w:val="20"/>
                <w:szCs w:val="20"/>
                <w:color w:val="auto"/>
              </w:rPr>
            </w:pPr>
            <w:r>
              <w:rPr>
                <w:rFonts w:ascii="Arial" w:cs="Arial" w:eastAsia="Arial" w:hAnsi="Arial"/>
                <w:sz w:val="14"/>
                <w:szCs w:val="14"/>
                <w:color w:val="auto"/>
              </w:rPr>
              <w:t>Equity compensation plans approved by stockholders</w:t>
            </w:r>
            <w:r>
              <w:rPr>
                <w:rFonts w:ascii="Arial" w:cs="Arial" w:eastAsia="Arial" w:hAnsi="Arial"/>
                <w:sz w:val="23"/>
                <w:szCs w:val="23"/>
                <w:color w:val="auto"/>
                <w:vertAlign w:val="superscript"/>
              </w:rPr>
              <w:t>(1)</w:t>
            </w:r>
          </w:p>
        </w:tc>
        <w:tc>
          <w:tcPr>
            <w:tcW w:w="1340" w:type="dxa"/>
            <w:vAlign w:val="bottom"/>
            <w:tcBorders>
              <w:bottom w:val="single" w:sz="8" w:color="404040"/>
            </w:tcBorders>
          </w:tcPr>
          <w:p>
            <w:pPr>
              <w:jc w:val="right"/>
              <w:ind w:right="8"/>
              <w:spacing w:after="0" w:line="250" w:lineRule="exact"/>
              <w:rPr>
                <w:sz w:val="20"/>
                <w:szCs w:val="20"/>
                <w:color w:val="auto"/>
              </w:rPr>
            </w:pPr>
            <w:r>
              <w:rPr>
                <w:rFonts w:ascii="Arial" w:cs="Arial" w:eastAsia="Arial" w:hAnsi="Arial"/>
                <w:sz w:val="14"/>
                <w:szCs w:val="14"/>
                <w:color w:val="auto"/>
              </w:rPr>
              <w:t>16,360,883</w:t>
            </w:r>
            <w:r>
              <w:rPr>
                <w:rFonts w:ascii="Arial" w:cs="Arial" w:eastAsia="Arial" w:hAnsi="Arial"/>
                <w:sz w:val="23"/>
                <w:szCs w:val="23"/>
                <w:color w:val="auto"/>
                <w:vertAlign w:val="superscript"/>
              </w:rPr>
              <w:t>(2)</w:t>
            </w:r>
          </w:p>
        </w:tc>
        <w:tc>
          <w:tcPr>
            <w:tcW w:w="1380" w:type="dxa"/>
            <w:vAlign w:val="bottom"/>
            <w:tcBorders>
              <w:bottom w:val="single" w:sz="8" w:color="404040"/>
            </w:tcBorders>
          </w:tcPr>
          <w:p>
            <w:pPr>
              <w:jc w:val="right"/>
              <w:ind w:right="90"/>
              <w:spacing w:after="0"/>
              <w:rPr>
                <w:sz w:val="20"/>
                <w:szCs w:val="20"/>
                <w:color w:val="auto"/>
              </w:rPr>
            </w:pPr>
            <w:r>
              <w:rPr>
                <w:rFonts w:ascii="Arial" w:cs="Arial" w:eastAsia="Arial" w:hAnsi="Arial"/>
                <w:sz w:val="14"/>
                <w:szCs w:val="14"/>
                <w:color w:val="auto"/>
              </w:rPr>
              <w:t>$10.44</w:t>
            </w:r>
          </w:p>
        </w:tc>
        <w:tc>
          <w:tcPr>
            <w:tcW w:w="1640" w:type="dxa"/>
            <w:vAlign w:val="bottom"/>
            <w:tcBorders>
              <w:bottom w:val="single" w:sz="8" w:color="404040"/>
            </w:tcBorders>
          </w:tcPr>
          <w:p>
            <w:pPr>
              <w:ind w:left="780"/>
              <w:spacing w:after="0" w:line="250" w:lineRule="exact"/>
              <w:rPr>
                <w:sz w:val="20"/>
                <w:szCs w:val="20"/>
                <w:color w:val="auto"/>
              </w:rPr>
            </w:pPr>
            <w:r>
              <w:rPr>
                <w:rFonts w:ascii="Arial" w:cs="Arial" w:eastAsia="Arial" w:hAnsi="Arial"/>
                <w:sz w:val="14"/>
                <w:szCs w:val="14"/>
                <w:color w:val="auto"/>
              </w:rPr>
              <w:t>5,790,375</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50"/>
        </w:trPr>
        <w:tc>
          <w:tcPr>
            <w:tcW w:w="4060" w:type="dxa"/>
            <w:vAlign w:val="bottom"/>
            <w:tcBorders>
              <w:bottom w:val="single" w:sz="8" w:color="404040"/>
            </w:tcBorders>
          </w:tcPr>
          <w:p>
            <w:pPr>
              <w:ind w:left="40"/>
              <w:spacing w:after="0" w:line="250" w:lineRule="exact"/>
              <w:rPr>
                <w:sz w:val="20"/>
                <w:szCs w:val="20"/>
                <w:color w:val="auto"/>
              </w:rPr>
            </w:pPr>
            <w:r>
              <w:rPr>
                <w:rFonts w:ascii="Arial" w:cs="Arial" w:eastAsia="Arial" w:hAnsi="Arial"/>
                <w:sz w:val="14"/>
                <w:szCs w:val="14"/>
                <w:color w:val="auto"/>
              </w:rPr>
              <w:t>Equity compensation plans not approved by stockholders</w:t>
            </w:r>
            <w:r>
              <w:rPr>
                <w:rFonts w:ascii="Arial" w:cs="Arial" w:eastAsia="Arial" w:hAnsi="Arial"/>
                <w:sz w:val="23"/>
                <w:szCs w:val="23"/>
                <w:color w:val="auto"/>
                <w:vertAlign w:val="superscript"/>
              </w:rPr>
              <w:t>(5)</w:t>
            </w:r>
          </w:p>
        </w:tc>
        <w:tc>
          <w:tcPr>
            <w:tcW w:w="1340" w:type="dxa"/>
            <w:vAlign w:val="bottom"/>
            <w:tcBorders>
              <w:bottom w:val="single" w:sz="8" w:color="404040"/>
            </w:tcBorders>
          </w:tcPr>
          <w:p>
            <w:pPr>
              <w:jc w:val="right"/>
              <w:ind w:right="168"/>
              <w:spacing w:after="0"/>
              <w:rPr>
                <w:sz w:val="20"/>
                <w:szCs w:val="20"/>
                <w:color w:val="auto"/>
              </w:rPr>
            </w:pPr>
            <w:r>
              <w:rPr>
                <w:rFonts w:ascii="Arial" w:cs="Arial" w:eastAsia="Arial" w:hAnsi="Arial"/>
                <w:sz w:val="14"/>
                <w:szCs w:val="14"/>
                <w:color w:val="auto"/>
              </w:rPr>
              <w:t>1,481,428</w:t>
            </w:r>
          </w:p>
        </w:tc>
        <w:tc>
          <w:tcPr>
            <w:tcW w:w="1380" w:type="dxa"/>
            <w:vAlign w:val="bottom"/>
            <w:tcBorders>
              <w:bottom w:val="single" w:sz="8" w:color="404040"/>
            </w:tcBorders>
          </w:tcPr>
          <w:p>
            <w:pPr>
              <w:jc w:val="right"/>
              <w:ind w:right="90"/>
              <w:spacing w:after="0"/>
              <w:rPr>
                <w:sz w:val="20"/>
                <w:szCs w:val="20"/>
                <w:color w:val="auto"/>
              </w:rPr>
            </w:pPr>
            <w:r>
              <w:rPr>
                <w:rFonts w:ascii="Arial" w:cs="Arial" w:eastAsia="Arial" w:hAnsi="Arial"/>
                <w:sz w:val="14"/>
                <w:szCs w:val="14"/>
                <w:color w:val="auto"/>
              </w:rPr>
              <w:t>$13.76</w:t>
            </w:r>
          </w:p>
        </w:tc>
        <w:tc>
          <w:tcPr>
            <w:tcW w:w="1640" w:type="dxa"/>
            <w:vAlign w:val="bottom"/>
            <w:tcBorders>
              <w:bottom w:val="single" w:sz="8" w:color="404040"/>
            </w:tcBorders>
          </w:tcPr>
          <w:p>
            <w:pPr>
              <w:jc w:val="right"/>
              <w:ind w:right="168"/>
              <w:spacing w:after="0"/>
              <w:rPr>
                <w:sz w:val="20"/>
                <w:szCs w:val="20"/>
                <w:color w:val="auto"/>
              </w:rPr>
            </w:pPr>
            <w:r>
              <w:rPr>
                <w:rFonts w:ascii="Arial" w:cs="Arial" w:eastAsia="Arial" w:hAnsi="Arial"/>
                <w:sz w:val="14"/>
                <w:szCs w:val="14"/>
                <w:color w:val="auto"/>
              </w:rPr>
              <w:t>537,982</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404040"/>
            </w:tcBorders>
          </w:tcPr>
          <w:p>
            <w:pPr>
              <w:ind w:left="40"/>
              <w:spacing w:after="0"/>
              <w:rPr>
                <w:sz w:val="20"/>
                <w:szCs w:val="20"/>
                <w:color w:val="auto"/>
              </w:rPr>
            </w:pPr>
            <w:r>
              <w:rPr>
                <w:rFonts w:ascii="Arial" w:cs="Arial" w:eastAsia="Arial" w:hAnsi="Arial"/>
                <w:sz w:val="14"/>
                <w:szCs w:val="14"/>
                <w:color w:val="auto"/>
              </w:rPr>
              <w:t>Total</w:t>
            </w:r>
          </w:p>
        </w:tc>
        <w:tc>
          <w:tcPr>
            <w:tcW w:w="1340" w:type="dxa"/>
            <w:vAlign w:val="bottom"/>
            <w:tcBorders>
              <w:bottom w:val="single" w:sz="8" w:color="404040"/>
            </w:tcBorders>
          </w:tcPr>
          <w:p>
            <w:pPr>
              <w:jc w:val="right"/>
              <w:ind w:right="168"/>
              <w:spacing w:after="0"/>
              <w:rPr>
                <w:sz w:val="20"/>
                <w:szCs w:val="20"/>
                <w:color w:val="auto"/>
              </w:rPr>
            </w:pPr>
            <w:r>
              <w:rPr>
                <w:rFonts w:ascii="Arial" w:cs="Arial" w:eastAsia="Arial" w:hAnsi="Arial"/>
                <w:sz w:val="14"/>
                <w:szCs w:val="14"/>
                <w:color w:val="auto"/>
              </w:rPr>
              <w:t>17,842,311</w:t>
            </w:r>
          </w:p>
        </w:tc>
        <w:tc>
          <w:tcPr>
            <w:tcW w:w="1380" w:type="dxa"/>
            <w:vAlign w:val="bottom"/>
            <w:tcBorders>
              <w:bottom w:val="single" w:sz="8" w:color="404040"/>
            </w:tcBorders>
          </w:tcPr>
          <w:p>
            <w:pPr>
              <w:jc w:val="right"/>
              <w:ind w:right="90"/>
              <w:spacing w:after="0"/>
              <w:rPr>
                <w:sz w:val="20"/>
                <w:szCs w:val="20"/>
                <w:color w:val="auto"/>
              </w:rPr>
            </w:pPr>
            <w:r>
              <w:rPr>
                <w:rFonts w:ascii="Arial" w:cs="Arial" w:eastAsia="Arial" w:hAnsi="Arial"/>
                <w:sz w:val="14"/>
                <w:szCs w:val="14"/>
                <w:color w:val="auto"/>
              </w:rPr>
              <w:t>$10.47</w:t>
            </w:r>
          </w:p>
        </w:tc>
        <w:tc>
          <w:tcPr>
            <w:tcW w:w="1640" w:type="dxa"/>
            <w:vAlign w:val="bottom"/>
            <w:tcBorders>
              <w:bottom w:val="single" w:sz="8" w:color="404040"/>
            </w:tcBorders>
          </w:tcPr>
          <w:p>
            <w:pPr>
              <w:ind w:left="780"/>
              <w:spacing w:after="0"/>
              <w:rPr>
                <w:sz w:val="20"/>
                <w:szCs w:val="20"/>
                <w:color w:val="auto"/>
              </w:rPr>
            </w:pPr>
            <w:r>
              <w:rPr>
                <w:rFonts w:ascii="Arial" w:cs="Arial" w:eastAsia="Arial" w:hAnsi="Arial"/>
                <w:sz w:val="14"/>
                <w:szCs w:val="14"/>
                <w:color w:val="auto"/>
              </w:rPr>
              <w:t>6,328,357</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000" w:hanging="348"/>
        <w:spacing w:after="0"/>
        <w:tabs>
          <w:tab w:leader="none" w:pos="100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equity compensation plans approved by security holders are described in Note 10 to our financial statements included in our Annual Report.</w:t>
      </w:r>
    </w:p>
    <w:p>
      <w:pPr>
        <w:spacing w:after="0" w:line="27" w:lineRule="exact"/>
        <w:rPr>
          <w:rFonts w:ascii="Arial" w:cs="Arial" w:eastAsia="Arial" w:hAnsi="Arial"/>
          <w:sz w:val="12"/>
          <w:szCs w:val="12"/>
          <w:color w:val="auto"/>
        </w:rPr>
      </w:pPr>
    </w:p>
    <w:p>
      <w:pPr>
        <w:ind w:left="1000" w:right="319" w:hanging="348"/>
        <w:spacing w:after="0" w:line="238" w:lineRule="auto"/>
        <w:tabs>
          <w:tab w:leader="none" w:pos="10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Excludes 5,281,972, the maximum number of shares that could be purchased in the ongoing offering period under the ESPP as of December 31, 2025.</w:t>
      </w:r>
    </w:p>
    <w:p>
      <w:pPr>
        <w:spacing w:after="0" w:line="10" w:lineRule="exact"/>
        <w:rPr>
          <w:rFonts w:ascii="Arial" w:cs="Arial" w:eastAsia="Arial" w:hAnsi="Arial"/>
          <w:sz w:val="13"/>
          <w:szCs w:val="13"/>
          <w:color w:val="auto"/>
        </w:rPr>
      </w:pPr>
    </w:p>
    <w:p>
      <w:pPr>
        <w:ind w:left="1000" w:hanging="348"/>
        <w:spacing w:after="0"/>
        <w:tabs>
          <w:tab w:leader="none" w:pos="10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Excludes 16,100,027 shares issuable upon vesting of outstanding awards of restricted stock units, as such shares have no exercise price.</w:t>
      </w:r>
    </w:p>
    <w:p>
      <w:pPr>
        <w:spacing w:after="0" w:line="26" w:lineRule="exact"/>
        <w:rPr>
          <w:rFonts w:ascii="Arial" w:cs="Arial" w:eastAsia="Arial" w:hAnsi="Arial"/>
          <w:sz w:val="13"/>
          <w:szCs w:val="13"/>
          <w:color w:val="auto"/>
        </w:rPr>
      </w:pPr>
    </w:p>
    <w:p>
      <w:pPr>
        <w:jc w:val="both"/>
        <w:ind w:left="1000" w:right="299" w:hanging="348"/>
        <w:spacing w:after="0" w:line="223" w:lineRule="auto"/>
        <w:tabs>
          <w:tab w:leader="none" w:pos="10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reserve for shares available under our 2019 Plan automatically increases on January 1st each year, through and including January 1, 2029, in an amount equal to 5% of the total number of shares of our capital stock outstanding on the last day of the preceding fiscal year, or a lesser number of shares as determined by the Board of Directors. The reserve for shares available under the ESPP automatically increases on January 1st each year, through and including January 1, 2029, in an amount equal to the lesser of (i) 1% of the total number of shares of our capital stock outstanding on the last day of the preceding fiscal year and (ii) 2,500,000 shares, or a lesser number of shares as determined by the Board of Directors. Accordingly, an additional 7,576,863 and 1,515,372 shares were added to the number of available shares under our 2019 Plan and our ESPP, respectively, effective January 1, 2026.</w:t>
      </w:r>
    </w:p>
    <w:p>
      <w:pPr>
        <w:spacing w:after="0" w:line="3" w:lineRule="exact"/>
        <w:rPr>
          <w:rFonts w:ascii="Arial" w:cs="Arial" w:eastAsia="Arial" w:hAnsi="Arial"/>
          <w:sz w:val="13"/>
          <w:szCs w:val="13"/>
          <w:color w:val="auto"/>
        </w:rPr>
      </w:pPr>
    </w:p>
    <w:p>
      <w:pPr>
        <w:jc w:val="both"/>
        <w:ind w:left="1000" w:right="299" w:hanging="348"/>
        <w:spacing w:after="0" w:line="221" w:lineRule="auto"/>
        <w:tabs>
          <w:tab w:leader="none" w:pos="10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19,410 shares of our common stock issuable upon the exercise of options assumed in connection with our acquisition of Signal Sciences Corp., that remain outstanding under the Signal Sciences Corp. 2014 Stock Option and Grant Plan (the “Signal Sciences Plan”). The Signal Sciences Plan provides for the options to remain outstanding through the tenth anniversary of the date of grant, subject to earlier termination in the event of a termination of services with us. Also includes 1,462,018 shares of our common stock subject to outstanding restricted stock unit awards granted under our 2025 Employment Inducement Incentive Plan (the “2025 Inducement Plan”). The 2025 Inducement Plan was adopted by our Board of Directors without stockholder approval pursuant to NYSE Listing Rule 303A.08. The 2025 Inducement Plan provides for the grant of equity awards to individuals who were not previously an employee, as an inducement material to such individual’s entering into employment with the Company. As of December 31, 2025, 537,982 shares of Class A common stock remained available for future issuance under the 2025 Inducement Plan.</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62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32"/>
          <w:szCs w:val="32"/>
          <w:b w:val="1"/>
          <w:bCs w:val="1"/>
          <w:color w:val="auto"/>
        </w:rPr>
        <w:t>COMPENSATION OF NON-EMPLOYEE DIRECTORS</w:t>
      </w:r>
    </w:p>
    <w:p>
      <w:pPr>
        <w:spacing w:after="0" w:line="175" w:lineRule="exact"/>
        <w:rPr>
          <w:sz w:val="20"/>
          <w:szCs w:val="20"/>
          <w:color w:val="auto"/>
        </w:rPr>
      </w:pPr>
    </w:p>
    <w:p>
      <w:pPr>
        <w:ind w:left="660" w:right="640"/>
        <w:spacing w:after="0" w:line="286" w:lineRule="auto"/>
        <w:rPr>
          <w:sz w:val="20"/>
          <w:szCs w:val="20"/>
          <w:color w:val="auto"/>
        </w:rPr>
      </w:pPr>
      <w:r>
        <w:rPr>
          <w:rFonts w:ascii="Arial" w:cs="Arial" w:eastAsia="Arial" w:hAnsi="Arial"/>
          <w:sz w:val="16"/>
          <w:szCs w:val="16"/>
          <w:color w:val="auto"/>
        </w:rPr>
        <w:t>The following table shows for the fiscal year ended December 31, 2025, certain information with respect to the compensation of our non-employee directors:</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3100" w:type="dxa"/>
            <w:vAlign w:val="bottom"/>
          </w:tcPr>
          <w:p>
            <w:pPr>
              <w:jc w:val="right"/>
              <w:ind w:right="108"/>
              <w:spacing w:after="0"/>
              <w:rPr>
                <w:sz w:val="20"/>
                <w:szCs w:val="20"/>
                <w:color w:val="auto"/>
              </w:rPr>
            </w:pPr>
            <w:r>
              <w:rPr>
                <w:rFonts w:ascii="Arial" w:cs="Arial" w:eastAsia="Arial" w:hAnsi="Arial"/>
                <w:sz w:val="14"/>
                <w:szCs w:val="14"/>
                <w:b w:val="1"/>
                <w:bCs w:val="1"/>
                <w:color w:val="auto"/>
              </w:rPr>
              <w:t>Fees Earned or</w:t>
            </w:r>
          </w:p>
        </w:tc>
        <w:tc>
          <w:tcPr>
            <w:tcW w:w="1100" w:type="dxa"/>
            <w:vAlign w:val="bottom"/>
          </w:tcPr>
          <w:p>
            <w:pPr>
              <w:jc w:val="right"/>
              <w:ind w:right="50"/>
              <w:spacing w:after="0"/>
              <w:rPr>
                <w:sz w:val="20"/>
                <w:szCs w:val="20"/>
                <w:color w:val="auto"/>
              </w:rPr>
            </w:pPr>
            <w:r>
              <w:rPr>
                <w:rFonts w:ascii="Arial" w:cs="Arial" w:eastAsia="Arial" w:hAnsi="Arial"/>
                <w:sz w:val="14"/>
                <w:szCs w:val="14"/>
                <w:b w:val="1"/>
                <w:bCs w:val="1"/>
                <w:color w:val="auto"/>
              </w:rPr>
              <w:t>Stock</w:t>
            </w:r>
          </w:p>
        </w:tc>
        <w:tc>
          <w:tcPr>
            <w:tcW w:w="860" w:type="dxa"/>
            <w:vAlign w:val="bottom"/>
          </w:tcPr>
          <w:p>
            <w:pPr>
              <w:spacing w:after="0"/>
              <w:rPr>
                <w:sz w:val="14"/>
                <w:szCs w:val="14"/>
                <w:color w:val="auto"/>
              </w:rPr>
            </w:pPr>
          </w:p>
        </w:tc>
      </w:tr>
      <w:tr>
        <w:trPr>
          <w:trHeight w:val="229"/>
        </w:trPr>
        <w:tc>
          <w:tcPr>
            <w:tcW w:w="336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Name</w:t>
            </w:r>
          </w:p>
        </w:tc>
        <w:tc>
          <w:tcPr>
            <w:tcW w:w="3100" w:type="dxa"/>
            <w:vAlign w:val="bottom"/>
            <w:tcBorders>
              <w:bottom w:val="single" w:sz="8" w:color="404040"/>
            </w:tcBorders>
          </w:tcPr>
          <w:p>
            <w:pPr>
              <w:jc w:val="right"/>
              <w:ind w:right="108"/>
              <w:spacing w:after="0"/>
              <w:rPr>
                <w:sz w:val="20"/>
                <w:szCs w:val="20"/>
                <w:color w:val="auto"/>
              </w:rPr>
            </w:pPr>
            <w:r>
              <w:rPr>
                <w:rFonts w:ascii="Arial" w:cs="Arial" w:eastAsia="Arial" w:hAnsi="Arial"/>
                <w:sz w:val="14"/>
                <w:szCs w:val="14"/>
                <w:b w:val="1"/>
                <w:bCs w:val="1"/>
                <w:color w:val="auto"/>
              </w:rPr>
              <w:t>Paid in Cash</w:t>
            </w:r>
          </w:p>
        </w:tc>
        <w:tc>
          <w:tcPr>
            <w:tcW w:w="1100" w:type="dxa"/>
            <w:vAlign w:val="bottom"/>
            <w:tcBorders>
              <w:bottom w:val="single" w:sz="8" w:color="404040"/>
            </w:tcBorders>
          </w:tcPr>
          <w:p>
            <w:pPr>
              <w:jc w:val="right"/>
              <w:ind w:right="50"/>
              <w:spacing w:after="0" w:line="230" w:lineRule="exact"/>
              <w:rPr>
                <w:sz w:val="20"/>
                <w:szCs w:val="20"/>
                <w:color w:val="auto"/>
              </w:rPr>
            </w:pPr>
            <w:r>
              <w:rPr>
                <w:rFonts w:ascii="Arial" w:cs="Arial" w:eastAsia="Arial" w:hAnsi="Arial"/>
                <w:sz w:val="26"/>
                <w:szCs w:val="26"/>
                <w:b w:val="1"/>
                <w:bCs w:val="1"/>
                <w:color w:val="auto"/>
                <w:vertAlign w:val="subscript"/>
              </w:rPr>
              <w:t>Awards</w:t>
            </w:r>
            <w:r>
              <w:rPr>
                <w:rFonts w:ascii="Arial" w:cs="Arial" w:eastAsia="Arial" w:hAnsi="Arial"/>
                <w:sz w:val="11"/>
                <w:szCs w:val="11"/>
                <w:b w:val="1"/>
                <w:bCs w:val="1"/>
                <w:color w:val="auto"/>
              </w:rPr>
              <w:t>(1)(2)</w:t>
            </w:r>
          </w:p>
        </w:tc>
        <w:tc>
          <w:tcPr>
            <w:tcW w:w="8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Total</w:t>
            </w:r>
          </w:p>
        </w:tc>
      </w:tr>
      <w:tr>
        <w:trPr>
          <w:trHeight w:val="202"/>
        </w:trPr>
        <w:tc>
          <w:tcPr>
            <w:tcW w:w="3360" w:type="dxa"/>
            <w:vAlign w:val="bottom"/>
          </w:tcPr>
          <w:p>
            <w:pPr>
              <w:ind w:left="60"/>
              <w:spacing w:after="0"/>
              <w:rPr>
                <w:sz w:val="20"/>
                <w:szCs w:val="20"/>
                <w:color w:val="auto"/>
              </w:rPr>
            </w:pPr>
            <w:r>
              <w:rPr>
                <w:rFonts w:ascii="Arial" w:cs="Arial" w:eastAsia="Arial" w:hAnsi="Arial"/>
                <w:sz w:val="14"/>
                <w:szCs w:val="14"/>
                <w:color w:val="auto"/>
              </w:rPr>
              <w:t>Aida Álvarez</w:t>
            </w:r>
          </w:p>
        </w:tc>
        <w:tc>
          <w:tcPr>
            <w:tcW w:w="3100" w:type="dxa"/>
            <w:vAlign w:val="bottom"/>
          </w:tcPr>
          <w:p>
            <w:pPr>
              <w:jc w:val="right"/>
              <w:ind w:right="108"/>
              <w:spacing w:after="0"/>
              <w:rPr>
                <w:sz w:val="20"/>
                <w:szCs w:val="20"/>
                <w:color w:val="auto"/>
              </w:rPr>
            </w:pPr>
            <w:r>
              <w:rPr>
                <w:rFonts w:ascii="Arial" w:cs="Arial" w:eastAsia="Arial" w:hAnsi="Arial"/>
                <w:sz w:val="14"/>
                <w:szCs w:val="14"/>
                <w:color w:val="auto"/>
              </w:rPr>
              <w:t>$50,000</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$199,995</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$249,995</w:t>
            </w:r>
          </w:p>
        </w:tc>
      </w:tr>
      <w:tr>
        <w:trPr>
          <w:trHeight w:val="22"/>
        </w:trPr>
        <w:tc>
          <w:tcPr>
            <w:tcW w:w="3360" w:type="dxa"/>
            <w:vAlign w:val="bottom"/>
            <w:tcBorders>
              <w:bottom w:val="single" w:sz="8" w:color="404040"/>
            </w:tcBorders>
          </w:tcPr>
          <w:p>
            <w:pPr>
              <w:spacing w:after="0" w:line="20" w:lineRule="exact"/>
              <w:rPr>
                <w:sz w:val="1"/>
                <w:szCs w:val="1"/>
                <w:color w:val="auto"/>
              </w:rPr>
            </w:pPr>
          </w:p>
        </w:tc>
        <w:tc>
          <w:tcPr>
            <w:tcW w:w="310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860" w:type="dxa"/>
            <w:vAlign w:val="bottom"/>
            <w:tcBorders>
              <w:bottom w:val="single" w:sz="8" w:color="404040"/>
            </w:tcBorders>
          </w:tcPr>
          <w:p>
            <w:pPr>
              <w:spacing w:after="0" w:line="20" w:lineRule="exact"/>
              <w:rPr>
                <w:sz w:val="1"/>
                <w:szCs w:val="1"/>
                <w:color w:val="auto"/>
              </w:rPr>
            </w:pPr>
          </w:p>
        </w:tc>
      </w:tr>
      <w:tr>
        <w:trPr>
          <w:trHeight w:val="201"/>
        </w:trPr>
        <w:tc>
          <w:tcPr>
            <w:tcW w:w="3360" w:type="dxa"/>
            <w:vAlign w:val="bottom"/>
          </w:tcPr>
          <w:p>
            <w:pPr>
              <w:ind w:left="60"/>
              <w:spacing w:after="0"/>
              <w:rPr>
                <w:sz w:val="20"/>
                <w:szCs w:val="20"/>
                <w:color w:val="auto"/>
              </w:rPr>
            </w:pPr>
            <w:r>
              <w:rPr>
                <w:rFonts w:ascii="Arial" w:cs="Arial" w:eastAsia="Arial" w:hAnsi="Arial"/>
                <w:sz w:val="14"/>
                <w:szCs w:val="14"/>
                <w:color w:val="auto"/>
              </w:rPr>
              <w:t>Richard Daniels</w:t>
            </w:r>
          </w:p>
        </w:tc>
        <w:tc>
          <w:tcPr>
            <w:tcW w:w="3100" w:type="dxa"/>
            <w:vAlign w:val="bottom"/>
          </w:tcPr>
          <w:p>
            <w:pPr>
              <w:jc w:val="right"/>
              <w:ind w:right="108"/>
              <w:spacing w:after="0"/>
              <w:rPr>
                <w:sz w:val="20"/>
                <w:szCs w:val="20"/>
                <w:color w:val="auto"/>
              </w:rPr>
            </w:pPr>
            <w:r>
              <w:rPr>
                <w:rFonts w:ascii="Arial" w:cs="Arial" w:eastAsia="Arial" w:hAnsi="Arial"/>
                <w:sz w:val="14"/>
                <w:szCs w:val="14"/>
                <w:color w:val="auto"/>
              </w:rPr>
              <w:t>$40,000</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$199,995</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$239,995</w:t>
            </w:r>
          </w:p>
        </w:tc>
      </w:tr>
      <w:tr>
        <w:trPr>
          <w:trHeight w:val="22"/>
        </w:trPr>
        <w:tc>
          <w:tcPr>
            <w:tcW w:w="3360" w:type="dxa"/>
            <w:vAlign w:val="bottom"/>
            <w:tcBorders>
              <w:bottom w:val="single" w:sz="8" w:color="404040"/>
            </w:tcBorders>
          </w:tcPr>
          <w:p>
            <w:pPr>
              <w:spacing w:after="0" w:line="20" w:lineRule="exact"/>
              <w:rPr>
                <w:sz w:val="1"/>
                <w:szCs w:val="1"/>
                <w:color w:val="auto"/>
              </w:rPr>
            </w:pPr>
          </w:p>
        </w:tc>
        <w:tc>
          <w:tcPr>
            <w:tcW w:w="310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860" w:type="dxa"/>
            <w:vAlign w:val="bottom"/>
            <w:tcBorders>
              <w:bottom w:val="single" w:sz="8" w:color="404040"/>
            </w:tcBorders>
          </w:tcPr>
          <w:p>
            <w:pPr>
              <w:spacing w:after="0" w:line="20" w:lineRule="exact"/>
              <w:rPr>
                <w:sz w:val="1"/>
                <w:szCs w:val="1"/>
                <w:color w:val="auto"/>
              </w:rPr>
            </w:pPr>
          </w:p>
        </w:tc>
      </w:tr>
      <w:tr>
        <w:trPr>
          <w:trHeight w:val="202"/>
        </w:trPr>
        <w:tc>
          <w:tcPr>
            <w:tcW w:w="3360" w:type="dxa"/>
            <w:vAlign w:val="bottom"/>
          </w:tcPr>
          <w:p>
            <w:pPr>
              <w:ind w:left="60"/>
              <w:spacing w:after="0"/>
              <w:rPr>
                <w:sz w:val="20"/>
                <w:szCs w:val="20"/>
                <w:color w:val="auto"/>
              </w:rPr>
            </w:pPr>
            <w:r>
              <w:rPr>
                <w:rFonts w:ascii="Arial" w:cs="Arial" w:eastAsia="Arial" w:hAnsi="Arial"/>
                <w:sz w:val="14"/>
                <w:szCs w:val="14"/>
                <w:color w:val="auto"/>
              </w:rPr>
              <w:t>David Hornik</w:t>
            </w:r>
          </w:p>
        </w:tc>
        <w:tc>
          <w:tcPr>
            <w:tcW w:w="3100" w:type="dxa"/>
            <w:vAlign w:val="bottom"/>
          </w:tcPr>
          <w:p>
            <w:pPr>
              <w:jc w:val="right"/>
              <w:ind w:right="108"/>
              <w:spacing w:after="0"/>
              <w:rPr>
                <w:sz w:val="20"/>
                <w:szCs w:val="20"/>
                <w:color w:val="auto"/>
              </w:rPr>
            </w:pPr>
            <w:r>
              <w:rPr>
                <w:rFonts w:ascii="Arial" w:cs="Arial" w:eastAsia="Arial" w:hAnsi="Arial"/>
                <w:sz w:val="14"/>
                <w:szCs w:val="14"/>
                <w:color w:val="auto"/>
              </w:rPr>
              <w:t>$60,000</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$199,995</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$259,995</w:t>
            </w:r>
          </w:p>
        </w:tc>
      </w:tr>
      <w:tr>
        <w:trPr>
          <w:trHeight w:val="22"/>
        </w:trPr>
        <w:tc>
          <w:tcPr>
            <w:tcW w:w="3360" w:type="dxa"/>
            <w:vAlign w:val="bottom"/>
            <w:tcBorders>
              <w:bottom w:val="single" w:sz="8" w:color="404040"/>
            </w:tcBorders>
          </w:tcPr>
          <w:p>
            <w:pPr>
              <w:spacing w:after="0" w:line="20" w:lineRule="exact"/>
              <w:rPr>
                <w:sz w:val="1"/>
                <w:szCs w:val="1"/>
                <w:color w:val="auto"/>
              </w:rPr>
            </w:pPr>
          </w:p>
        </w:tc>
        <w:tc>
          <w:tcPr>
            <w:tcW w:w="310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860" w:type="dxa"/>
            <w:vAlign w:val="bottom"/>
            <w:tcBorders>
              <w:bottom w:val="single" w:sz="8" w:color="404040"/>
            </w:tcBorders>
          </w:tcPr>
          <w:p>
            <w:pPr>
              <w:spacing w:after="0" w:line="20" w:lineRule="exact"/>
              <w:rPr>
                <w:sz w:val="1"/>
                <w:szCs w:val="1"/>
                <w:color w:val="auto"/>
              </w:rPr>
            </w:pPr>
          </w:p>
        </w:tc>
      </w:tr>
      <w:tr>
        <w:trPr>
          <w:trHeight w:val="201"/>
        </w:trPr>
        <w:tc>
          <w:tcPr>
            <w:tcW w:w="3360" w:type="dxa"/>
            <w:vAlign w:val="bottom"/>
          </w:tcPr>
          <w:p>
            <w:pPr>
              <w:ind w:left="60"/>
              <w:spacing w:after="0"/>
              <w:rPr>
                <w:sz w:val="20"/>
                <w:szCs w:val="20"/>
                <w:color w:val="auto"/>
              </w:rPr>
            </w:pPr>
            <w:r>
              <w:rPr>
                <w:rFonts w:ascii="Arial" w:cs="Arial" w:eastAsia="Arial" w:hAnsi="Arial"/>
                <w:sz w:val="14"/>
                <w:szCs w:val="14"/>
                <w:color w:val="auto"/>
              </w:rPr>
              <w:t>Paula Loop</w:t>
            </w:r>
          </w:p>
        </w:tc>
        <w:tc>
          <w:tcPr>
            <w:tcW w:w="3100" w:type="dxa"/>
            <w:vAlign w:val="bottom"/>
          </w:tcPr>
          <w:p>
            <w:pPr>
              <w:jc w:val="right"/>
              <w:ind w:right="108"/>
              <w:spacing w:after="0"/>
              <w:rPr>
                <w:sz w:val="20"/>
                <w:szCs w:val="20"/>
                <w:color w:val="auto"/>
              </w:rPr>
            </w:pPr>
            <w:r>
              <w:rPr>
                <w:rFonts w:ascii="Arial" w:cs="Arial" w:eastAsia="Arial" w:hAnsi="Arial"/>
                <w:sz w:val="14"/>
                <w:szCs w:val="14"/>
                <w:color w:val="auto"/>
              </w:rPr>
              <w:t>$40,000</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$199,995</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$239,995</w:t>
            </w:r>
          </w:p>
        </w:tc>
      </w:tr>
      <w:tr>
        <w:trPr>
          <w:trHeight w:val="22"/>
        </w:trPr>
        <w:tc>
          <w:tcPr>
            <w:tcW w:w="3360" w:type="dxa"/>
            <w:vAlign w:val="bottom"/>
            <w:tcBorders>
              <w:bottom w:val="single" w:sz="8" w:color="404040"/>
            </w:tcBorders>
          </w:tcPr>
          <w:p>
            <w:pPr>
              <w:spacing w:after="0" w:line="20" w:lineRule="exact"/>
              <w:rPr>
                <w:sz w:val="1"/>
                <w:szCs w:val="1"/>
                <w:color w:val="auto"/>
              </w:rPr>
            </w:pPr>
          </w:p>
        </w:tc>
        <w:tc>
          <w:tcPr>
            <w:tcW w:w="310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860" w:type="dxa"/>
            <w:vAlign w:val="bottom"/>
            <w:tcBorders>
              <w:bottom w:val="single" w:sz="8" w:color="404040"/>
            </w:tcBorders>
          </w:tcPr>
          <w:p>
            <w:pPr>
              <w:spacing w:after="0" w:line="20" w:lineRule="exact"/>
              <w:rPr>
                <w:sz w:val="1"/>
                <w:szCs w:val="1"/>
                <w:color w:val="auto"/>
              </w:rPr>
            </w:pPr>
          </w:p>
        </w:tc>
      </w:tr>
      <w:tr>
        <w:trPr>
          <w:trHeight w:val="202"/>
        </w:trPr>
        <w:tc>
          <w:tcPr>
            <w:tcW w:w="3360" w:type="dxa"/>
            <w:vAlign w:val="bottom"/>
          </w:tcPr>
          <w:p>
            <w:pPr>
              <w:ind w:left="60"/>
              <w:spacing w:after="0"/>
              <w:rPr>
                <w:sz w:val="20"/>
                <w:szCs w:val="20"/>
                <w:color w:val="auto"/>
              </w:rPr>
            </w:pPr>
            <w:r>
              <w:rPr>
                <w:rFonts w:ascii="Arial" w:cs="Arial" w:eastAsia="Arial" w:hAnsi="Arial"/>
                <w:sz w:val="14"/>
                <w:szCs w:val="14"/>
                <w:color w:val="auto"/>
              </w:rPr>
              <w:t>Charles Meyers</w:t>
            </w:r>
          </w:p>
        </w:tc>
        <w:tc>
          <w:tcPr>
            <w:tcW w:w="3100" w:type="dxa"/>
            <w:vAlign w:val="bottom"/>
          </w:tcPr>
          <w:p>
            <w:pPr>
              <w:jc w:val="right"/>
              <w:ind w:right="108"/>
              <w:spacing w:after="0"/>
              <w:rPr>
                <w:sz w:val="20"/>
                <w:szCs w:val="20"/>
                <w:color w:val="auto"/>
              </w:rPr>
            </w:pPr>
            <w:r>
              <w:rPr>
                <w:rFonts w:ascii="Arial" w:cs="Arial" w:eastAsia="Arial" w:hAnsi="Arial"/>
                <w:sz w:val="14"/>
                <w:szCs w:val="14"/>
                <w:color w:val="auto"/>
              </w:rPr>
              <w:t>$55,000</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$199,995</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$254,995</w:t>
            </w:r>
          </w:p>
        </w:tc>
      </w:tr>
      <w:tr>
        <w:trPr>
          <w:trHeight w:val="22"/>
        </w:trPr>
        <w:tc>
          <w:tcPr>
            <w:tcW w:w="3360" w:type="dxa"/>
            <w:vAlign w:val="bottom"/>
            <w:tcBorders>
              <w:bottom w:val="single" w:sz="8" w:color="404040"/>
            </w:tcBorders>
          </w:tcPr>
          <w:p>
            <w:pPr>
              <w:spacing w:after="0" w:line="20" w:lineRule="exact"/>
              <w:rPr>
                <w:sz w:val="1"/>
                <w:szCs w:val="1"/>
                <w:color w:val="auto"/>
              </w:rPr>
            </w:pPr>
          </w:p>
        </w:tc>
        <w:tc>
          <w:tcPr>
            <w:tcW w:w="310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860" w:type="dxa"/>
            <w:vAlign w:val="bottom"/>
            <w:tcBorders>
              <w:bottom w:val="single" w:sz="8" w:color="404040"/>
            </w:tcBorders>
          </w:tcPr>
          <w:p>
            <w:pPr>
              <w:spacing w:after="0" w:line="20" w:lineRule="exact"/>
              <w:rPr>
                <w:sz w:val="1"/>
                <w:szCs w:val="1"/>
                <w:color w:val="auto"/>
              </w:rPr>
            </w:pPr>
          </w:p>
        </w:tc>
      </w:tr>
      <w:tr>
        <w:trPr>
          <w:trHeight w:val="202"/>
        </w:trPr>
        <w:tc>
          <w:tcPr>
            <w:tcW w:w="3360" w:type="dxa"/>
            <w:vAlign w:val="bottom"/>
          </w:tcPr>
          <w:p>
            <w:pPr>
              <w:ind w:left="60"/>
              <w:spacing w:after="0"/>
              <w:rPr>
                <w:sz w:val="20"/>
                <w:szCs w:val="20"/>
                <w:color w:val="auto"/>
              </w:rPr>
            </w:pPr>
            <w:r>
              <w:rPr>
                <w:rFonts w:ascii="Arial" w:cs="Arial" w:eastAsia="Arial" w:hAnsi="Arial"/>
                <w:sz w:val="14"/>
                <w:szCs w:val="14"/>
                <w:color w:val="auto"/>
              </w:rPr>
              <w:t>Christopher B. Paisley</w:t>
            </w:r>
          </w:p>
        </w:tc>
        <w:tc>
          <w:tcPr>
            <w:tcW w:w="3100" w:type="dxa"/>
            <w:vAlign w:val="bottom"/>
          </w:tcPr>
          <w:p>
            <w:pPr>
              <w:jc w:val="right"/>
              <w:ind w:right="108"/>
              <w:spacing w:after="0"/>
              <w:rPr>
                <w:sz w:val="20"/>
                <w:szCs w:val="20"/>
                <w:color w:val="auto"/>
              </w:rPr>
            </w:pPr>
            <w:r>
              <w:rPr>
                <w:rFonts w:ascii="Arial" w:cs="Arial" w:eastAsia="Arial" w:hAnsi="Arial"/>
                <w:sz w:val="14"/>
                <w:szCs w:val="14"/>
                <w:color w:val="auto"/>
              </w:rPr>
              <w:t>$60,000</w:t>
            </w:r>
          </w:p>
        </w:tc>
        <w:tc>
          <w:tcPr>
            <w:tcW w:w="1100" w:type="dxa"/>
            <w:vAlign w:val="bottom"/>
          </w:tcPr>
          <w:p>
            <w:pPr>
              <w:jc w:val="right"/>
              <w:ind w:right="70"/>
              <w:spacing w:after="0"/>
              <w:rPr>
                <w:sz w:val="20"/>
                <w:szCs w:val="20"/>
                <w:color w:val="auto"/>
              </w:rPr>
            </w:pPr>
            <w:r>
              <w:rPr>
                <w:rFonts w:ascii="Arial" w:cs="Arial" w:eastAsia="Arial" w:hAnsi="Arial"/>
                <w:sz w:val="14"/>
                <w:szCs w:val="14"/>
                <w:color w:val="auto"/>
              </w:rPr>
              <w:t>$199,995</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$259,995</w:t>
            </w:r>
          </w:p>
        </w:tc>
      </w:tr>
      <w:tr>
        <w:trPr>
          <w:trHeight w:val="22"/>
        </w:trPr>
        <w:tc>
          <w:tcPr>
            <w:tcW w:w="3360" w:type="dxa"/>
            <w:vAlign w:val="bottom"/>
            <w:tcBorders>
              <w:bottom w:val="single" w:sz="8" w:color="404040"/>
            </w:tcBorders>
          </w:tcPr>
          <w:p>
            <w:pPr>
              <w:spacing w:after="0" w:line="20" w:lineRule="exact"/>
              <w:rPr>
                <w:sz w:val="1"/>
                <w:szCs w:val="1"/>
                <w:color w:val="auto"/>
              </w:rPr>
            </w:pPr>
          </w:p>
        </w:tc>
        <w:tc>
          <w:tcPr>
            <w:tcW w:w="310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860" w:type="dxa"/>
            <w:vAlign w:val="bottom"/>
            <w:tcBorders>
              <w:bottom w:val="single" w:sz="8" w:color="404040"/>
            </w:tcBorders>
          </w:tcPr>
          <w:p>
            <w:pPr>
              <w:spacing w:after="0" w:line="20" w:lineRule="exact"/>
              <w:rPr>
                <w:sz w:val="1"/>
                <w:szCs w:val="1"/>
                <w:color w:val="auto"/>
              </w:rPr>
            </w:pPr>
          </w:p>
        </w:tc>
      </w:tr>
      <w:tr>
        <w:trPr>
          <w:trHeight w:val="183"/>
        </w:trPr>
        <w:tc>
          <w:tcPr>
            <w:tcW w:w="3360" w:type="dxa"/>
            <w:vAlign w:val="bottom"/>
            <w:tcBorders>
              <w:bottom w:val="single" w:sz="8" w:color="404040"/>
            </w:tcBorders>
          </w:tcPr>
          <w:p>
            <w:pPr>
              <w:ind w:left="60"/>
              <w:spacing w:after="0"/>
              <w:rPr>
                <w:sz w:val="20"/>
                <w:szCs w:val="20"/>
                <w:color w:val="auto"/>
              </w:rPr>
            </w:pPr>
            <w:r>
              <w:rPr>
                <w:rFonts w:ascii="Arial" w:cs="Arial" w:eastAsia="Arial" w:hAnsi="Arial"/>
                <w:sz w:val="14"/>
                <w:szCs w:val="14"/>
                <w:color w:val="auto"/>
              </w:rPr>
              <w:t>Vanessa Smith</w:t>
            </w:r>
          </w:p>
        </w:tc>
        <w:tc>
          <w:tcPr>
            <w:tcW w:w="3100" w:type="dxa"/>
            <w:vAlign w:val="bottom"/>
            <w:tcBorders>
              <w:bottom w:val="single" w:sz="8" w:color="404040"/>
            </w:tcBorders>
          </w:tcPr>
          <w:p>
            <w:pPr>
              <w:jc w:val="right"/>
              <w:ind w:right="108"/>
              <w:spacing w:after="0"/>
              <w:rPr>
                <w:sz w:val="20"/>
                <w:szCs w:val="20"/>
                <w:color w:val="auto"/>
              </w:rPr>
            </w:pPr>
            <w:r>
              <w:rPr>
                <w:rFonts w:ascii="Arial" w:cs="Arial" w:eastAsia="Arial" w:hAnsi="Arial"/>
                <w:sz w:val="14"/>
                <w:szCs w:val="14"/>
                <w:color w:val="auto"/>
              </w:rPr>
              <w:t>$40,000</w:t>
            </w:r>
          </w:p>
        </w:tc>
        <w:tc>
          <w:tcPr>
            <w:tcW w:w="1100" w:type="dxa"/>
            <w:vAlign w:val="bottom"/>
            <w:tcBorders>
              <w:bottom w:val="single" w:sz="8" w:color="404040"/>
            </w:tcBorders>
          </w:tcPr>
          <w:p>
            <w:pPr>
              <w:jc w:val="right"/>
              <w:ind w:right="70"/>
              <w:spacing w:after="0"/>
              <w:rPr>
                <w:sz w:val="20"/>
                <w:szCs w:val="20"/>
                <w:color w:val="auto"/>
              </w:rPr>
            </w:pPr>
            <w:r>
              <w:rPr>
                <w:rFonts w:ascii="Arial" w:cs="Arial" w:eastAsia="Arial" w:hAnsi="Arial"/>
                <w:sz w:val="14"/>
                <w:szCs w:val="14"/>
                <w:color w:val="auto"/>
              </w:rPr>
              <w:t>$199,995</w:t>
            </w:r>
          </w:p>
        </w:tc>
        <w:tc>
          <w:tcPr>
            <w:tcW w:w="8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$239,995</w:t>
            </w:r>
          </w:p>
        </w:tc>
      </w:tr>
    </w:tbl>
    <w:p>
      <w:pPr>
        <w:spacing w:after="0" w:line="252" w:lineRule="exact"/>
        <w:rPr>
          <w:sz w:val="20"/>
          <w:szCs w:val="20"/>
          <w:color w:val="auto"/>
        </w:rPr>
      </w:pPr>
    </w:p>
    <w:p>
      <w:pPr>
        <w:jc w:val="both"/>
        <w:ind w:left="1000" w:right="640" w:hanging="348"/>
        <w:spacing w:after="0" w:line="229" w:lineRule="auto"/>
        <w:tabs>
          <w:tab w:leader="none" w:pos="1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Amounts shown in this column reflect the aggregate grant date fair value of RSU awards granted during 2025, computed in accordance with ASC Topic 718. Assumptions used in the calculation of these amounts are included in Note 11 to our Consolidated Financial Statements included in our Annual Report. The table below lists the aggregate number of shares of our common stock subject to outstanding stock awards held by each of our non-employee directors as of December 31, 2025.</w:t>
      </w:r>
    </w:p>
    <w:p>
      <w:pPr>
        <w:spacing w:after="0" w:line="9" w:lineRule="exact"/>
        <w:rPr>
          <w:rFonts w:ascii="Arial" w:cs="Arial" w:eastAsia="Arial" w:hAnsi="Arial"/>
          <w:sz w:val="13"/>
          <w:szCs w:val="13"/>
          <w:color w:val="auto"/>
        </w:rPr>
      </w:pPr>
    </w:p>
    <w:p>
      <w:pPr>
        <w:ind w:left="1000" w:right="640" w:hanging="348"/>
        <w:spacing w:after="0" w:line="243" w:lineRule="auto"/>
        <w:tabs>
          <w:tab w:leader="none" w:pos="1000" w:val="left"/>
        </w:tabs>
        <w:numPr>
          <w:ilvl w:val="0"/>
          <w:numId w:val="55"/>
        </w:numPr>
        <w:rPr>
          <w:rFonts w:ascii="Arial" w:cs="Arial" w:eastAsia="Arial" w:hAnsi="Arial"/>
          <w:sz w:val="13"/>
          <w:szCs w:val="13"/>
          <w:color w:val="auto"/>
        </w:rPr>
      </w:pPr>
      <w:r>
        <w:rPr>
          <w:rFonts w:ascii="Arial" w:cs="Arial" w:eastAsia="Arial" w:hAnsi="Arial"/>
          <w:sz w:val="13"/>
          <w:szCs w:val="13"/>
          <w:color w:val="auto"/>
        </w:rPr>
        <w:t>Each of our non-employee directors held 12,453 outstanding RSUs as of December 31, 2025. None of our non-employee directors held stock options as of December 31, 2025.</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EE3434"/>
        </w:rPr>
        <w:t>Non-Employee Director Compensation Policy</w:t>
      </w:r>
    </w:p>
    <w:p>
      <w:pPr>
        <w:spacing w:after="0" w:line="153" w:lineRule="exact"/>
        <w:rPr>
          <w:sz w:val="20"/>
          <w:szCs w:val="20"/>
          <w:color w:val="auto"/>
        </w:rPr>
      </w:pPr>
    </w:p>
    <w:p>
      <w:pPr>
        <w:jc w:val="both"/>
        <w:ind w:left="660" w:right="640"/>
        <w:spacing w:after="0" w:line="286" w:lineRule="auto"/>
        <w:rPr>
          <w:sz w:val="20"/>
          <w:szCs w:val="20"/>
          <w:color w:val="auto"/>
        </w:rPr>
      </w:pPr>
      <w:r>
        <w:rPr>
          <w:rFonts w:ascii="Arial" w:cs="Arial" w:eastAsia="Arial" w:hAnsi="Arial"/>
          <w:sz w:val="16"/>
          <w:szCs w:val="16"/>
          <w:color w:val="auto"/>
        </w:rPr>
        <w:t>We have adopted a non-employee director compensation policy, pursuant to which our non-employee directors are eligible to receive compensation for service on our Board of Directors and committees of our Board of Directors.</w:t>
      </w:r>
    </w:p>
    <w:p>
      <w:pPr>
        <w:spacing w:after="0" w:line="75" w:lineRule="exact"/>
        <w:rPr>
          <w:sz w:val="20"/>
          <w:szCs w:val="20"/>
          <w:color w:val="auto"/>
        </w:rPr>
      </w:pPr>
    </w:p>
    <w:p>
      <w:pPr>
        <w:jc w:val="both"/>
        <w:ind w:left="660" w:right="660"/>
        <w:spacing w:after="0" w:line="286" w:lineRule="auto"/>
        <w:rPr>
          <w:sz w:val="20"/>
          <w:szCs w:val="20"/>
          <w:color w:val="auto"/>
        </w:rPr>
      </w:pPr>
      <w:r>
        <w:rPr>
          <w:rFonts w:ascii="Arial" w:cs="Arial" w:eastAsia="Arial" w:hAnsi="Arial"/>
          <w:sz w:val="16"/>
          <w:szCs w:val="16"/>
          <w:color w:val="auto"/>
        </w:rPr>
        <w:t>In 2025, each non-employee director received an annual cash retainer of $40,000 for serving on our Board of Directors. The Chairperson of the Board of Directors receives an additional annual cash retainer of $20,000.</w:t>
      </w:r>
    </w:p>
    <w:p>
      <w:pPr>
        <w:spacing w:after="0" w:line="88" w:lineRule="exact"/>
        <w:rPr>
          <w:sz w:val="20"/>
          <w:szCs w:val="20"/>
          <w:color w:val="auto"/>
        </w:rPr>
      </w:pPr>
    </w:p>
    <w:p>
      <w:pPr>
        <w:jc w:val="both"/>
        <w:ind w:left="660" w:right="640"/>
        <w:spacing w:after="0" w:line="286" w:lineRule="auto"/>
        <w:rPr>
          <w:sz w:val="20"/>
          <w:szCs w:val="20"/>
          <w:color w:val="auto"/>
        </w:rPr>
      </w:pPr>
      <w:r>
        <w:rPr>
          <w:rFonts w:ascii="Arial" w:cs="Arial" w:eastAsia="Arial" w:hAnsi="Arial"/>
          <w:sz w:val="16"/>
          <w:szCs w:val="16"/>
          <w:color w:val="auto"/>
        </w:rPr>
        <w:t>Members do not receive cash retainers for their service as members of committees, and the chairpersons of the three committees of our Board of Directors were entitled to the following additional annual cash retainers:</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05"/>
        </w:trPr>
        <w:tc>
          <w:tcPr>
            <w:tcW w:w="524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Board Committee</w:t>
            </w:r>
          </w:p>
        </w:tc>
        <w:tc>
          <w:tcPr>
            <w:tcW w:w="318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Chairperson Fee</w:t>
            </w:r>
          </w:p>
        </w:tc>
      </w:tr>
      <w:tr>
        <w:trPr>
          <w:trHeight w:val="208"/>
        </w:trPr>
        <w:tc>
          <w:tcPr>
            <w:tcW w:w="5240" w:type="dxa"/>
            <w:vAlign w:val="bottom"/>
          </w:tcPr>
          <w:p>
            <w:pPr>
              <w:ind w:left="60"/>
              <w:spacing w:after="0"/>
              <w:rPr>
                <w:sz w:val="20"/>
                <w:szCs w:val="20"/>
                <w:color w:val="auto"/>
              </w:rPr>
            </w:pPr>
            <w:r>
              <w:rPr>
                <w:rFonts w:ascii="Arial" w:cs="Arial" w:eastAsia="Arial" w:hAnsi="Arial"/>
                <w:sz w:val="14"/>
                <w:szCs w:val="14"/>
                <w:color w:val="auto"/>
              </w:rPr>
              <w:t>Audit Committee</w:t>
            </w:r>
          </w:p>
        </w:tc>
        <w:tc>
          <w:tcPr>
            <w:tcW w:w="3180" w:type="dxa"/>
            <w:vAlign w:val="bottom"/>
          </w:tcPr>
          <w:p>
            <w:pPr>
              <w:jc w:val="right"/>
              <w:ind w:right="48"/>
              <w:spacing w:after="0"/>
              <w:rPr>
                <w:sz w:val="20"/>
                <w:szCs w:val="20"/>
                <w:color w:val="auto"/>
              </w:rPr>
            </w:pPr>
            <w:r>
              <w:rPr>
                <w:rFonts w:ascii="Arial" w:cs="Arial" w:eastAsia="Arial" w:hAnsi="Arial"/>
                <w:sz w:val="14"/>
                <w:szCs w:val="14"/>
                <w:color w:val="auto"/>
              </w:rPr>
              <w:t>$20,000</w:t>
            </w:r>
          </w:p>
        </w:tc>
      </w:tr>
      <w:tr>
        <w:trPr>
          <w:trHeight w:val="22"/>
        </w:trPr>
        <w:tc>
          <w:tcPr>
            <w:tcW w:w="5240" w:type="dxa"/>
            <w:vAlign w:val="bottom"/>
            <w:tcBorders>
              <w:bottom w:val="single" w:sz="8" w:color="404040"/>
            </w:tcBorders>
          </w:tcPr>
          <w:p>
            <w:pPr>
              <w:spacing w:after="0" w:line="20" w:lineRule="exact"/>
              <w:rPr>
                <w:sz w:val="1"/>
                <w:szCs w:val="1"/>
                <w:color w:val="auto"/>
              </w:rPr>
            </w:pPr>
          </w:p>
        </w:tc>
        <w:tc>
          <w:tcPr>
            <w:tcW w:w="3180" w:type="dxa"/>
            <w:vAlign w:val="bottom"/>
            <w:tcBorders>
              <w:bottom w:val="single" w:sz="8" w:color="404040"/>
            </w:tcBorders>
          </w:tcPr>
          <w:p>
            <w:pPr>
              <w:spacing w:after="0" w:line="20" w:lineRule="exact"/>
              <w:rPr>
                <w:sz w:val="1"/>
                <w:szCs w:val="1"/>
                <w:color w:val="auto"/>
              </w:rPr>
            </w:pPr>
          </w:p>
        </w:tc>
      </w:tr>
      <w:tr>
        <w:trPr>
          <w:trHeight w:val="201"/>
        </w:trPr>
        <w:tc>
          <w:tcPr>
            <w:tcW w:w="5240" w:type="dxa"/>
            <w:vAlign w:val="bottom"/>
          </w:tcPr>
          <w:p>
            <w:pPr>
              <w:ind w:left="60"/>
              <w:spacing w:after="0"/>
              <w:rPr>
                <w:sz w:val="20"/>
                <w:szCs w:val="20"/>
                <w:color w:val="auto"/>
              </w:rPr>
            </w:pPr>
            <w:r>
              <w:rPr>
                <w:rFonts w:ascii="Arial" w:cs="Arial" w:eastAsia="Arial" w:hAnsi="Arial"/>
                <w:sz w:val="14"/>
                <w:szCs w:val="14"/>
                <w:color w:val="auto"/>
              </w:rPr>
              <w:t>Compensation Committee</w:t>
            </w:r>
          </w:p>
        </w:tc>
        <w:tc>
          <w:tcPr>
            <w:tcW w:w="3180" w:type="dxa"/>
            <w:vAlign w:val="bottom"/>
          </w:tcPr>
          <w:p>
            <w:pPr>
              <w:jc w:val="right"/>
              <w:ind w:right="48"/>
              <w:spacing w:after="0"/>
              <w:rPr>
                <w:sz w:val="20"/>
                <w:szCs w:val="20"/>
                <w:color w:val="auto"/>
              </w:rPr>
            </w:pPr>
            <w:r>
              <w:rPr>
                <w:rFonts w:ascii="Arial" w:cs="Arial" w:eastAsia="Arial" w:hAnsi="Arial"/>
                <w:sz w:val="14"/>
                <w:szCs w:val="14"/>
                <w:color w:val="auto"/>
              </w:rPr>
              <w:t>$15,000</w:t>
            </w:r>
          </w:p>
        </w:tc>
      </w:tr>
      <w:tr>
        <w:trPr>
          <w:trHeight w:val="22"/>
        </w:trPr>
        <w:tc>
          <w:tcPr>
            <w:tcW w:w="5240" w:type="dxa"/>
            <w:vAlign w:val="bottom"/>
            <w:tcBorders>
              <w:bottom w:val="single" w:sz="8" w:color="404040"/>
            </w:tcBorders>
          </w:tcPr>
          <w:p>
            <w:pPr>
              <w:spacing w:after="0" w:line="20" w:lineRule="exact"/>
              <w:rPr>
                <w:sz w:val="1"/>
                <w:szCs w:val="1"/>
                <w:color w:val="auto"/>
              </w:rPr>
            </w:pPr>
          </w:p>
        </w:tc>
        <w:tc>
          <w:tcPr>
            <w:tcW w:w="3180" w:type="dxa"/>
            <w:vAlign w:val="bottom"/>
            <w:tcBorders>
              <w:bottom w:val="single" w:sz="8" w:color="404040"/>
            </w:tcBorders>
          </w:tcPr>
          <w:p>
            <w:pPr>
              <w:spacing w:after="0" w:line="20" w:lineRule="exact"/>
              <w:rPr>
                <w:sz w:val="1"/>
                <w:szCs w:val="1"/>
                <w:color w:val="auto"/>
              </w:rPr>
            </w:pPr>
          </w:p>
        </w:tc>
      </w:tr>
      <w:tr>
        <w:trPr>
          <w:trHeight w:val="183"/>
        </w:trPr>
        <w:tc>
          <w:tcPr>
            <w:tcW w:w="5240" w:type="dxa"/>
            <w:vAlign w:val="bottom"/>
            <w:tcBorders>
              <w:bottom w:val="single" w:sz="8" w:color="404040"/>
            </w:tcBorders>
          </w:tcPr>
          <w:p>
            <w:pPr>
              <w:ind w:left="60"/>
              <w:spacing w:after="0"/>
              <w:rPr>
                <w:sz w:val="20"/>
                <w:szCs w:val="20"/>
                <w:color w:val="auto"/>
              </w:rPr>
            </w:pPr>
            <w:r>
              <w:rPr>
                <w:rFonts w:ascii="Arial" w:cs="Arial" w:eastAsia="Arial" w:hAnsi="Arial"/>
                <w:sz w:val="14"/>
                <w:szCs w:val="14"/>
                <w:color w:val="auto"/>
              </w:rPr>
              <w:t>Nominating and Corporate Governance Committee</w:t>
            </w:r>
          </w:p>
        </w:tc>
        <w:tc>
          <w:tcPr>
            <w:tcW w:w="318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$10,000</w:t>
            </w:r>
          </w:p>
        </w:tc>
      </w:tr>
    </w:tbl>
    <w:p>
      <w:pPr>
        <w:spacing w:after="0" w:line="310" w:lineRule="exact"/>
        <w:rPr>
          <w:sz w:val="20"/>
          <w:szCs w:val="20"/>
          <w:color w:val="auto"/>
        </w:rPr>
      </w:pPr>
    </w:p>
    <w:p>
      <w:pPr>
        <w:jc w:val="both"/>
        <w:ind w:left="660" w:right="660"/>
        <w:spacing w:after="0" w:line="286" w:lineRule="auto"/>
        <w:rPr>
          <w:sz w:val="20"/>
          <w:szCs w:val="20"/>
          <w:color w:val="auto"/>
        </w:rPr>
      </w:pPr>
      <w:r>
        <w:rPr>
          <w:rFonts w:ascii="Arial" w:cs="Arial" w:eastAsia="Arial" w:hAnsi="Arial"/>
          <w:sz w:val="16"/>
          <w:szCs w:val="16"/>
          <w:color w:val="auto"/>
        </w:rPr>
        <w:t>All annual cash compensation amounts are payable in equal quarterly installments in arrears, on the last day of each fiscal quarter for which the service occurred, prorated based on the days served in the applicable fiscal quarter.</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Initial Equity Awards</w:t>
      </w:r>
    </w:p>
    <w:p>
      <w:pPr>
        <w:spacing w:after="0" w:line="135" w:lineRule="exact"/>
        <w:rPr>
          <w:sz w:val="20"/>
          <w:szCs w:val="20"/>
          <w:color w:val="auto"/>
        </w:rPr>
      </w:pPr>
    </w:p>
    <w:p>
      <w:pPr>
        <w:jc w:val="both"/>
        <w:ind w:left="660" w:right="640"/>
        <w:spacing w:after="0" w:line="266" w:lineRule="auto"/>
        <w:rPr>
          <w:sz w:val="20"/>
          <w:szCs w:val="20"/>
          <w:color w:val="auto"/>
        </w:rPr>
      </w:pPr>
      <w:r>
        <w:rPr>
          <w:rFonts w:ascii="Arial" w:cs="Arial" w:eastAsia="Arial" w:hAnsi="Arial"/>
          <w:sz w:val="16"/>
          <w:szCs w:val="16"/>
          <w:color w:val="auto"/>
        </w:rPr>
        <w:t>Each new non-employee director who joins our Board of Directors will receive an RSU award for common stock having a value of $400,000 based on the fair market value of the underlying common stock on the date of grant under our 2019 Plan. Each initial equity award will vest on the one-year anniversary measured from the date of grant.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Annual Equity Awards</w:t>
      </w:r>
    </w:p>
    <w:p>
      <w:pPr>
        <w:spacing w:after="0" w:line="149" w:lineRule="exact"/>
        <w:rPr>
          <w:sz w:val="20"/>
          <w:szCs w:val="20"/>
          <w:color w:val="auto"/>
        </w:rPr>
      </w:pPr>
    </w:p>
    <w:p>
      <w:pPr>
        <w:jc w:val="both"/>
        <w:ind w:left="660" w:right="640"/>
        <w:spacing w:after="0" w:line="252" w:lineRule="auto"/>
        <w:rPr>
          <w:sz w:val="20"/>
          <w:szCs w:val="20"/>
          <w:color w:val="auto"/>
        </w:rPr>
      </w:pPr>
      <w:r>
        <w:rPr>
          <w:rFonts w:ascii="Arial" w:cs="Arial" w:eastAsia="Arial" w:hAnsi="Arial"/>
          <w:sz w:val="16"/>
          <w:szCs w:val="16"/>
          <w:color w:val="auto"/>
        </w:rPr>
        <w:t>On the date of each annual meeting of stockholders, each continuing non-employee director will receive an RSU award for common stock having a value of $200,000 based on the fair market value of the underlying common stock on the date of grant under our 2019 Plan. Each annual equity award will vest quarterly over one year following the date of grant and will be fully vested on the earlier of (i) the date of the following annual meeting of stockholders (or the date immediately prior to the next annual meeting of stockholders if the non-employee director’s service as a director ends at such meeting due to the director’s failure to be re-elected or the director not standing for re-election) and (ii) the one year anniversary measured from the date of grant, each subject to continued service as a director through each applicable vesting date.</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Vesting Acceleration</w:t>
      </w:r>
    </w:p>
    <w:p>
      <w:pPr>
        <w:spacing w:after="0" w:line="135"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6"/>
          <w:szCs w:val="16"/>
          <w:color w:val="auto"/>
        </w:rPr>
        <w:t>In the event of a change of control of the Company (as defined in our 2019 Plan), any unvested portion of an outstanding equity award granted under the policy will fully vest immediately prior to the closing of such change of control, subject to the non-employee director’s continuous service with us on the effective date of the change of control.</w:t>
      </w:r>
    </w:p>
    <w:p>
      <w:pPr>
        <w:spacing w:after="0" w:line="110"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6"/>
          <w:szCs w:val="16"/>
          <w:color w:val="auto"/>
        </w:rPr>
        <w:t>The calculation of the number of shares of restricted stock units granted under the non-employee director compensation policy will be based on the closing price of our common stock as reported by Nasdaq on the date of grant.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Expenses</w:t>
      </w:r>
    </w:p>
    <w:p>
      <w:pPr>
        <w:spacing w:after="0" w:line="135" w:lineRule="exact"/>
        <w:rPr>
          <w:sz w:val="20"/>
          <w:szCs w:val="20"/>
          <w:color w:val="auto"/>
        </w:rPr>
      </w:pPr>
    </w:p>
    <w:p>
      <w:pPr>
        <w:jc w:val="both"/>
        <w:ind w:left="660" w:right="319"/>
        <w:spacing w:after="0" w:line="266" w:lineRule="auto"/>
        <w:rPr>
          <w:sz w:val="20"/>
          <w:szCs w:val="20"/>
          <w:color w:val="auto"/>
        </w:rPr>
      </w:pPr>
      <w:r>
        <w:rPr>
          <w:rFonts w:ascii="Arial" w:cs="Arial" w:eastAsia="Arial" w:hAnsi="Arial"/>
          <w:sz w:val="16"/>
          <w:szCs w:val="16"/>
          <w:color w:val="auto"/>
        </w:rPr>
        <w:t>We reimburse our non-employee directors for ordinary, necessary and reasonable out-of-pocket travel expenses to cover in-person attendance at and participation in Board of Directors and committee meetings. We also reimburse our non-employee directors for other reasonable expenses related to board service, such as director education.</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color w:val="auto"/>
        </w:rPr>
        <w:t>64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121920</wp:posOffset>
            </wp:positionV>
            <wp:extent cx="699516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660" w:right="1540"/>
        <w:spacing w:after="0" w:line="282" w:lineRule="auto"/>
        <w:rPr>
          <w:sz w:val="20"/>
          <w:szCs w:val="20"/>
          <w:color w:val="auto"/>
        </w:rPr>
      </w:pPr>
      <w:r>
        <w:rPr>
          <w:rFonts w:ascii="Arial" w:cs="Arial" w:eastAsia="Arial" w:hAnsi="Arial"/>
          <w:sz w:val="42"/>
          <w:szCs w:val="42"/>
          <w:b w:val="1"/>
          <w:bCs w:val="1"/>
          <w:color w:val="auto"/>
        </w:rPr>
        <w:t>CERTAIN RELATIONSHIPS AND RELATED-PERSON TRANSACTIONS</w:t>
      </w:r>
    </w:p>
    <w:p>
      <w:pPr>
        <w:sectPr>
          <w:pgSz w:w="11900" w:h="16838" w:orient="portrait"/>
          <w:cols w:equalWidth="0" w:num="1">
            <w:col w:w="9720"/>
          </w:cols>
          <w:pgMar w:left="1080" w:top="114" w:right="1099" w:bottom="1440" w:gutter="0" w:footer="0" w:header="0"/>
        </w:sectPr>
      </w:pPr>
    </w:p>
    <w:p>
      <w:pPr>
        <w:spacing w:after="0" w:line="1" w:lineRule="exact"/>
        <w:rPr>
          <w:sz w:val="20"/>
          <w:szCs w:val="20"/>
          <w:color w:val="auto"/>
        </w:rPr>
      </w:pPr>
    </w:p>
    <w:p>
      <w:pPr>
        <w:jc w:val="both"/>
        <w:ind w:left="660"/>
        <w:spacing w:after="0" w:line="256" w:lineRule="auto"/>
        <w:rPr>
          <w:sz w:val="20"/>
          <w:szCs w:val="20"/>
          <w:color w:val="auto"/>
        </w:rPr>
      </w:pPr>
      <w:r>
        <w:rPr>
          <w:rFonts w:ascii="Arial" w:cs="Arial" w:eastAsia="Arial" w:hAnsi="Arial"/>
          <w:sz w:val="16"/>
          <w:szCs w:val="16"/>
          <w:color w:val="auto"/>
        </w:rPr>
        <w:t>In 2019, we adopted a written Related Person Transactions Policy that sets forth the Company’s policies and procedures regarding the identification, review, consideration, and approval or ratification of “related-persons transactions.”</w:t>
      </w:r>
    </w:p>
    <w:p>
      <w:pPr>
        <w:spacing w:after="0" w:line="112" w:lineRule="exact"/>
        <w:rPr>
          <w:sz w:val="20"/>
          <w:szCs w:val="20"/>
          <w:color w:val="auto"/>
        </w:rPr>
      </w:pPr>
    </w:p>
    <w:p>
      <w:pPr>
        <w:jc w:val="both"/>
        <w:ind w:left="660"/>
        <w:spacing w:after="0" w:line="248" w:lineRule="auto"/>
        <w:rPr>
          <w:sz w:val="20"/>
          <w:szCs w:val="20"/>
          <w:color w:val="auto"/>
        </w:rPr>
      </w:pPr>
      <w:r>
        <w:rPr>
          <w:rFonts w:ascii="Arial" w:cs="Arial" w:eastAsia="Arial" w:hAnsi="Arial"/>
          <w:sz w:val="16"/>
          <w:szCs w:val="16"/>
          <w:color w:val="auto"/>
        </w:rPr>
        <w:t>Under the policy, our executive officers, directors, holders of more than 5% of any class of our voting securities, and any member of the immediate family of and any entity affiliated with any of the foregoing persons, are not permitted to enter into a related-party transaction with us without the prior consent of our Audit Committee, or other independent members of our Board of Directors in the event it is inappropriate for our Audit Committee to review such transaction due to a conflict of interest. Any request for us to enter into a transaction with an executive officer, director, principal stockholder, or any of their immediate family members or affiliates, in which the amount involved exceeds $120,000, must first be presented to our Audit Committee for review, consideration, and approval. In approving or rejecting any such proposal, our Audit Committee will consider the relevant facts and circumstances available and deemed relevant to our Audit Committee, including, but not limited to, whether the transaction will be on terms no less favorable than terms generally available to an unaffiliated third-party under the same or similar circumstances and the extent of the related-party’s interest in the transaction.</w:t>
      </w:r>
    </w:p>
    <w:p>
      <w:pPr>
        <w:spacing w:after="0" w:line="123" w:lineRule="exact"/>
        <w:rPr>
          <w:sz w:val="20"/>
          <w:szCs w:val="20"/>
          <w:color w:val="auto"/>
        </w:rPr>
      </w:pPr>
    </w:p>
    <w:p>
      <w:pPr>
        <w:jc w:val="both"/>
        <w:ind w:left="660"/>
        <w:spacing w:after="0" w:line="252" w:lineRule="auto"/>
        <w:rPr>
          <w:sz w:val="20"/>
          <w:szCs w:val="20"/>
          <w:color w:val="auto"/>
        </w:rPr>
      </w:pPr>
      <w:r>
        <w:rPr>
          <w:rFonts w:ascii="Arial" w:cs="Arial" w:eastAsia="Arial" w:hAnsi="Arial"/>
          <w:sz w:val="16"/>
          <w:szCs w:val="16"/>
          <w:color w:val="auto"/>
        </w:rPr>
        <w:t>The following is a description of transactions since January 1, 2025,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discussed above.</w:t>
      </w:r>
    </w:p>
    <w:p>
      <w:pPr>
        <w:spacing w:after="0" w:line="20" w:lineRule="exact"/>
        <w:rPr>
          <w:sz w:val="20"/>
          <w:szCs w:val="20"/>
          <w:color w:val="auto"/>
        </w:rPr>
      </w:pPr>
      <w:r>
        <w:rPr>
          <w:sz w:val="20"/>
          <w:szCs w:val="20"/>
          <w:color w:val="auto"/>
        </w:rPr>
        <w:br w:type="column"/>
      </w:r>
    </w:p>
    <w:p>
      <w:pPr>
        <w:ind w:right="800"/>
        <w:spacing w:after="0" w:line="257" w:lineRule="auto"/>
        <w:rPr>
          <w:sz w:val="20"/>
          <w:szCs w:val="20"/>
          <w:color w:val="auto"/>
        </w:rPr>
      </w:pPr>
      <w:r>
        <w:rPr>
          <w:rFonts w:ascii="Arial" w:cs="Arial" w:eastAsia="Arial" w:hAnsi="Arial"/>
          <w:sz w:val="18"/>
          <w:szCs w:val="18"/>
          <w:b w:val="1"/>
          <w:bCs w:val="1"/>
          <w:color w:val="auto"/>
        </w:rPr>
        <w:t>Employment Arrangement with an Immediate Family Member of Our Chief Technology Officer</w:t>
      </w:r>
    </w:p>
    <w:p>
      <w:pPr>
        <w:spacing w:after="0" w:line="96" w:lineRule="exact"/>
        <w:rPr>
          <w:sz w:val="20"/>
          <w:szCs w:val="20"/>
          <w:color w:val="auto"/>
        </w:rPr>
      </w:pPr>
    </w:p>
    <w:p>
      <w:pPr>
        <w:jc w:val="both"/>
        <w:ind w:right="640"/>
        <w:spacing w:after="0" w:line="251" w:lineRule="auto"/>
        <w:rPr>
          <w:sz w:val="20"/>
          <w:szCs w:val="20"/>
          <w:color w:val="auto"/>
        </w:rPr>
      </w:pPr>
      <w:r>
        <w:rPr>
          <w:rFonts w:ascii="Arial" w:cs="Arial" w:eastAsia="Arial" w:hAnsi="Arial"/>
          <w:sz w:val="16"/>
          <w:szCs w:val="16"/>
          <w:color w:val="auto"/>
        </w:rPr>
        <w:t>We employ Per Alexander Bergman in our Engineering department, who is the brother of our Chief Technology Officer, founder, and member of the Board of Directors, Artur Bergman, and Angela Noell in our People department, who is the sister-in-law of Artur Bergman. For the year ended December 31, 2025, each of Per Alexander Bergman and Ms. Noell’s compensation exceeded $120,000, and consisted of a base salary, equity awards and other benefits.</w:t>
      </w:r>
    </w:p>
    <w:p>
      <w:pPr>
        <w:spacing w:after="0" w:line="118" w:lineRule="exact"/>
        <w:rPr>
          <w:sz w:val="20"/>
          <w:szCs w:val="20"/>
          <w:color w:val="auto"/>
        </w:rPr>
      </w:pPr>
    </w:p>
    <w:p>
      <w:pPr>
        <w:jc w:val="both"/>
        <w:ind w:right="640"/>
        <w:spacing w:after="0" w:line="249" w:lineRule="auto"/>
        <w:rPr>
          <w:sz w:val="20"/>
          <w:szCs w:val="20"/>
          <w:color w:val="auto"/>
        </w:rPr>
      </w:pPr>
      <w:r>
        <w:rPr>
          <w:rFonts w:ascii="Arial" w:cs="Arial" w:eastAsia="Arial" w:hAnsi="Arial"/>
          <w:sz w:val="16"/>
          <w:szCs w:val="16"/>
          <w:color w:val="auto"/>
        </w:rPr>
        <w:t>Per Alexander Bergman and Ms. Noell’s respective compensation is based on their education, experience, and the responsibilities of their positions. The compensation level for Per Alexander Bergman and Ms. Noell was comparable to the compensation paid to employees in similar positions that were not related to our executive officers. They were also eligible for equity awards on the same general terms and conditions as other employees in similar positions who were not related to our executive officers. Artur Bergman plays no personal role in managing, determining the compensation, or reviewing the performance of Per Alexander Bergman or Ms. Noell.</w:t>
      </w:r>
    </w:p>
    <w:p>
      <w:pPr>
        <w:spacing w:after="0" w:line="146" w:lineRule="exact"/>
        <w:rPr>
          <w:sz w:val="20"/>
          <w:szCs w:val="20"/>
          <w:color w:val="auto"/>
        </w:rPr>
      </w:pPr>
    </w:p>
    <w:p>
      <w:pPr>
        <w:ind w:right="680"/>
        <w:spacing w:after="0" w:line="281" w:lineRule="auto"/>
        <w:rPr>
          <w:sz w:val="20"/>
          <w:szCs w:val="20"/>
          <w:color w:val="auto"/>
        </w:rPr>
      </w:pPr>
      <w:r>
        <w:rPr>
          <w:rFonts w:ascii="Arial" w:cs="Arial" w:eastAsia="Arial" w:hAnsi="Arial"/>
          <w:sz w:val="18"/>
          <w:szCs w:val="18"/>
          <w:b w:val="1"/>
          <w:bCs w:val="1"/>
          <w:color w:val="auto"/>
        </w:rPr>
        <w:t>Equity Awards to Non-Employee Directors and Executive Officers</w:t>
      </w:r>
    </w:p>
    <w:p>
      <w:pPr>
        <w:spacing w:after="0" w:line="74" w:lineRule="exact"/>
        <w:rPr>
          <w:sz w:val="20"/>
          <w:szCs w:val="20"/>
          <w:color w:val="auto"/>
        </w:rPr>
      </w:pPr>
    </w:p>
    <w:p>
      <w:pPr>
        <w:jc w:val="both"/>
        <w:ind w:right="640"/>
        <w:spacing w:after="0" w:line="254" w:lineRule="auto"/>
        <w:rPr>
          <w:sz w:val="20"/>
          <w:szCs w:val="20"/>
          <w:color w:val="auto"/>
        </w:rPr>
      </w:pPr>
      <w:r>
        <w:rPr>
          <w:rFonts w:ascii="Arial" w:cs="Arial" w:eastAsia="Arial" w:hAnsi="Arial"/>
          <w:sz w:val="16"/>
          <w:szCs w:val="16"/>
          <w:color w:val="auto"/>
        </w:rPr>
        <w:t>We have granted equity awards to certain of our non-employee directors and executive officers. For more information regarding the equity awards granted to our non-employee directors and Named Executive Officers, see “Executive Compensation” and “Compensation of Non-Employee Directors.”</w:t>
      </w:r>
    </w:p>
    <w:p>
      <w:pPr>
        <w:spacing w:after="0" w:line="177" w:lineRule="exact"/>
        <w:rPr>
          <w:sz w:val="20"/>
          <w:szCs w:val="20"/>
          <w:color w:val="auto"/>
        </w:rPr>
      </w:pPr>
    </w:p>
    <w:p>
      <w:pPr>
        <w:sectPr>
          <w:pgSz w:w="11900" w:h="16838" w:orient="portrait"/>
          <w:cols w:equalWidth="0" w:num="2">
            <w:col w:w="4660" w:space="400"/>
            <w:col w:w="4660"/>
          </w:cols>
          <w:pgMar w:left="1080" w:top="114" w:right="109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Employment Arrangements</w:t>
      </w:r>
    </w:p>
    <w:p>
      <w:pPr>
        <w:spacing w:after="0" w:line="135" w:lineRule="exact"/>
        <w:rPr>
          <w:sz w:val="20"/>
          <w:szCs w:val="20"/>
          <w:color w:val="auto"/>
        </w:rPr>
      </w:pPr>
    </w:p>
    <w:p>
      <w:pPr>
        <w:jc w:val="both"/>
        <w:ind w:left="660"/>
        <w:spacing w:after="0" w:line="251" w:lineRule="auto"/>
        <w:rPr>
          <w:sz w:val="20"/>
          <w:szCs w:val="20"/>
          <w:color w:val="auto"/>
        </w:rPr>
      </w:pPr>
      <w:r>
        <w:rPr>
          <w:rFonts w:ascii="Arial" w:cs="Arial" w:eastAsia="Arial" w:hAnsi="Arial"/>
          <w:sz w:val="16"/>
          <w:szCs w:val="16"/>
          <w:color w:val="auto"/>
        </w:rPr>
        <w:t>We have entered into employment agreements and offer letter agreements with certain of our executive officers. For more information regarding these agreements with our Named Executive Officers,</w:t>
      </w:r>
    </w:p>
    <w:p>
      <w:pPr>
        <w:spacing w:after="0" w:line="2" w:lineRule="exact"/>
        <w:rPr>
          <w:sz w:val="20"/>
          <w:szCs w:val="20"/>
          <w:color w:val="auto"/>
        </w:rPr>
      </w:pPr>
    </w:p>
    <w:p>
      <w:pPr>
        <w:jc w:val="both"/>
        <w:ind w:left="660"/>
        <w:spacing w:after="0" w:line="265" w:lineRule="auto"/>
        <w:rPr>
          <w:sz w:val="20"/>
          <w:szCs w:val="20"/>
          <w:color w:val="auto"/>
        </w:rPr>
      </w:pPr>
      <w:r>
        <w:rPr>
          <w:rFonts w:ascii="Arial" w:cs="Arial" w:eastAsia="Arial" w:hAnsi="Arial"/>
          <w:sz w:val="16"/>
          <w:szCs w:val="16"/>
          <w:color w:val="auto"/>
        </w:rPr>
        <w:t>see ”Executive Compensation—Employment Arrangements.”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35" w:lineRule="exact"/>
        <w:rPr>
          <w:sz w:val="20"/>
          <w:szCs w:val="20"/>
          <w:color w:val="auto"/>
        </w:rPr>
      </w:pPr>
    </w:p>
    <w:p>
      <w:pPr>
        <w:jc w:val="both"/>
        <w:ind w:right="640"/>
        <w:spacing w:after="0" w:line="250" w:lineRule="auto"/>
        <w:rPr>
          <w:sz w:val="20"/>
          <w:szCs w:val="20"/>
          <w:color w:val="auto"/>
        </w:rPr>
      </w:pPr>
      <w:r>
        <w:rPr>
          <w:rFonts w:ascii="Arial" w:cs="Arial" w:eastAsia="Arial" w:hAnsi="Arial"/>
          <w:sz w:val="16"/>
          <w:szCs w:val="16"/>
          <w:color w:val="auto"/>
        </w:rPr>
        <w:t>Our Amended and Restated Certificate of Incorporation contains provisions limiting the liability of directors, and our Amended and Restated Bylaws provide that we will indemnify each of our directors and officers to the fullest extent permitted under Delaware law. Our Amended and Restated Certificate of Incorporation and Bylaws also provide our Board of Directors with discretion to indemnify our employees and other agents when determined appropriate by the Board of Directors. In addition, we have entered into an indemnification agreement with each of our directors and executive officers, which requires us to indemnify them.</w:t>
      </w:r>
    </w:p>
    <w:p>
      <w:pPr>
        <w:spacing w:after="0" w:line="180" w:lineRule="exact"/>
        <w:rPr>
          <w:sz w:val="20"/>
          <w:szCs w:val="20"/>
          <w:color w:val="auto"/>
        </w:rPr>
      </w:pPr>
    </w:p>
    <w:p>
      <w:pPr>
        <w:sectPr>
          <w:pgSz w:w="11900" w:h="16838" w:orient="portrait"/>
          <w:cols w:equalWidth="0" w:num="2">
            <w:col w:w="4660" w:space="400"/>
            <w:col w:w="4660"/>
          </w:cols>
          <w:pgMar w:left="1080" w:top="114" w:right="1099" w:bottom="1440" w:gutter="0" w:footer="0" w:header="0"/>
          <w:type w:val="continuous"/>
        </w:sectPr>
      </w:pPr>
    </w:p>
    <w:p>
      <w:pPr>
        <w:ind w:left="7920"/>
        <w:spacing w:after="0"/>
        <w:rPr>
          <w:sz w:val="20"/>
          <w:szCs w:val="20"/>
          <w:color w:val="auto"/>
        </w:rPr>
      </w:pPr>
      <w:r>
        <w:rPr>
          <w:rFonts w:ascii="Arial" w:cs="Arial" w:eastAsia="Arial" w:hAnsi="Arial"/>
          <w:sz w:val="12"/>
          <w:szCs w:val="12"/>
          <w:color w:val="auto"/>
        </w:rPr>
        <w:t>2026 PROXY STATEMENT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129540</wp:posOffset>
            </wp:positionV>
            <wp:extent cx="699516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43"/>
          <w:szCs w:val="43"/>
          <w:b w:val="1"/>
          <w:bCs w:val="1"/>
          <w:color w:val="auto"/>
        </w:rPr>
        <w:t>DELINQUENT SECTION 16(a) REPORTS</w:t>
      </w:r>
    </w:p>
    <w:p>
      <w:pPr>
        <w:spacing w:after="0" w:line="183"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6"/>
          <w:szCs w:val="16"/>
          <w:color w:val="auto"/>
        </w:rPr>
        <w:t>Section 16(a) of the Exchange Act requires our executive officers and directors, and any persons who beneficially own more than 10% of our common stock, to file reports of initial ownership of our common stock and subsequent changes in that ownership with the SEC.</w:t>
      </w:r>
    </w:p>
    <w:p>
      <w:pPr>
        <w:spacing w:after="0" w:line="104" w:lineRule="exact"/>
        <w:rPr>
          <w:sz w:val="20"/>
          <w:szCs w:val="20"/>
          <w:color w:val="auto"/>
        </w:rPr>
      </w:pPr>
    </w:p>
    <w:p>
      <w:pPr>
        <w:jc w:val="both"/>
        <w:ind w:left="660" w:right="299"/>
        <w:spacing w:after="0" w:line="259" w:lineRule="auto"/>
        <w:rPr>
          <w:sz w:val="20"/>
          <w:szCs w:val="20"/>
          <w:color w:val="auto"/>
        </w:rPr>
      </w:pPr>
      <w:r>
        <w:rPr>
          <w:rFonts w:ascii="Arial" w:cs="Arial" w:eastAsia="Arial" w:hAnsi="Arial"/>
          <w:sz w:val="16"/>
          <w:szCs w:val="16"/>
          <w:color w:val="auto"/>
        </w:rPr>
        <w:t>To our knowledge, based solely upon a review of Forms 3, 4, and 5 and any amendments thereto filed with the SEC, or written representations from certain reporting persons that no Form 5s were required, we believe that during 2025 all Section 16(a) filing requirements were complied with on a timely basis, except for a filing by Mr. Lovett and a filing by Mr. Compton, both in relation to transactions on August 10, 2025.</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66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660" w:right="2860"/>
        <w:spacing w:after="0" w:line="285" w:lineRule="auto"/>
        <w:rPr>
          <w:sz w:val="20"/>
          <w:szCs w:val="20"/>
          <w:color w:val="auto"/>
        </w:rPr>
      </w:pPr>
      <w:r>
        <w:rPr>
          <w:rFonts w:ascii="Arial" w:cs="Arial" w:eastAsia="Arial" w:hAnsi="Arial"/>
          <w:sz w:val="43"/>
          <w:szCs w:val="43"/>
          <w:b w:val="1"/>
          <w:bCs w:val="1"/>
          <w:color w:val="auto"/>
        </w:rPr>
        <w:t>HOUSEHOLDING AND PROXY MATERIALS</w:t>
      </w:r>
    </w:p>
    <w:p>
      <w:pPr>
        <w:spacing w:after="0" w:line="2" w:lineRule="exact"/>
        <w:rPr>
          <w:sz w:val="20"/>
          <w:szCs w:val="20"/>
          <w:color w:val="auto"/>
        </w:rPr>
      </w:pPr>
    </w:p>
    <w:p>
      <w:pPr>
        <w:jc w:val="both"/>
        <w:ind w:left="660" w:right="640"/>
        <w:spacing w:after="0" w:line="256"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12" w:lineRule="exact"/>
        <w:rPr>
          <w:sz w:val="20"/>
          <w:szCs w:val="20"/>
          <w:color w:val="auto"/>
        </w:rPr>
      </w:pPr>
    </w:p>
    <w:p>
      <w:pPr>
        <w:jc w:val="both"/>
        <w:ind w:left="660" w:right="640"/>
        <w:spacing w:after="0" w:line="250" w:lineRule="auto"/>
        <w:rPr>
          <w:sz w:val="20"/>
          <w:szCs w:val="20"/>
          <w:color w:val="auto"/>
        </w:rPr>
      </w:pPr>
      <w:r>
        <w:rPr>
          <w:rFonts w:ascii="Arial" w:cs="Arial" w:eastAsia="Arial" w:hAnsi="Arial"/>
          <w:sz w:val="16"/>
          <w:szCs w:val="16"/>
          <w:color w:val="auto"/>
        </w:rPr>
        <w:t>This year, a number of brokers with account holders who are our stockholders will be “householding” our proxy materials. A single Notice of Internet Availability of Proxy Materials or other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or other annual meeting materials, please notify your broker or Fastly, Inc. Direct your written request to Fastly, Inc., Attn: Secretary, 475 Brannan Street, Suite 300, San Francisco, California 94107, or you may call (844) 432-7859. Stockholders who currently receive multiple copies of the Notice of Internet Availability of Proxy Materials or other annual meeting materials at their addresses and would like to request “householding” of their communications should contact their brokers.</w:t>
      </w:r>
    </w:p>
    <w:p>
      <w:pPr>
        <w:spacing w:after="0" w:line="18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43"/>
          <w:szCs w:val="43"/>
          <w:b w:val="1"/>
          <w:bCs w:val="1"/>
          <w:color w:val="auto"/>
        </w:rPr>
        <w:t>OTHER MATTERS</w:t>
      </w:r>
    </w:p>
    <w:p>
      <w:pPr>
        <w:spacing w:after="0" w:line="183" w:lineRule="exact"/>
        <w:rPr>
          <w:sz w:val="20"/>
          <w:szCs w:val="20"/>
          <w:color w:val="auto"/>
        </w:rPr>
      </w:pPr>
    </w:p>
    <w:p>
      <w:pPr>
        <w:jc w:val="both"/>
        <w:ind w:left="660" w:right="299"/>
        <w:spacing w:after="0" w:line="266" w:lineRule="auto"/>
        <w:rPr>
          <w:sz w:val="20"/>
          <w:szCs w:val="20"/>
          <w:color w:val="auto"/>
        </w:rPr>
      </w:pPr>
      <w:r>
        <w:rPr>
          <w:rFonts w:ascii="Arial" w:cs="Arial" w:eastAsia="Arial" w:hAnsi="Arial"/>
          <w:sz w:val="16"/>
          <w:szCs w:val="16"/>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By Order of the Board of Directors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 Charles Compton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Chief Executive Officer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April 22, 2026</w:t>
      </w:r>
    </w:p>
    <w:p>
      <w:pPr>
        <w:spacing w:after="0" w:line="262" w:lineRule="exact"/>
        <w:rPr>
          <w:sz w:val="20"/>
          <w:szCs w:val="20"/>
          <w:color w:val="auto"/>
        </w:rPr>
      </w:pPr>
    </w:p>
    <w:p>
      <w:pPr>
        <w:jc w:val="both"/>
        <w:ind w:left="660" w:right="299"/>
        <w:spacing w:after="0" w:line="271" w:lineRule="auto"/>
        <w:rPr>
          <w:sz w:val="20"/>
          <w:szCs w:val="20"/>
          <w:color w:val="auto"/>
        </w:rPr>
      </w:pPr>
      <w:r>
        <w:rPr>
          <w:rFonts w:ascii="Arial" w:cs="Arial" w:eastAsia="Arial" w:hAnsi="Arial"/>
          <w:sz w:val="16"/>
          <w:szCs w:val="16"/>
          <w:b w:val="1"/>
          <w:bCs w:val="1"/>
          <w:color w:val="auto"/>
        </w:rPr>
        <w:t>A copy of Fastly, Inc.’s Annual Report to the Securities and Exchange Commission on Form 10-K for the fiscal year ended December 31, 2025 is available without charge upon written request to: Secretary, 475 Brannan Street, Suite 300, San Francisco, California 94107.</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68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43"/>
          <w:szCs w:val="43"/>
          <w:b w:val="1"/>
          <w:bCs w:val="1"/>
          <w:color w:val="auto"/>
        </w:rPr>
        <w:t>APPENDIX A</w:t>
      </w:r>
    </w:p>
    <w:p>
      <w:pPr>
        <w:spacing w:after="0" w:line="262" w:lineRule="exact"/>
        <w:rPr>
          <w:sz w:val="20"/>
          <w:szCs w:val="20"/>
          <w:color w:val="auto"/>
        </w:rPr>
      </w:pPr>
    </w:p>
    <w:p>
      <w:pPr>
        <w:ind w:left="660" w:right="1340"/>
        <w:spacing w:after="0" w:line="253" w:lineRule="auto"/>
        <w:rPr>
          <w:sz w:val="20"/>
          <w:szCs w:val="20"/>
          <w:color w:val="auto"/>
        </w:rPr>
      </w:pPr>
      <w:r>
        <w:rPr>
          <w:rFonts w:ascii="Arial" w:cs="Arial" w:eastAsia="Arial" w:hAnsi="Arial"/>
          <w:sz w:val="43"/>
          <w:szCs w:val="43"/>
          <w:b w:val="1"/>
          <w:bCs w:val="1"/>
          <w:color w:val="auto"/>
        </w:rPr>
        <w:t>Reconciliation of GAAP to Non-GAAP Financial Measures</w:t>
      </w:r>
    </w:p>
    <w:p>
      <w:pPr>
        <w:ind w:left="660"/>
        <w:spacing w:after="0"/>
        <w:rPr>
          <w:sz w:val="20"/>
          <w:szCs w:val="20"/>
          <w:color w:val="auto"/>
        </w:rPr>
      </w:pPr>
      <w:r>
        <w:rPr>
          <w:rFonts w:ascii="Arial" w:cs="Arial" w:eastAsia="Arial" w:hAnsi="Arial"/>
          <w:sz w:val="43"/>
          <w:szCs w:val="43"/>
          <w:b w:val="1"/>
          <w:bCs w:val="1"/>
          <w:color w:val="auto"/>
        </w:rPr>
        <w:t>(in thousands, unaudited)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Reconciliation of GAAP to Non-GAAP Financial Measures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thousands, unaudited)</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Pr>
          <w:p>
            <w:pPr>
              <w:spacing w:after="0"/>
              <w:rPr>
                <w:sz w:val="14"/>
                <w:szCs w:val="1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Year ended</w:t>
            </w:r>
          </w:p>
        </w:tc>
      </w:tr>
      <w:tr>
        <w:trPr>
          <w:trHeight w:val="205"/>
        </w:trPr>
        <w:tc>
          <w:tcPr>
            <w:tcW w:w="4340" w:type="dxa"/>
            <w:vAlign w:val="bottom"/>
          </w:tcPr>
          <w:p>
            <w:pPr>
              <w:spacing w:after="0"/>
              <w:rPr>
                <w:sz w:val="17"/>
                <w:szCs w:val="17"/>
                <w:color w:val="auto"/>
              </w:rPr>
            </w:pPr>
          </w:p>
        </w:tc>
        <w:tc>
          <w:tcPr>
            <w:tcW w:w="300" w:type="dxa"/>
            <w:vAlign w:val="bottom"/>
            <w:tcBorders>
              <w:bottom w:val="single" w:sz="8" w:color="404040"/>
            </w:tcBorders>
          </w:tcPr>
          <w:p>
            <w:pPr>
              <w:spacing w:after="0"/>
              <w:rPr>
                <w:sz w:val="17"/>
                <w:szCs w:val="17"/>
                <w:color w:val="auto"/>
              </w:rPr>
            </w:pPr>
          </w:p>
        </w:tc>
        <w:tc>
          <w:tcPr>
            <w:tcW w:w="680" w:type="dxa"/>
            <w:vAlign w:val="bottom"/>
            <w:tcBorders>
              <w:bottom w:val="single" w:sz="8" w:color="404040"/>
            </w:tcBorders>
          </w:tcPr>
          <w:p>
            <w:pPr>
              <w:spacing w:after="0"/>
              <w:rPr>
                <w:sz w:val="17"/>
                <w:szCs w:val="17"/>
                <w:color w:val="auto"/>
              </w:rPr>
            </w:pPr>
          </w:p>
        </w:tc>
        <w:tc>
          <w:tcPr>
            <w:tcW w:w="110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404040"/>
            </w:tcBorders>
          </w:tcPr>
          <w:p>
            <w:pPr>
              <w:spacing w:after="0"/>
              <w:rPr>
                <w:sz w:val="17"/>
                <w:szCs w:val="17"/>
                <w:color w:val="auto"/>
              </w:rPr>
            </w:pPr>
          </w:p>
        </w:tc>
        <w:tc>
          <w:tcPr>
            <w:tcW w:w="1060" w:type="dxa"/>
            <w:vAlign w:val="bottom"/>
            <w:tcBorders>
              <w:bottom w:val="single" w:sz="8" w:color="404040"/>
            </w:tcBorders>
          </w:tcPr>
          <w:p>
            <w:pPr>
              <w:jc w:val="right"/>
              <w:ind w:right="28"/>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4340" w:type="dxa"/>
            <w:vAlign w:val="bottom"/>
            <w:tcBorders>
              <w:bottom w:val="single" w:sz="8" w:color="404040"/>
            </w:tcBorders>
          </w:tcPr>
          <w:p>
            <w:pPr>
              <w:spacing w:after="0"/>
              <w:rPr>
                <w:sz w:val="19"/>
                <w:szCs w:val="19"/>
                <w:color w:val="auto"/>
              </w:rPr>
            </w:pPr>
          </w:p>
        </w:tc>
        <w:tc>
          <w:tcPr>
            <w:tcW w:w="300" w:type="dxa"/>
            <w:vAlign w:val="bottom"/>
            <w:tcBorders>
              <w:bottom w:val="single" w:sz="8" w:color="404040"/>
            </w:tcBorders>
          </w:tcPr>
          <w:p>
            <w:pPr>
              <w:spacing w:after="0"/>
              <w:rPr>
                <w:sz w:val="19"/>
                <w:szCs w:val="19"/>
                <w:color w:val="auto"/>
              </w:rPr>
            </w:pPr>
          </w:p>
        </w:tc>
        <w:tc>
          <w:tcPr>
            <w:tcW w:w="68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2025</w:t>
            </w:r>
          </w:p>
        </w:tc>
        <w:tc>
          <w:tcPr>
            <w:tcW w:w="110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2024</w:t>
            </w:r>
          </w:p>
        </w:tc>
        <w:tc>
          <w:tcPr>
            <w:tcW w:w="94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2025</w:t>
            </w:r>
          </w:p>
        </w:tc>
        <w:tc>
          <w:tcPr>
            <w:tcW w:w="1060" w:type="dxa"/>
            <w:vAlign w:val="bottom"/>
            <w:tcBorders>
              <w:bottom w:val="single" w:sz="8" w:color="404040"/>
            </w:tcBorders>
          </w:tcPr>
          <w:p>
            <w:pPr>
              <w:jc w:val="right"/>
              <w:ind w:right="28"/>
              <w:spacing w:after="0"/>
              <w:rPr>
                <w:sz w:val="20"/>
                <w:szCs w:val="20"/>
                <w:color w:val="auto"/>
              </w:rPr>
            </w:pPr>
            <w:r>
              <w:rPr>
                <w:rFonts w:ascii="Arial" w:cs="Arial" w:eastAsia="Arial" w:hAnsi="Arial"/>
                <w:sz w:val="14"/>
                <w:szCs w:val="14"/>
                <w:b w:val="1"/>
                <w:bCs w:val="1"/>
                <w:color w:val="auto"/>
              </w:rPr>
              <w:t>2024</w:t>
            </w:r>
          </w:p>
        </w:tc>
      </w:tr>
      <w:tr>
        <w:trPr>
          <w:trHeight w:val="223"/>
        </w:trPr>
        <w:tc>
          <w:tcPr>
            <w:tcW w:w="4340" w:type="dxa"/>
            <w:vAlign w:val="bottom"/>
            <w:tcBorders>
              <w:bottom w:val="single" w:sz="8" w:color="404040"/>
            </w:tcBorders>
            <w:shd w:val="clear" w:color="auto" w:fill="F1F3F7"/>
          </w:tcPr>
          <w:p>
            <w:pPr>
              <w:ind w:left="60"/>
              <w:spacing w:after="0"/>
              <w:rPr>
                <w:sz w:val="20"/>
                <w:szCs w:val="20"/>
                <w:color w:val="auto"/>
              </w:rPr>
            </w:pPr>
            <w:r>
              <w:rPr>
                <w:rFonts w:ascii="Arial" w:cs="Arial" w:eastAsia="Arial" w:hAnsi="Arial"/>
                <w:sz w:val="14"/>
                <w:szCs w:val="14"/>
                <w:b w:val="1"/>
                <w:bCs w:val="1"/>
                <w:color w:val="auto"/>
              </w:rPr>
              <w:t>Gross profit</w:t>
            </w:r>
          </w:p>
        </w:tc>
        <w:tc>
          <w:tcPr>
            <w:tcW w:w="300" w:type="dxa"/>
            <w:vAlign w:val="bottom"/>
            <w:tcBorders>
              <w:bottom w:val="single" w:sz="8" w:color="404040"/>
            </w:tcBorders>
            <w:shd w:val="clear" w:color="auto" w:fill="F1F3F7"/>
          </w:tcPr>
          <w:p>
            <w:pPr>
              <w:spacing w:after="0"/>
              <w:rPr>
                <w:sz w:val="19"/>
                <w:szCs w:val="19"/>
                <w:color w:val="auto"/>
              </w:rPr>
            </w:pPr>
          </w:p>
        </w:tc>
        <w:tc>
          <w:tcPr>
            <w:tcW w:w="680" w:type="dxa"/>
            <w:vAlign w:val="bottom"/>
            <w:tcBorders>
              <w:bottom w:val="single" w:sz="8" w:color="404040"/>
            </w:tcBorders>
            <w:shd w:val="clear" w:color="auto" w:fill="F1F3F7"/>
          </w:tcPr>
          <w:p>
            <w:pPr>
              <w:spacing w:after="0"/>
              <w:rPr>
                <w:sz w:val="19"/>
                <w:szCs w:val="19"/>
                <w:color w:val="auto"/>
              </w:rPr>
            </w:pPr>
          </w:p>
        </w:tc>
        <w:tc>
          <w:tcPr>
            <w:tcW w:w="1100" w:type="dxa"/>
            <w:vAlign w:val="bottom"/>
            <w:tcBorders>
              <w:bottom w:val="single" w:sz="8" w:color="404040"/>
            </w:tcBorders>
            <w:shd w:val="clear" w:color="auto" w:fill="F1F3F7"/>
          </w:tcPr>
          <w:p>
            <w:pPr>
              <w:spacing w:after="0"/>
              <w:rPr>
                <w:sz w:val="19"/>
                <w:szCs w:val="19"/>
                <w:color w:val="auto"/>
              </w:rPr>
            </w:pPr>
          </w:p>
        </w:tc>
        <w:tc>
          <w:tcPr>
            <w:tcW w:w="940" w:type="dxa"/>
            <w:vAlign w:val="bottom"/>
            <w:tcBorders>
              <w:bottom w:val="single" w:sz="8" w:color="404040"/>
            </w:tcBorders>
            <w:shd w:val="clear" w:color="auto" w:fill="F1F3F7"/>
          </w:tcPr>
          <w:p>
            <w:pPr>
              <w:spacing w:after="0"/>
              <w:rPr>
                <w:sz w:val="19"/>
                <w:szCs w:val="19"/>
                <w:color w:val="auto"/>
              </w:rPr>
            </w:pPr>
          </w:p>
        </w:tc>
        <w:tc>
          <w:tcPr>
            <w:tcW w:w="1060" w:type="dxa"/>
            <w:vAlign w:val="bottom"/>
            <w:tcBorders>
              <w:bottom w:val="single" w:sz="8" w:color="404040"/>
            </w:tcBorders>
            <w:shd w:val="clear" w:color="auto" w:fill="F1F3F7"/>
          </w:tcPr>
          <w:p>
            <w:pPr>
              <w:spacing w:after="0"/>
              <w:rPr>
                <w:sz w:val="19"/>
                <w:szCs w:val="19"/>
                <w:color w:val="auto"/>
              </w:rPr>
            </w:pPr>
          </w:p>
        </w:tc>
      </w:tr>
      <w:tr>
        <w:trPr>
          <w:trHeight w:val="208"/>
        </w:trPr>
        <w:tc>
          <w:tcPr>
            <w:tcW w:w="4340" w:type="dxa"/>
            <w:vAlign w:val="bottom"/>
          </w:tcPr>
          <w:p>
            <w:pPr>
              <w:ind w:left="60"/>
              <w:spacing w:after="0"/>
              <w:rPr>
                <w:sz w:val="20"/>
                <w:szCs w:val="20"/>
                <w:color w:val="auto"/>
              </w:rPr>
            </w:pPr>
            <w:r>
              <w:rPr>
                <w:rFonts w:ascii="Arial" w:cs="Arial" w:eastAsia="Arial" w:hAnsi="Arial"/>
                <w:sz w:val="14"/>
                <w:szCs w:val="14"/>
                <w:color w:val="auto"/>
              </w:rPr>
              <w:t>GAAP gross profit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105,960</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$ 75,063</w:t>
            </w:r>
          </w:p>
        </w:tc>
        <w:tc>
          <w:tcPr>
            <w:tcW w:w="940" w:type="dxa"/>
            <w:vAlign w:val="bottom"/>
          </w:tcPr>
          <w:p>
            <w:pPr>
              <w:ind w:left="120"/>
              <w:spacing w:after="0"/>
              <w:rPr>
                <w:sz w:val="20"/>
                <w:szCs w:val="20"/>
                <w:color w:val="auto"/>
              </w:rPr>
            </w:pPr>
            <w:r>
              <w:rPr>
                <w:rFonts w:ascii="Arial" w:cs="Arial" w:eastAsia="Arial" w:hAnsi="Arial"/>
                <w:sz w:val="14"/>
                <w:szCs w:val="14"/>
                <w:color w:val="auto"/>
              </w:rPr>
              <w:t>$356,203</w:t>
            </w:r>
          </w:p>
        </w:tc>
        <w:tc>
          <w:tcPr>
            <w:tcW w:w="1060" w:type="dxa"/>
            <w:vAlign w:val="bottom"/>
          </w:tcPr>
          <w:p>
            <w:pPr>
              <w:ind w:left="180"/>
              <w:spacing w:after="0"/>
              <w:rPr>
                <w:sz w:val="20"/>
                <w:szCs w:val="20"/>
                <w:color w:val="auto"/>
              </w:rPr>
            </w:pPr>
            <w:r>
              <w:rPr>
                <w:rFonts w:ascii="Arial" w:cs="Arial" w:eastAsia="Arial" w:hAnsi="Arial"/>
                <w:sz w:val="14"/>
                <w:szCs w:val="14"/>
                <w:color w:val="auto"/>
              </w:rPr>
              <w:t>$ 295,938</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01"/>
        </w:trPr>
        <w:tc>
          <w:tcPr>
            <w:tcW w:w="43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7"/>
                <w:szCs w:val="17"/>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2,764</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1,910</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10,137</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8,644</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170"/>
        </w:trPr>
        <w:tc>
          <w:tcPr>
            <w:tcW w:w="4340" w:type="dxa"/>
            <w:vAlign w:val="bottom"/>
          </w:tcPr>
          <w:p>
            <w:pPr>
              <w:ind w:left="200"/>
              <w:spacing w:after="0"/>
              <w:rPr>
                <w:sz w:val="20"/>
                <w:szCs w:val="20"/>
                <w:color w:val="auto"/>
              </w:rPr>
            </w:pPr>
            <w:r>
              <w:rPr>
                <w:rFonts w:ascii="Arial" w:cs="Arial" w:eastAsia="Arial" w:hAnsi="Arial"/>
                <w:sz w:val="14"/>
                <w:szCs w:val="14"/>
                <w:color w:val="auto"/>
              </w:rPr>
              <w:t>Amortization of capitalized stock-based compensation - cost of</w:t>
            </w:r>
          </w:p>
        </w:tc>
        <w:tc>
          <w:tcPr>
            <w:tcW w:w="300" w:type="dxa"/>
            <w:vAlign w:val="bottom"/>
          </w:tcPr>
          <w:p>
            <w:pPr>
              <w:spacing w:after="0"/>
              <w:rPr>
                <w:sz w:val="14"/>
                <w:szCs w:val="14"/>
                <w:color w:val="auto"/>
              </w:rPr>
            </w:pPr>
          </w:p>
        </w:tc>
        <w:tc>
          <w:tcPr>
            <w:tcW w:w="680" w:type="dxa"/>
            <w:vAlign w:val="bottom"/>
          </w:tcPr>
          <w:p>
            <w:pPr>
              <w:jc w:val="right"/>
              <w:ind w:right="128"/>
              <w:spacing w:after="0"/>
              <w:rPr>
                <w:sz w:val="20"/>
                <w:szCs w:val="20"/>
                <w:color w:val="auto"/>
              </w:rPr>
            </w:pPr>
            <w:r>
              <w:rPr>
                <w:rFonts w:ascii="Arial" w:cs="Arial" w:eastAsia="Arial" w:hAnsi="Arial"/>
                <w:sz w:val="14"/>
                <w:szCs w:val="14"/>
                <w:color w:val="auto"/>
              </w:rPr>
              <w:t>1,662</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1,371</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6,548</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5,048</w:t>
            </w:r>
          </w:p>
        </w:tc>
      </w:tr>
      <w:tr>
        <w:trPr>
          <w:trHeight w:val="242"/>
        </w:trPr>
        <w:tc>
          <w:tcPr>
            <w:tcW w:w="4340" w:type="dxa"/>
            <w:vAlign w:val="bottom"/>
            <w:tcBorders>
              <w:bottom w:val="single" w:sz="8" w:color="404040"/>
            </w:tcBorders>
          </w:tcPr>
          <w:p>
            <w:pPr>
              <w:ind w:left="200"/>
              <w:spacing w:after="0" w:line="242" w:lineRule="exact"/>
              <w:rPr>
                <w:sz w:val="20"/>
                <w:szCs w:val="20"/>
                <w:color w:val="auto"/>
              </w:rPr>
            </w:pPr>
            <w:r>
              <w:rPr>
                <w:rFonts w:ascii="Arial" w:cs="Arial" w:eastAsia="Arial" w:hAnsi="Arial"/>
                <w:sz w:val="14"/>
                <w:szCs w:val="14"/>
                <w:color w:val="auto"/>
              </w:rPr>
              <w:t>revenue</w:t>
            </w:r>
            <w:r>
              <w:rPr>
                <w:rFonts w:ascii="Arial" w:cs="Arial" w:eastAsia="Arial" w:hAnsi="Arial"/>
                <w:sz w:val="23"/>
                <w:szCs w:val="23"/>
                <w:color w:val="auto"/>
                <w:vertAlign w:val="superscript"/>
              </w:rPr>
              <w:t>(1)</w:t>
            </w:r>
          </w:p>
        </w:tc>
        <w:tc>
          <w:tcPr>
            <w:tcW w:w="300" w:type="dxa"/>
            <w:vAlign w:val="bottom"/>
            <w:tcBorders>
              <w:bottom w:val="single" w:sz="8" w:color="404040"/>
            </w:tcBorders>
          </w:tcPr>
          <w:p>
            <w:pPr>
              <w:spacing w:after="0"/>
              <w:rPr>
                <w:sz w:val="21"/>
                <w:szCs w:val="21"/>
                <w:color w:val="auto"/>
              </w:rPr>
            </w:pPr>
          </w:p>
        </w:tc>
        <w:tc>
          <w:tcPr>
            <w:tcW w:w="680" w:type="dxa"/>
            <w:vAlign w:val="bottom"/>
            <w:tcBorders>
              <w:bottom w:val="single" w:sz="8" w:color="404040"/>
            </w:tcBorders>
          </w:tcPr>
          <w:p>
            <w:pPr>
              <w:spacing w:after="0"/>
              <w:rPr>
                <w:sz w:val="21"/>
                <w:szCs w:val="21"/>
                <w:color w:val="auto"/>
              </w:rPr>
            </w:pPr>
          </w:p>
        </w:tc>
        <w:tc>
          <w:tcPr>
            <w:tcW w:w="1100" w:type="dxa"/>
            <w:vAlign w:val="bottom"/>
            <w:tcBorders>
              <w:bottom w:val="single" w:sz="8" w:color="404040"/>
            </w:tcBorders>
          </w:tcPr>
          <w:p>
            <w:pPr>
              <w:spacing w:after="0"/>
              <w:rPr>
                <w:sz w:val="21"/>
                <w:szCs w:val="21"/>
                <w:color w:val="auto"/>
              </w:rPr>
            </w:pPr>
          </w:p>
        </w:tc>
        <w:tc>
          <w:tcPr>
            <w:tcW w:w="940" w:type="dxa"/>
            <w:vAlign w:val="bottom"/>
            <w:tcBorders>
              <w:bottom w:val="single" w:sz="8" w:color="404040"/>
            </w:tcBorders>
          </w:tcPr>
          <w:p>
            <w:pPr>
              <w:spacing w:after="0"/>
              <w:rPr>
                <w:sz w:val="21"/>
                <w:szCs w:val="21"/>
                <w:color w:val="auto"/>
              </w:rPr>
            </w:pPr>
          </w:p>
        </w:tc>
        <w:tc>
          <w:tcPr>
            <w:tcW w:w="1060" w:type="dxa"/>
            <w:vAlign w:val="bottom"/>
            <w:tcBorders>
              <w:bottom w:val="single" w:sz="8" w:color="404040"/>
            </w:tcBorders>
          </w:tcPr>
          <w:p>
            <w:pPr>
              <w:spacing w:after="0"/>
              <w:rPr>
                <w:sz w:val="21"/>
                <w:szCs w:val="21"/>
                <w:color w:val="auto"/>
              </w:rPr>
            </w:pPr>
          </w:p>
        </w:tc>
      </w:tr>
      <w:tr>
        <w:trPr>
          <w:trHeight w:val="201"/>
        </w:trPr>
        <w:tc>
          <w:tcPr>
            <w:tcW w:w="4340" w:type="dxa"/>
            <w:vAlign w:val="bottom"/>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300" w:type="dxa"/>
            <w:vAlign w:val="bottom"/>
          </w:tcPr>
          <w:p>
            <w:pPr>
              <w:spacing w:after="0"/>
              <w:rPr>
                <w:sz w:val="17"/>
                <w:szCs w:val="17"/>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2,475</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7,425</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9,900</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980" w:type="dxa"/>
            <w:vAlign w:val="bottom"/>
            <w:tcBorders>
              <w:bottom w:val="single" w:sz="8" w:color="404040"/>
            </w:tcBorders>
            <w:gridSpan w:val="2"/>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17"/>
        </w:trPr>
        <w:tc>
          <w:tcPr>
            <w:tcW w:w="4340" w:type="dxa"/>
            <w:vAlign w:val="bottom"/>
          </w:tcPr>
          <w:p>
            <w:pPr>
              <w:ind w:left="60"/>
              <w:spacing w:after="0"/>
              <w:rPr>
                <w:sz w:val="20"/>
                <w:szCs w:val="20"/>
                <w:color w:val="auto"/>
              </w:rPr>
            </w:pPr>
            <w:r>
              <w:rPr>
                <w:rFonts w:ascii="Arial" w:cs="Arial" w:eastAsia="Arial" w:hAnsi="Arial"/>
                <w:sz w:val="14"/>
                <w:szCs w:val="14"/>
                <w:b w:val="1"/>
                <w:bCs w:val="1"/>
                <w:color w:val="auto"/>
              </w:rPr>
              <w:t>Non-GAAP gross profit</w:t>
            </w:r>
          </w:p>
        </w:tc>
        <w:tc>
          <w:tcPr>
            <w:tcW w:w="98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rPr>
              <w:t>$110,386</w:t>
            </w: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$ 80,819</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$ 380,313</w:t>
            </w: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$319,530</w:t>
            </w:r>
          </w:p>
        </w:tc>
      </w:tr>
      <w:tr>
        <w:trPr>
          <w:trHeight w:val="27"/>
        </w:trPr>
        <w:tc>
          <w:tcPr>
            <w:tcW w:w="4340" w:type="dxa"/>
            <w:vAlign w:val="bottom"/>
            <w:tcBorders>
              <w:bottom w:val="single" w:sz="8" w:color="404040"/>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6"/>
        </w:trPr>
        <w:tc>
          <w:tcPr>
            <w:tcW w:w="434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GAAP gross margin</w:t>
            </w:r>
          </w:p>
        </w:tc>
        <w:tc>
          <w:tcPr>
            <w:tcW w:w="300" w:type="dxa"/>
            <w:vAlign w:val="bottom"/>
            <w:tcBorders>
              <w:bottom w:val="single" w:sz="8" w:color="404040"/>
            </w:tcBorders>
          </w:tcPr>
          <w:p>
            <w:pPr>
              <w:spacing w:after="0"/>
              <w:rPr>
                <w:sz w:val="18"/>
                <w:szCs w:val="18"/>
                <w:color w:val="auto"/>
              </w:rPr>
            </w:pPr>
          </w:p>
        </w:tc>
        <w:tc>
          <w:tcPr>
            <w:tcW w:w="68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61.4 %</w:t>
            </w:r>
          </w:p>
        </w:tc>
        <w:tc>
          <w:tcPr>
            <w:tcW w:w="1100" w:type="dxa"/>
            <w:vAlign w:val="bottom"/>
            <w:tcBorders>
              <w:bottom w:val="single" w:sz="8" w:color="404040"/>
            </w:tcBorders>
          </w:tcPr>
          <w:p>
            <w:pPr>
              <w:jc w:val="right"/>
              <w:ind w:right="68"/>
              <w:spacing w:after="0"/>
              <w:rPr>
                <w:sz w:val="20"/>
                <w:szCs w:val="20"/>
                <w:color w:val="auto"/>
              </w:rPr>
            </w:pPr>
            <w:r>
              <w:rPr>
                <w:rFonts w:ascii="Arial" w:cs="Arial" w:eastAsia="Arial" w:hAnsi="Arial"/>
                <w:sz w:val="14"/>
                <w:szCs w:val="14"/>
                <w:b w:val="1"/>
                <w:bCs w:val="1"/>
                <w:color w:val="auto"/>
              </w:rPr>
              <w:t>53.4 %</w:t>
            </w:r>
          </w:p>
        </w:tc>
        <w:tc>
          <w:tcPr>
            <w:tcW w:w="94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57.1 %</w:t>
            </w:r>
          </w:p>
        </w:tc>
        <w:tc>
          <w:tcPr>
            <w:tcW w:w="10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54.4 %</w:t>
            </w:r>
          </w:p>
        </w:tc>
      </w:tr>
      <w:tr>
        <w:trPr>
          <w:trHeight w:val="223"/>
        </w:trPr>
        <w:tc>
          <w:tcPr>
            <w:tcW w:w="434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Non-GAAP gross margin</w:t>
            </w:r>
          </w:p>
        </w:tc>
        <w:tc>
          <w:tcPr>
            <w:tcW w:w="300" w:type="dxa"/>
            <w:vAlign w:val="bottom"/>
            <w:tcBorders>
              <w:bottom w:val="single" w:sz="8" w:color="404040"/>
            </w:tcBorders>
          </w:tcPr>
          <w:p>
            <w:pPr>
              <w:spacing w:after="0"/>
              <w:rPr>
                <w:sz w:val="19"/>
                <w:szCs w:val="19"/>
                <w:color w:val="auto"/>
              </w:rPr>
            </w:pPr>
          </w:p>
        </w:tc>
        <w:tc>
          <w:tcPr>
            <w:tcW w:w="680" w:type="dxa"/>
            <w:vAlign w:val="bottom"/>
            <w:tcBorders>
              <w:bottom w:val="single" w:sz="8" w:color="404040"/>
            </w:tcBorders>
          </w:tcPr>
          <w:p>
            <w:pPr>
              <w:jc w:val="right"/>
              <w:ind w:right="8"/>
              <w:spacing w:after="0"/>
              <w:rPr>
                <w:sz w:val="20"/>
                <w:szCs w:val="20"/>
                <w:color w:val="auto"/>
              </w:rPr>
            </w:pPr>
            <w:r>
              <w:rPr>
                <w:rFonts w:ascii="Arial" w:cs="Arial" w:eastAsia="Arial" w:hAnsi="Arial"/>
                <w:sz w:val="14"/>
                <w:szCs w:val="14"/>
                <w:b w:val="1"/>
                <w:bCs w:val="1"/>
                <w:color w:val="auto"/>
              </w:rPr>
              <w:t>64.0 %</w:t>
            </w:r>
          </w:p>
        </w:tc>
        <w:tc>
          <w:tcPr>
            <w:tcW w:w="1100" w:type="dxa"/>
            <w:vAlign w:val="bottom"/>
            <w:tcBorders>
              <w:bottom w:val="single" w:sz="8" w:color="404040"/>
            </w:tcBorders>
          </w:tcPr>
          <w:p>
            <w:pPr>
              <w:jc w:val="right"/>
              <w:ind w:right="68"/>
              <w:spacing w:after="0"/>
              <w:rPr>
                <w:sz w:val="20"/>
                <w:szCs w:val="20"/>
                <w:color w:val="auto"/>
              </w:rPr>
            </w:pPr>
            <w:r>
              <w:rPr>
                <w:rFonts w:ascii="Arial" w:cs="Arial" w:eastAsia="Arial" w:hAnsi="Arial"/>
                <w:sz w:val="14"/>
                <w:szCs w:val="14"/>
                <w:b w:val="1"/>
                <w:bCs w:val="1"/>
                <w:color w:val="auto"/>
              </w:rPr>
              <w:t>57.5 %</w:t>
            </w:r>
          </w:p>
        </w:tc>
        <w:tc>
          <w:tcPr>
            <w:tcW w:w="940" w:type="dxa"/>
            <w:vAlign w:val="bottom"/>
            <w:tcBorders>
              <w:bottom w:val="single" w:sz="8" w:color="404040"/>
            </w:tcBorders>
          </w:tcPr>
          <w:p>
            <w:pPr>
              <w:jc w:val="right"/>
              <w:ind w:right="28"/>
              <w:spacing w:after="0"/>
              <w:rPr>
                <w:sz w:val="20"/>
                <w:szCs w:val="20"/>
                <w:color w:val="auto"/>
              </w:rPr>
            </w:pPr>
            <w:r>
              <w:rPr>
                <w:rFonts w:ascii="Arial" w:cs="Arial" w:eastAsia="Arial" w:hAnsi="Arial"/>
                <w:sz w:val="14"/>
                <w:szCs w:val="14"/>
                <w:b w:val="1"/>
                <w:bCs w:val="1"/>
                <w:color w:val="auto"/>
              </w:rPr>
              <w:t>60.9 %</w:t>
            </w:r>
          </w:p>
        </w:tc>
        <w:tc>
          <w:tcPr>
            <w:tcW w:w="10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58.8 %</w:t>
            </w:r>
          </w:p>
        </w:tc>
      </w:tr>
      <w:tr>
        <w:trPr>
          <w:trHeight w:val="208"/>
        </w:trPr>
        <w:tc>
          <w:tcPr>
            <w:tcW w:w="4340" w:type="dxa"/>
            <w:vAlign w:val="bottom"/>
          </w:tcPr>
          <w:p>
            <w:pPr>
              <w:ind w:left="60"/>
              <w:spacing w:after="0"/>
              <w:rPr>
                <w:sz w:val="20"/>
                <w:szCs w:val="20"/>
                <w:color w:val="auto"/>
              </w:rPr>
            </w:pPr>
            <w:r>
              <w:rPr>
                <w:rFonts w:ascii="Arial" w:cs="Arial" w:eastAsia="Arial" w:hAnsi="Arial"/>
                <w:sz w:val="14"/>
                <w:szCs w:val="14"/>
                <w:color w:val="auto"/>
              </w:rPr>
              <w:t> </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16"/>
        </w:trPr>
        <w:tc>
          <w:tcPr>
            <w:tcW w:w="4340" w:type="dxa"/>
            <w:vAlign w:val="bottom"/>
            <w:tcBorders>
              <w:bottom w:val="single" w:sz="8" w:color="404040"/>
            </w:tcBorders>
            <w:shd w:val="clear" w:color="auto" w:fill="F1F3F7"/>
          </w:tcPr>
          <w:p>
            <w:pPr>
              <w:ind w:left="60"/>
              <w:spacing w:after="0"/>
              <w:rPr>
                <w:sz w:val="20"/>
                <w:szCs w:val="20"/>
                <w:color w:val="auto"/>
              </w:rPr>
            </w:pPr>
            <w:r>
              <w:rPr>
                <w:rFonts w:ascii="Arial" w:cs="Arial" w:eastAsia="Arial" w:hAnsi="Arial"/>
                <w:sz w:val="14"/>
                <w:szCs w:val="14"/>
                <w:b w:val="1"/>
                <w:bCs w:val="1"/>
                <w:color w:val="auto"/>
              </w:rPr>
              <w:t>Research and development</w:t>
            </w:r>
          </w:p>
        </w:tc>
        <w:tc>
          <w:tcPr>
            <w:tcW w:w="300" w:type="dxa"/>
            <w:vAlign w:val="bottom"/>
            <w:tcBorders>
              <w:bottom w:val="single" w:sz="8" w:color="404040"/>
            </w:tcBorders>
            <w:shd w:val="clear" w:color="auto" w:fill="F1F3F7"/>
          </w:tcPr>
          <w:p>
            <w:pPr>
              <w:spacing w:after="0"/>
              <w:rPr>
                <w:sz w:val="18"/>
                <w:szCs w:val="18"/>
                <w:color w:val="auto"/>
              </w:rPr>
            </w:pPr>
          </w:p>
        </w:tc>
        <w:tc>
          <w:tcPr>
            <w:tcW w:w="680" w:type="dxa"/>
            <w:vAlign w:val="bottom"/>
            <w:tcBorders>
              <w:bottom w:val="single" w:sz="8" w:color="404040"/>
            </w:tcBorders>
            <w:shd w:val="clear" w:color="auto" w:fill="F1F3F7"/>
          </w:tcPr>
          <w:p>
            <w:pPr>
              <w:spacing w:after="0"/>
              <w:rPr>
                <w:sz w:val="18"/>
                <w:szCs w:val="18"/>
                <w:color w:val="auto"/>
              </w:rPr>
            </w:pPr>
          </w:p>
        </w:tc>
        <w:tc>
          <w:tcPr>
            <w:tcW w:w="1100" w:type="dxa"/>
            <w:vAlign w:val="bottom"/>
            <w:tcBorders>
              <w:bottom w:val="single" w:sz="8" w:color="404040"/>
            </w:tcBorders>
            <w:shd w:val="clear" w:color="auto" w:fill="F1F3F7"/>
          </w:tcPr>
          <w:p>
            <w:pPr>
              <w:spacing w:after="0"/>
              <w:rPr>
                <w:sz w:val="18"/>
                <w:szCs w:val="18"/>
                <w:color w:val="auto"/>
              </w:rPr>
            </w:pPr>
          </w:p>
        </w:tc>
        <w:tc>
          <w:tcPr>
            <w:tcW w:w="940" w:type="dxa"/>
            <w:vAlign w:val="bottom"/>
            <w:tcBorders>
              <w:bottom w:val="single" w:sz="8" w:color="404040"/>
            </w:tcBorders>
            <w:shd w:val="clear" w:color="auto" w:fill="F1F3F7"/>
          </w:tcPr>
          <w:p>
            <w:pPr>
              <w:spacing w:after="0"/>
              <w:rPr>
                <w:sz w:val="18"/>
                <w:szCs w:val="18"/>
                <w:color w:val="auto"/>
              </w:rPr>
            </w:pPr>
          </w:p>
        </w:tc>
        <w:tc>
          <w:tcPr>
            <w:tcW w:w="1060" w:type="dxa"/>
            <w:vAlign w:val="bottom"/>
            <w:tcBorders>
              <w:bottom w:val="single" w:sz="8" w:color="404040"/>
            </w:tcBorders>
            <w:shd w:val="clear" w:color="auto" w:fill="F1F3F7"/>
          </w:tcPr>
          <w:p>
            <w:pPr>
              <w:spacing w:after="0"/>
              <w:rPr>
                <w:sz w:val="18"/>
                <w:szCs w:val="18"/>
                <w:color w:val="auto"/>
              </w:rPr>
            </w:pPr>
          </w:p>
        </w:tc>
      </w:tr>
      <w:tr>
        <w:trPr>
          <w:trHeight w:val="208"/>
        </w:trPr>
        <w:tc>
          <w:tcPr>
            <w:tcW w:w="4340" w:type="dxa"/>
            <w:vAlign w:val="bottom"/>
          </w:tcPr>
          <w:p>
            <w:pPr>
              <w:ind w:left="60"/>
              <w:spacing w:after="0"/>
              <w:rPr>
                <w:sz w:val="20"/>
                <w:szCs w:val="20"/>
                <w:color w:val="auto"/>
              </w:rPr>
            </w:pPr>
            <w:r>
              <w:rPr>
                <w:rFonts w:ascii="Arial" w:cs="Arial" w:eastAsia="Arial" w:hAnsi="Arial"/>
                <w:sz w:val="14"/>
                <w:szCs w:val="14"/>
                <w:color w:val="auto"/>
              </w:rPr>
              <w:t>GAAP research and development</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41,591</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$ 32,742</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$162,662</w:t>
            </w:r>
          </w:p>
        </w:tc>
        <w:tc>
          <w:tcPr>
            <w:tcW w:w="1060" w:type="dxa"/>
            <w:vAlign w:val="bottom"/>
          </w:tcPr>
          <w:p>
            <w:pPr>
              <w:ind w:left="180"/>
              <w:spacing w:after="0"/>
              <w:rPr>
                <w:sz w:val="20"/>
                <w:szCs w:val="20"/>
                <w:color w:val="auto"/>
              </w:rPr>
            </w:pPr>
            <w:r>
              <w:rPr>
                <w:rFonts w:ascii="Arial" w:cs="Arial" w:eastAsia="Arial" w:hAnsi="Arial"/>
                <w:sz w:val="14"/>
                <w:szCs w:val="14"/>
                <w:color w:val="auto"/>
              </w:rPr>
              <w:t>$ 137,980</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01"/>
        </w:trPr>
        <w:tc>
          <w:tcPr>
            <w:tcW w:w="43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w w:val="95"/>
              </w:rPr>
              <w:t>(11,890)</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(7,922)</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(44,453)</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(33,606)</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01"/>
        </w:trPr>
        <w:tc>
          <w:tcPr>
            <w:tcW w:w="4340" w:type="dxa"/>
            <w:vAlign w:val="bottom"/>
          </w:tcPr>
          <w:p>
            <w:pPr>
              <w:ind w:left="200"/>
              <w:spacing w:after="0"/>
              <w:rPr>
                <w:sz w:val="20"/>
                <w:szCs w:val="20"/>
                <w:color w:val="auto"/>
              </w:rPr>
            </w:pPr>
            <w:r>
              <w:rPr>
                <w:rFonts w:ascii="Arial" w:cs="Arial" w:eastAsia="Arial" w:hAnsi="Arial"/>
                <w:sz w:val="14"/>
                <w:szCs w:val="14"/>
                <w:color w:val="auto"/>
              </w:rPr>
              <w:t>Executive transition costs</w:t>
            </w:r>
          </w:p>
        </w:tc>
        <w:tc>
          <w:tcPr>
            <w:tcW w:w="300" w:type="dxa"/>
            <w:vAlign w:val="bottom"/>
          </w:tcPr>
          <w:p>
            <w:pPr>
              <w:spacing w:after="0"/>
              <w:rPr>
                <w:sz w:val="17"/>
                <w:szCs w:val="17"/>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(221)</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(547)</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17"/>
        </w:trPr>
        <w:tc>
          <w:tcPr>
            <w:tcW w:w="4340" w:type="dxa"/>
            <w:vAlign w:val="bottom"/>
          </w:tcPr>
          <w:p>
            <w:pPr>
              <w:ind w:left="60"/>
              <w:spacing w:after="0"/>
              <w:rPr>
                <w:sz w:val="20"/>
                <w:szCs w:val="20"/>
                <w:color w:val="auto"/>
              </w:rPr>
            </w:pPr>
            <w:r>
              <w:rPr>
                <w:rFonts w:ascii="Arial" w:cs="Arial" w:eastAsia="Arial" w:hAnsi="Arial"/>
                <w:sz w:val="14"/>
                <w:szCs w:val="14"/>
                <w:b w:val="1"/>
                <w:bCs w:val="1"/>
                <w:color w:val="auto"/>
              </w:rPr>
              <w:t>Non-GAAP research and development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97"/>
              </w:rPr>
              <w:t>29,480</w:t>
            </w: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$24,820</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$ 117,662</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$104,374</w:t>
            </w:r>
          </w:p>
        </w:tc>
      </w:tr>
      <w:tr>
        <w:trPr>
          <w:trHeight w:val="27"/>
        </w:trPr>
        <w:tc>
          <w:tcPr>
            <w:tcW w:w="4340" w:type="dxa"/>
            <w:vAlign w:val="bottom"/>
            <w:tcBorders>
              <w:bottom w:val="single" w:sz="8" w:color="404040"/>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1"/>
        </w:trPr>
        <w:tc>
          <w:tcPr>
            <w:tcW w:w="4340" w:type="dxa"/>
            <w:vAlign w:val="bottom"/>
          </w:tcPr>
          <w:p>
            <w:pPr>
              <w:ind w:left="60"/>
              <w:spacing w:after="0"/>
              <w:rPr>
                <w:sz w:val="20"/>
                <w:szCs w:val="20"/>
                <w:color w:val="auto"/>
              </w:rPr>
            </w:pPr>
            <w:r>
              <w:rPr>
                <w:rFonts w:ascii="Arial" w:cs="Arial" w:eastAsia="Arial" w:hAnsi="Arial"/>
                <w:sz w:val="14"/>
                <w:szCs w:val="14"/>
                <w:color w:val="auto"/>
              </w:rPr>
              <w:t> </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16"/>
        </w:trPr>
        <w:tc>
          <w:tcPr>
            <w:tcW w:w="4340" w:type="dxa"/>
            <w:vAlign w:val="bottom"/>
            <w:tcBorders>
              <w:bottom w:val="single" w:sz="8" w:color="404040"/>
            </w:tcBorders>
            <w:shd w:val="clear" w:color="auto" w:fill="F1F3F7"/>
          </w:tcPr>
          <w:p>
            <w:pPr>
              <w:ind w:left="60"/>
              <w:spacing w:after="0"/>
              <w:rPr>
                <w:sz w:val="20"/>
                <w:szCs w:val="20"/>
                <w:color w:val="auto"/>
              </w:rPr>
            </w:pPr>
            <w:r>
              <w:rPr>
                <w:rFonts w:ascii="Arial" w:cs="Arial" w:eastAsia="Arial" w:hAnsi="Arial"/>
                <w:sz w:val="14"/>
                <w:szCs w:val="14"/>
                <w:b w:val="1"/>
                <w:bCs w:val="1"/>
                <w:color w:val="auto"/>
              </w:rPr>
              <w:t>Sales and marketing</w:t>
            </w:r>
          </w:p>
        </w:tc>
        <w:tc>
          <w:tcPr>
            <w:tcW w:w="300" w:type="dxa"/>
            <w:vAlign w:val="bottom"/>
            <w:tcBorders>
              <w:bottom w:val="single" w:sz="8" w:color="404040"/>
            </w:tcBorders>
            <w:shd w:val="clear" w:color="auto" w:fill="F1F3F7"/>
          </w:tcPr>
          <w:p>
            <w:pPr>
              <w:spacing w:after="0"/>
              <w:rPr>
                <w:sz w:val="18"/>
                <w:szCs w:val="18"/>
                <w:color w:val="auto"/>
              </w:rPr>
            </w:pPr>
          </w:p>
        </w:tc>
        <w:tc>
          <w:tcPr>
            <w:tcW w:w="680" w:type="dxa"/>
            <w:vAlign w:val="bottom"/>
            <w:tcBorders>
              <w:bottom w:val="single" w:sz="8" w:color="404040"/>
            </w:tcBorders>
            <w:shd w:val="clear" w:color="auto" w:fill="F1F3F7"/>
          </w:tcPr>
          <w:p>
            <w:pPr>
              <w:spacing w:after="0"/>
              <w:rPr>
                <w:sz w:val="18"/>
                <w:szCs w:val="18"/>
                <w:color w:val="auto"/>
              </w:rPr>
            </w:pPr>
          </w:p>
        </w:tc>
        <w:tc>
          <w:tcPr>
            <w:tcW w:w="1100" w:type="dxa"/>
            <w:vAlign w:val="bottom"/>
            <w:tcBorders>
              <w:bottom w:val="single" w:sz="8" w:color="404040"/>
            </w:tcBorders>
            <w:shd w:val="clear" w:color="auto" w:fill="F1F3F7"/>
          </w:tcPr>
          <w:p>
            <w:pPr>
              <w:spacing w:after="0"/>
              <w:rPr>
                <w:sz w:val="18"/>
                <w:szCs w:val="18"/>
                <w:color w:val="auto"/>
              </w:rPr>
            </w:pPr>
          </w:p>
        </w:tc>
        <w:tc>
          <w:tcPr>
            <w:tcW w:w="940" w:type="dxa"/>
            <w:vAlign w:val="bottom"/>
            <w:tcBorders>
              <w:bottom w:val="single" w:sz="8" w:color="404040"/>
            </w:tcBorders>
            <w:shd w:val="clear" w:color="auto" w:fill="F1F3F7"/>
          </w:tcPr>
          <w:p>
            <w:pPr>
              <w:spacing w:after="0"/>
              <w:rPr>
                <w:sz w:val="18"/>
                <w:szCs w:val="18"/>
                <w:color w:val="auto"/>
              </w:rPr>
            </w:pPr>
          </w:p>
        </w:tc>
        <w:tc>
          <w:tcPr>
            <w:tcW w:w="1060" w:type="dxa"/>
            <w:vAlign w:val="bottom"/>
            <w:tcBorders>
              <w:bottom w:val="single" w:sz="8" w:color="404040"/>
            </w:tcBorders>
            <w:shd w:val="clear" w:color="auto" w:fill="F1F3F7"/>
          </w:tcPr>
          <w:p>
            <w:pPr>
              <w:spacing w:after="0"/>
              <w:rPr>
                <w:sz w:val="18"/>
                <w:szCs w:val="18"/>
                <w:color w:val="auto"/>
              </w:rPr>
            </w:pPr>
          </w:p>
        </w:tc>
      </w:tr>
      <w:tr>
        <w:trPr>
          <w:trHeight w:val="208"/>
        </w:trPr>
        <w:tc>
          <w:tcPr>
            <w:tcW w:w="4340" w:type="dxa"/>
            <w:vAlign w:val="bottom"/>
          </w:tcPr>
          <w:p>
            <w:pPr>
              <w:ind w:left="60"/>
              <w:spacing w:after="0"/>
              <w:rPr>
                <w:sz w:val="20"/>
                <w:szCs w:val="20"/>
                <w:color w:val="auto"/>
              </w:rPr>
            </w:pPr>
            <w:r>
              <w:rPr>
                <w:rFonts w:ascii="Arial" w:cs="Arial" w:eastAsia="Arial" w:hAnsi="Arial"/>
                <w:sz w:val="14"/>
                <w:szCs w:val="14"/>
                <w:color w:val="auto"/>
              </w:rPr>
              <w:t>GAAP sales and marketing</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51,023</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$ 50,050</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$201,434</w:t>
            </w:r>
          </w:p>
        </w:tc>
        <w:tc>
          <w:tcPr>
            <w:tcW w:w="1060" w:type="dxa"/>
            <w:vAlign w:val="bottom"/>
          </w:tcPr>
          <w:p>
            <w:pPr>
              <w:ind w:left="180"/>
              <w:spacing w:after="0"/>
              <w:rPr>
                <w:sz w:val="20"/>
                <w:szCs w:val="20"/>
                <w:color w:val="auto"/>
              </w:rPr>
            </w:pPr>
            <w:r>
              <w:rPr>
                <w:rFonts w:ascii="Arial" w:cs="Arial" w:eastAsia="Arial" w:hAnsi="Arial"/>
                <w:sz w:val="14"/>
                <w:szCs w:val="14"/>
                <w:color w:val="auto"/>
              </w:rPr>
              <w:t>$ 198,610</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01"/>
        </w:trPr>
        <w:tc>
          <w:tcPr>
            <w:tcW w:w="43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7"/>
                <w:szCs w:val="17"/>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(9,348)</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(7,047)</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(32,971)</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(29,061)</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01"/>
        </w:trPr>
        <w:tc>
          <w:tcPr>
            <w:tcW w:w="4340" w:type="dxa"/>
            <w:vAlign w:val="bottom"/>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3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(2,159)</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(2,299)</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(8,898)</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(9,200)</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17"/>
        </w:trPr>
        <w:tc>
          <w:tcPr>
            <w:tcW w:w="4340" w:type="dxa"/>
            <w:vAlign w:val="bottom"/>
          </w:tcPr>
          <w:p>
            <w:pPr>
              <w:ind w:left="60"/>
              <w:spacing w:after="0"/>
              <w:rPr>
                <w:sz w:val="20"/>
                <w:szCs w:val="20"/>
                <w:color w:val="auto"/>
              </w:rPr>
            </w:pPr>
            <w:r>
              <w:rPr>
                <w:rFonts w:ascii="Arial" w:cs="Arial" w:eastAsia="Arial" w:hAnsi="Arial"/>
                <w:sz w:val="14"/>
                <w:szCs w:val="14"/>
                <w:b w:val="1"/>
                <w:bCs w:val="1"/>
                <w:color w:val="auto"/>
              </w:rPr>
              <w:t>Non-GAAP sales and marketing</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39,516</w:t>
            </w: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$ 40,704</w:t>
            </w: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$159,565</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$ 160,349</w:t>
            </w:r>
          </w:p>
        </w:tc>
      </w:tr>
      <w:tr>
        <w:trPr>
          <w:trHeight w:val="27"/>
        </w:trPr>
        <w:tc>
          <w:tcPr>
            <w:tcW w:w="4340" w:type="dxa"/>
            <w:vAlign w:val="bottom"/>
            <w:tcBorders>
              <w:bottom w:val="single" w:sz="8" w:color="404040"/>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1"/>
        </w:trPr>
        <w:tc>
          <w:tcPr>
            <w:tcW w:w="4340" w:type="dxa"/>
            <w:vAlign w:val="bottom"/>
          </w:tcPr>
          <w:p>
            <w:pPr>
              <w:ind w:left="60"/>
              <w:spacing w:after="0"/>
              <w:rPr>
                <w:sz w:val="20"/>
                <w:szCs w:val="20"/>
                <w:color w:val="auto"/>
              </w:rPr>
            </w:pPr>
            <w:r>
              <w:rPr>
                <w:rFonts w:ascii="Arial" w:cs="Arial" w:eastAsia="Arial" w:hAnsi="Arial"/>
                <w:sz w:val="14"/>
                <w:szCs w:val="14"/>
                <w:color w:val="auto"/>
              </w:rPr>
              <w:t> </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16"/>
        </w:trPr>
        <w:tc>
          <w:tcPr>
            <w:tcW w:w="4340" w:type="dxa"/>
            <w:vAlign w:val="bottom"/>
            <w:tcBorders>
              <w:bottom w:val="single" w:sz="8" w:color="404040"/>
            </w:tcBorders>
            <w:shd w:val="clear" w:color="auto" w:fill="F1F3F7"/>
          </w:tcPr>
          <w:p>
            <w:pPr>
              <w:ind w:left="60"/>
              <w:spacing w:after="0"/>
              <w:rPr>
                <w:sz w:val="20"/>
                <w:szCs w:val="20"/>
                <w:color w:val="auto"/>
              </w:rPr>
            </w:pPr>
            <w:r>
              <w:rPr>
                <w:rFonts w:ascii="Arial" w:cs="Arial" w:eastAsia="Arial" w:hAnsi="Arial"/>
                <w:sz w:val="14"/>
                <w:szCs w:val="14"/>
                <w:b w:val="1"/>
                <w:bCs w:val="1"/>
                <w:color w:val="auto"/>
              </w:rPr>
              <w:t>General and administrative</w:t>
            </w:r>
          </w:p>
        </w:tc>
        <w:tc>
          <w:tcPr>
            <w:tcW w:w="300" w:type="dxa"/>
            <w:vAlign w:val="bottom"/>
            <w:tcBorders>
              <w:bottom w:val="single" w:sz="8" w:color="404040"/>
            </w:tcBorders>
            <w:shd w:val="clear" w:color="auto" w:fill="F1F3F7"/>
          </w:tcPr>
          <w:p>
            <w:pPr>
              <w:spacing w:after="0"/>
              <w:rPr>
                <w:sz w:val="18"/>
                <w:szCs w:val="18"/>
                <w:color w:val="auto"/>
              </w:rPr>
            </w:pPr>
          </w:p>
        </w:tc>
        <w:tc>
          <w:tcPr>
            <w:tcW w:w="680" w:type="dxa"/>
            <w:vAlign w:val="bottom"/>
            <w:tcBorders>
              <w:bottom w:val="single" w:sz="8" w:color="404040"/>
            </w:tcBorders>
            <w:shd w:val="clear" w:color="auto" w:fill="F1F3F7"/>
          </w:tcPr>
          <w:p>
            <w:pPr>
              <w:spacing w:after="0"/>
              <w:rPr>
                <w:sz w:val="18"/>
                <w:szCs w:val="18"/>
                <w:color w:val="auto"/>
              </w:rPr>
            </w:pPr>
          </w:p>
        </w:tc>
        <w:tc>
          <w:tcPr>
            <w:tcW w:w="1100" w:type="dxa"/>
            <w:vAlign w:val="bottom"/>
            <w:tcBorders>
              <w:bottom w:val="single" w:sz="8" w:color="404040"/>
            </w:tcBorders>
            <w:shd w:val="clear" w:color="auto" w:fill="F1F3F7"/>
          </w:tcPr>
          <w:p>
            <w:pPr>
              <w:spacing w:after="0"/>
              <w:rPr>
                <w:sz w:val="18"/>
                <w:szCs w:val="18"/>
                <w:color w:val="auto"/>
              </w:rPr>
            </w:pPr>
          </w:p>
        </w:tc>
        <w:tc>
          <w:tcPr>
            <w:tcW w:w="940" w:type="dxa"/>
            <w:vAlign w:val="bottom"/>
            <w:tcBorders>
              <w:bottom w:val="single" w:sz="8" w:color="404040"/>
            </w:tcBorders>
            <w:shd w:val="clear" w:color="auto" w:fill="F1F3F7"/>
          </w:tcPr>
          <w:p>
            <w:pPr>
              <w:spacing w:after="0"/>
              <w:rPr>
                <w:sz w:val="18"/>
                <w:szCs w:val="18"/>
                <w:color w:val="auto"/>
              </w:rPr>
            </w:pPr>
          </w:p>
        </w:tc>
        <w:tc>
          <w:tcPr>
            <w:tcW w:w="1060" w:type="dxa"/>
            <w:vAlign w:val="bottom"/>
            <w:tcBorders>
              <w:bottom w:val="single" w:sz="8" w:color="404040"/>
            </w:tcBorders>
            <w:shd w:val="clear" w:color="auto" w:fill="F1F3F7"/>
          </w:tcPr>
          <w:p>
            <w:pPr>
              <w:spacing w:after="0"/>
              <w:rPr>
                <w:sz w:val="18"/>
                <w:szCs w:val="18"/>
                <w:color w:val="auto"/>
              </w:rPr>
            </w:pPr>
          </w:p>
        </w:tc>
      </w:tr>
      <w:tr>
        <w:trPr>
          <w:trHeight w:val="208"/>
        </w:trPr>
        <w:tc>
          <w:tcPr>
            <w:tcW w:w="4340" w:type="dxa"/>
            <w:vAlign w:val="bottom"/>
          </w:tcPr>
          <w:p>
            <w:pPr>
              <w:ind w:left="60"/>
              <w:spacing w:after="0"/>
              <w:rPr>
                <w:sz w:val="20"/>
                <w:szCs w:val="20"/>
                <w:color w:val="auto"/>
              </w:rPr>
            </w:pPr>
            <w:r>
              <w:rPr>
                <w:rFonts w:ascii="Arial" w:cs="Arial" w:eastAsia="Arial" w:hAnsi="Arial"/>
                <w:sz w:val="14"/>
                <w:szCs w:val="14"/>
                <w:color w:val="auto"/>
              </w:rPr>
              <w:t>GAAP general and administrative</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28,436</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$ 26,154</w:t>
            </w:r>
          </w:p>
        </w:tc>
        <w:tc>
          <w:tcPr>
            <w:tcW w:w="940" w:type="dxa"/>
            <w:vAlign w:val="bottom"/>
          </w:tcPr>
          <w:p>
            <w:pPr>
              <w:jc w:val="right"/>
              <w:ind w:right="148"/>
              <w:spacing w:after="0"/>
              <w:rPr>
                <w:sz w:val="20"/>
                <w:szCs w:val="20"/>
                <w:color w:val="auto"/>
              </w:rPr>
            </w:pPr>
            <w:r>
              <w:rPr>
                <w:rFonts w:ascii="Arial" w:cs="Arial" w:eastAsia="Arial" w:hAnsi="Arial"/>
                <w:sz w:val="14"/>
                <w:szCs w:val="14"/>
                <w:color w:val="auto"/>
              </w:rPr>
              <w:t>$110,692</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$ 113,399</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01"/>
        </w:trPr>
        <w:tc>
          <w:tcPr>
            <w:tcW w:w="4340" w:type="dxa"/>
            <w:vAlign w:val="bottom"/>
          </w:tcPr>
          <w:p>
            <w:pPr>
              <w:ind w:left="200"/>
              <w:spacing w:after="0"/>
              <w:rPr>
                <w:sz w:val="20"/>
                <w:szCs w:val="20"/>
                <w:color w:val="auto"/>
              </w:rPr>
            </w:pPr>
            <w:r>
              <w:rPr>
                <w:rFonts w:ascii="Arial" w:cs="Arial" w:eastAsia="Arial" w:hAnsi="Arial"/>
                <w:sz w:val="14"/>
                <w:szCs w:val="14"/>
                <w:color w:val="auto"/>
              </w:rPr>
              <w:t>Stock-based compensation</w:t>
            </w:r>
          </w:p>
        </w:tc>
        <w:tc>
          <w:tcPr>
            <w:tcW w:w="300" w:type="dxa"/>
            <w:vAlign w:val="bottom"/>
          </w:tcPr>
          <w:p>
            <w:pPr>
              <w:spacing w:after="0"/>
              <w:rPr>
                <w:sz w:val="17"/>
                <w:szCs w:val="17"/>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(8,275)</w:t>
            </w:r>
          </w:p>
        </w:tc>
        <w:tc>
          <w:tcPr>
            <w:tcW w:w="1100" w:type="dxa"/>
            <w:vAlign w:val="bottom"/>
          </w:tcPr>
          <w:p>
            <w:pPr>
              <w:jc w:val="right"/>
              <w:ind w:right="168"/>
              <w:spacing w:after="0"/>
              <w:rPr>
                <w:sz w:val="20"/>
                <w:szCs w:val="20"/>
                <w:color w:val="auto"/>
              </w:rPr>
            </w:pPr>
            <w:r>
              <w:rPr>
                <w:rFonts w:ascii="Arial" w:cs="Arial" w:eastAsia="Arial" w:hAnsi="Arial"/>
                <w:sz w:val="14"/>
                <w:szCs w:val="14"/>
                <w:color w:val="auto"/>
              </w:rPr>
              <w:t>(8,066)</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(29,762)</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(36,619)</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02"/>
        </w:trPr>
        <w:tc>
          <w:tcPr>
            <w:tcW w:w="4340" w:type="dxa"/>
            <w:vAlign w:val="bottom"/>
          </w:tcPr>
          <w:p>
            <w:pPr>
              <w:ind w:left="200"/>
              <w:spacing w:after="0"/>
              <w:rPr>
                <w:sz w:val="20"/>
                <w:szCs w:val="20"/>
                <w:color w:val="auto"/>
              </w:rPr>
            </w:pPr>
            <w:r>
              <w:rPr>
                <w:rFonts w:ascii="Arial" w:cs="Arial" w:eastAsia="Arial" w:hAnsi="Arial"/>
                <w:sz w:val="14"/>
                <w:szCs w:val="14"/>
                <w:color w:val="auto"/>
              </w:rPr>
              <w:t>Executive transition costs</w:t>
            </w:r>
          </w:p>
        </w:tc>
        <w:tc>
          <w:tcPr>
            <w:tcW w:w="300" w:type="dxa"/>
            <w:vAlign w:val="bottom"/>
          </w:tcPr>
          <w:p>
            <w:pPr>
              <w:spacing w:after="0"/>
              <w:rPr>
                <w:sz w:val="17"/>
                <w:szCs w:val="17"/>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08"/>
              <w:spacing w:after="0"/>
              <w:rPr>
                <w:sz w:val="20"/>
                <w:szCs w:val="20"/>
                <w:color w:val="auto"/>
              </w:rPr>
            </w:pPr>
            <w:r>
              <w:rPr>
                <w:rFonts w:ascii="Arial" w:cs="Arial" w:eastAsia="Arial" w:hAnsi="Arial"/>
                <w:sz w:val="14"/>
                <w:szCs w:val="14"/>
                <w:color w:val="auto"/>
              </w:rPr>
              <w:t>(978)</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201"/>
        </w:trPr>
        <w:tc>
          <w:tcPr>
            <w:tcW w:w="4340" w:type="dxa"/>
            <w:vAlign w:val="bottom"/>
          </w:tcPr>
          <w:p>
            <w:pPr>
              <w:ind w:left="200"/>
              <w:spacing w:after="0"/>
              <w:rPr>
                <w:sz w:val="20"/>
                <w:szCs w:val="20"/>
                <w:color w:val="auto"/>
              </w:rPr>
            </w:pPr>
            <w:r>
              <w:rPr>
                <w:rFonts w:ascii="Arial" w:cs="Arial" w:eastAsia="Arial" w:hAnsi="Arial"/>
                <w:sz w:val="14"/>
                <w:szCs w:val="14"/>
                <w:color w:val="auto"/>
              </w:rPr>
              <w:t>Gain on modification of lease</w:t>
            </w:r>
          </w:p>
        </w:tc>
        <w:tc>
          <w:tcPr>
            <w:tcW w:w="300" w:type="dxa"/>
            <w:vAlign w:val="bottom"/>
          </w:tcPr>
          <w:p>
            <w:pPr>
              <w:spacing w:after="0"/>
              <w:rPr>
                <w:sz w:val="17"/>
                <w:szCs w:val="17"/>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68"/>
              <w:spacing w:after="0"/>
              <w:rPr>
                <w:sz w:val="20"/>
                <w:szCs w:val="20"/>
                <w:color w:val="auto"/>
              </w:rPr>
            </w:pPr>
            <w:r>
              <w:rPr>
                <w:rFonts w:ascii="Arial" w:cs="Arial" w:eastAsia="Arial" w:hAnsi="Arial"/>
                <w:sz w:val="14"/>
                <w:szCs w:val="14"/>
                <w:color w:val="auto"/>
              </w:rPr>
              <w:t>736</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w:t>
            </w:r>
          </w:p>
        </w:tc>
      </w:tr>
      <w:tr>
        <w:trPr>
          <w:trHeight w:val="22"/>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680" w:type="dxa"/>
            <w:vAlign w:val="bottom"/>
            <w:tcBorders>
              <w:bottom w:val="single" w:sz="8" w:color="404040"/>
            </w:tcBorders>
          </w:tcPr>
          <w:p>
            <w:pPr>
              <w:spacing w:after="0" w:line="20" w:lineRule="exact"/>
              <w:rPr>
                <w:sz w:val="1"/>
                <w:szCs w:val="1"/>
                <w:color w:val="auto"/>
              </w:rPr>
            </w:pPr>
          </w:p>
        </w:tc>
        <w:tc>
          <w:tcPr>
            <w:tcW w:w="1100" w:type="dxa"/>
            <w:vAlign w:val="bottom"/>
            <w:tcBorders>
              <w:bottom w:val="single" w:sz="8" w:color="404040"/>
            </w:tcBorders>
          </w:tcPr>
          <w:p>
            <w:pPr>
              <w:spacing w:after="0" w:line="20" w:lineRule="exact"/>
              <w:rPr>
                <w:sz w:val="1"/>
                <w:szCs w:val="1"/>
                <w:color w:val="auto"/>
              </w:rPr>
            </w:pPr>
          </w:p>
        </w:tc>
        <w:tc>
          <w:tcPr>
            <w:tcW w:w="940" w:type="dxa"/>
            <w:vAlign w:val="bottom"/>
            <w:tcBorders>
              <w:bottom w:val="single" w:sz="8" w:color="404040"/>
            </w:tcBorders>
          </w:tcPr>
          <w:p>
            <w:pPr>
              <w:spacing w:after="0" w:line="20" w:lineRule="exact"/>
              <w:rPr>
                <w:sz w:val="1"/>
                <w:szCs w:val="1"/>
                <w:color w:val="auto"/>
              </w:rPr>
            </w:pPr>
          </w:p>
        </w:tc>
        <w:tc>
          <w:tcPr>
            <w:tcW w:w="1060" w:type="dxa"/>
            <w:vAlign w:val="bottom"/>
            <w:tcBorders>
              <w:bottom w:val="single" w:sz="8" w:color="404040"/>
            </w:tcBorders>
          </w:tcPr>
          <w:p>
            <w:pPr>
              <w:spacing w:after="0" w:line="20" w:lineRule="exact"/>
              <w:rPr>
                <w:sz w:val="1"/>
                <w:szCs w:val="1"/>
                <w:color w:val="auto"/>
              </w:rPr>
            </w:pPr>
          </w:p>
        </w:tc>
      </w:tr>
      <w:tr>
        <w:trPr>
          <w:trHeight w:val="183"/>
        </w:trPr>
        <w:tc>
          <w:tcPr>
            <w:tcW w:w="4340" w:type="dxa"/>
            <w:vAlign w:val="bottom"/>
          </w:tcPr>
          <w:p>
            <w:pPr>
              <w:ind w:left="60"/>
              <w:spacing w:after="0"/>
              <w:rPr>
                <w:sz w:val="20"/>
                <w:szCs w:val="20"/>
                <w:color w:val="auto"/>
              </w:rPr>
            </w:pPr>
            <w:r>
              <w:rPr>
                <w:rFonts w:ascii="Arial" w:cs="Arial" w:eastAsia="Arial" w:hAnsi="Arial"/>
                <w:sz w:val="14"/>
                <w:szCs w:val="14"/>
                <w:b w:val="1"/>
                <w:bCs w:val="1"/>
                <w:color w:val="auto"/>
              </w:rPr>
              <w:t>Non-GAAP general and administrative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20,161</w:t>
            </w: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$ 18,088</w:t>
            </w:r>
          </w:p>
        </w:tc>
        <w:tc>
          <w:tcPr>
            <w:tcW w:w="9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$ 80,688</w:t>
            </w: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$ 76,780</w:t>
            </w:r>
          </w:p>
        </w:tc>
      </w:tr>
      <w:tr>
        <w:trPr>
          <w:trHeight w:val="20"/>
        </w:trPr>
        <w:tc>
          <w:tcPr>
            <w:tcW w:w="43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5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03"/>
        </w:trPr>
        <w:tc>
          <w:tcPr>
            <w:tcW w:w="6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Year ended</w:t>
            </w:r>
          </w:p>
        </w:tc>
      </w:tr>
      <w:tr>
        <w:trPr>
          <w:trHeight w:val="205"/>
        </w:trPr>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40" w:type="dxa"/>
            <w:vAlign w:val="bottom"/>
            <w:tcBorders>
              <w:bottom w:val="single" w:sz="8" w:color="404040"/>
            </w:tcBorders>
          </w:tcPr>
          <w:p>
            <w:pPr>
              <w:spacing w:after="0"/>
              <w:rPr>
                <w:sz w:val="17"/>
                <w:szCs w:val="17"/>
                <w:color w:val="auto"/>
              </w:rPr>
            </w:pPr>
          </w:p>
        </w:tc>
        <w:tc>
          <w:tcPr>
            <w:tcW w:w="1620" w:type="dxa"/>
            <w:vAlign w:val="bottom"/>
            <w:tcBorders>
              <w:bottom w:val="single" w:sz="8" w:color="404040"/>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404040"/>
            </w:tcBorders>
          </w:tcPr>
          <w:p>
            <w:pPr>
              <w:spacing w:after="0"/>
              <w:rPr>
                <w:sz w:val="17"/>
                <w:szCs w:val="17"/>
                <w:color w:val="auto"/>
              </w:rPr>
            </w:pPr>
          </w:p>
        </w:tc>
        <w:tc>
          <w:tcPr>
            <w:tcW w:w="640" w:type="dxa"/>
            <w:vAlign w:val="bottom"/>
            <w:tcBorders>
              <w:bottom w:val="single" w:sz="8" w:color="404040"/>
            </w:tcBorders>
          </w:tcPr>
          <w:p>
            <w:pPr>
              <w:spacing w:after="0"/>
              <w:rPr>
                <w:sz w:val="17"/>
                <w:szCs w:val="17"/>
                <w:color w:val="auto"/>
              </w:rPr>
            </w:pPr>
          </w:p>
        </w:tc>
        <w:tc>
          <w:tcPr>
            <w:tcW w:w="1060" w:type="dxa"/>
            <w:vAlign w:val="bottom"/>
            <w:tcBorders>
              <w:bottom w:val="single" w:sz="8" w:color="404040"/>
            </w:tcBorders>
            <w:gridSpan w:val="2"/>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660" w:type="dxa"/>
            <w:vAlign w:val="bottom"/>
          </w:tcPr>
          <w:p>
            <w:pPr>
              <w:spacing w:after="0"/>
              <w:rPr>
                <w:sz w:val="19"/>
                <w:szCs w:val="19"/>
                <w:color w:val="auto"/>
              </w:rPr>
            </w:pPr>
          </w:p>
        </w:tc>
        <w:tc>
          <w:tcPr>
            <w:tcW w:w="880" w:type="dxa"/>
            <w:vAlign w:val="bottom"/>
            <w:tcBorders>
              <w:bottom w:val="single" w:sz="8" w:color="404040"/>
            </w:tcBorders>
          </w:tcPr>
          <w:p>
            <w:pPr>
              <w:spacing w:after="0"/>
              <w:rPr>
                <w:sz w:val="19"/>
                <w:szCs w:val="19"/>
                <w:color w:val="auto"/>
              </w:rPr>
            </w:pPr>
          </w:p>
        </w:tc>
        <w:tc>
          <w:tcPr>
            <w:tcW w:w="3800" w:type="dxa"/>
            <w:vAlign w:val="bottom"/>
            <w:tcBorders>
              <w:bottom w:val="single" w:sz="8" w:color="404040"/>
            </w:tcBorders>
          </w:tcPr>
          <w:p>
            <w:pPr>
              <w:spacing w:after="0"/>
              <w:rPr>
                <w:sz w:val="19"/>
                <w:szCs w:val="19"/>
                <w:color w:val="auto"/>
              </w:rPr>
            </w:pPr>
          </w:p>
        </w:tc>
        <w:tc>
          <w:tcPr>
            <w:tcW w:w="240" w:type="dxa"/>
            <w:vAlign w:val="bottom"/>
            <w:tcBorders>
              <w:bottom w:val="single" w:sz="8" w:color="404040"/>
            </w:tcBorders>
          </w:tcPr>
          <w:p>
            <w:pPr>
              <w:spacing w:after="0"/>
              <w:rPr>
                <w:sz w:val="19"/>
                <w:szCs w:val="19"/>
                <w:color w:val="auto"/>
              </w:rPr>
            </w:pPr>
          </w:p>
        </w:tc>
        <w:tc>
          <w:tcPr>
            <w:tcW w:w="740" w:type="dxa"/>
            <w:vAlign w:val="bottom"/>
            <w:tcBorders>
              <w:bottom w:val="single" w:sz="8" w:color="404040"/>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404040"/>
            </w:tcBorders>
          </w:tcPr>
          <w:p>
            <w:pPr>
              <w:spacing w:after="0"/>
              <w:rPr>
                <w:sz w:val="19"/>
                <w:szCs w:val="19"/>
                <w:color w:val="auto"/>
              </w:rPr>
            </w:pPr>
          </w:p>
        </w:tc>
        <w:tc>
          <w:tcPr>
            <w:tcW w:w="660" w:type="dxa"/>
            <w:vAlign w:val="bottom"/>
            <w:tcBorders>
              <w:bottom w:val="single" w:sz="8" w:color="404040"/>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180" w:type="dxa"/>
            <w:vAlign w:val="bottom"/>
            <w:tcBorders>
              <w:bottom w:val="single" w:sz="8" w:color="404040"/>
            </w:tcBorders>
          </w:tcPr>
          <w:p>
            <w:pPr>
              <w:spacing w:after="0"/>
              <w:rPr>
                <w:sz w:val="19"/>
                <w:szCs w:val="19"/>
                <w:color w:val="auto"/>
              </w:rPr>
            </w:pPr>
          </w:p>
        </w:tc>
        <w:tc>
          <w:tcPr>
            <w:tcW w:w="64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404040"/>
            </w:tcBorders>
          </w:tcPr>
          <w:p>
            <w:pPr>
              <w:spacing w:after="0"/>
              <w:rPr>
                <w:sz w:val="19"/>
                <w:szCs w:val="19"/>
                <w:color w:val="auto"/>
              </w:rPr>
            </w:pPr>
          </w:p>
        </w:tc>
        <w:tc>
          <w:tcPr>
            <w:tcW w:w="7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2024</w:t>
            </w:r>
          </w:p>
        </w:tc>
      </w:tr>
      <w:tr>
        <w:trPr>
          <w:trHeight w:val="223"/>
        </w:trPr>
        <w:tc>
          <w:tcPr>
            <w:tcW w:w="660" w:type="dxa"/>
            <w:vAlign w:val="bottom"/>
          </w:tcPr>
          <w:p>
            <w:pPr>
              <w:spacing w:after="0"/>
              <w:rPr>
                <w:sz w:val="19"/>
                <w:szCs w:val="19"/>
                <w:color w:val="auto"/>
              </w:rPr>
            </w:pPr>
          </w:p>
        </w:tc>
        <w:tc>
          <w:tcPr>
            <w:tcW w:w="4680" w:type="dxa"/>
            <w:vAlign w:val="bottom"/>
            <w:tcBorders>
              <w:bottom w:val="single" w:sz="8" w:color="404040"/>
            </w:tcBorders>
            <w:gridSpan w:val="2"/>
            <w:shd w:val="clear" w:color="auto" w:fill="F1F3F7"/>
          </w:tcPr>
          <w:p>
            <w:pPr>
              <w:ind w:left="60"/>
              <w:spacing w:after="0"/>
              <w:rPr>
                <w:sz w:val="20"/>
                <w:szCs w:val="20"/>
                <w:color w:val="auto"/>
              </w:rPr>
            </w:pPr>
            <w:r>
              <w:rPr>
                <w:rFonts w:ascii="Arial" w:cs="Arial" w:eastAsia="Arial" w:hAnsi="Arial"/>
                <w:sz w:val="14"/>
                <w:szCs w:val="14"/>
                <w:b w:val="1"/>
                <w:bCs w:val="1"/>
                <w:color w:val="auto"/>
              </w:rPr>
              <w:t>Operating income (loss)</w:t>
            </w:r>
          </w:p>
        </w:tc>
        <w:tc>
          <w:tcPr>
            <w:tcW w:w="240" w:type="dxa"/>
            <w:vAlign w:val="bottom"/>
            <w:tcBorders>
              <w:bottom w:val="single" w:sz="8" w:color="404040"/>
            </w:tcBorders>
            <w:shd w:val="clear" w:color="auto" w:fill="F1F3F7"/>
          </w:tcPr>
          <w:p>
            <w:pPr>
              <w:spacing w:after="0"/>
              <w:rPr>
                <w:sz w:val="19"/>
                <w:szCs w:val="19"/>
                <w:color w:val="auto"/>
              </w:rPr>
            </w:pPr>
          </w:p>
        </w:tc>
        <w:tc>
          <w:tcPr>
            <w:tcW w:w="740" w:type="dxa"/>
            <w:vAlign w:val="bottom"/>
            <w:tcBorders>
              <w:bottom w:val="single" w:sz="8" w:color="404040"/>
            </w:tcBorders>
            <w:shd w:val="clear" w:color="auto" w:fill="F1F3F7"/>
          </w:tcPr>
          <w:p>
            <w:pPr>
              <w:spacing w:after="0"/>
              <w:rPr>
                <w:sz w:val="19"/>
                <w:szCs w:val="19"/>
                <w:color w:val="auto"/>
              </w:rPr>
            </w:pPr>
          </w:p>
        </w:tc>
        <w:tc>
          <w:tcPr>
            <w:tcW w:w="220" w:type="dxa"/>
            <w:vAlign w:val="bottom"/>
            <w:tcBorders>
              <w:bottom w:val="single" w:sz="8" w:color="404040"/>
            </w:tcBorders>
            <w:shd w:val="clear" w:color="auto" w:fill="F1F3F7"/>
          </w:tcPr>
          <w:p>
            <w:pPr>
              <w:spacing w:after="0"/>
              <w:rPr>
                <w:sz w:val="19"/>
                <w:szCs w:val="19"/>
                <w:color w:val="auto"/>
              </w:rPr>
            </w:pPr>
          </w:p>
        </w:tc>
        <w:tc>
          <w:tcPr>
            <w:tcW w:w="660" w:type="dxa"/>
            <w:vAlign w:val="bottom"/>
            <w:tcBorders>
              <w:bottom w:val="single" w:sz="8" w:color="404040"/>
            </w:tcBorders>
            <w:shd w:val="clear" w:color="auto" w:fill="F1F3F7"/>
          </w:tcPr>
          <w:p>
            <w:pPr>
              <w:spacing w:after="0"/>
              <w:rPr>
                <w:sz w:val="19"/>
                <w:szCs w:val="19"/>
                <w:color w:val="auto"/>
              </w:rPr>
            </w:pPr>
          </w:p>
        </w:tc>
        <w:tc>
          <w:tcPr>
            <w:tcW w:w="180" w:type="dxa"/>
            <w:vAlign w:val="bottom"/>
            <w:tcBorders>
              <w:bottom w:val="single" w:sz="8" w:color="404040"/>
            </w:tcBorders>
            <w:shd w:val="clear" w:color="auto" w:fill="F1F3F7"/>
          </w:tcPr>
          <w:p>
            <w:pPr>
              <w:spacing w:after="0"/>
              <w:rPr>
                <w:sz w:val="19"/>
                <w:szCs w:val="19"/>
                <w:color w:val="auto"/>
              </w:rPr>
            </w:pPr>
          </w:p>
        </w:tc>
        <w:tc>
          <w:tcPr>
            <w:tcW w:w="640" w:type="dxa"/>
            <w:vAlign w:val="bottom"/>
            <w:tcBorders>
              <w:bottom w:val="single" w:sz="8" w:color="404040"/>
            </w:tcBorders>
            <w:shd w:val="clear" w:color="auto" w:fill="F1F3F7"/>
          </w:tcPr>
          <w:p>
            <w:pPr>
              <w:spacing w:after="0"/>
              <w:rPr>
                <w:sz w:val="19"/>
                <w:szCs w:val="19"/>
                <w:color w:val="auto"/>
              </w:rPr>
            </w:pPr>
          </w:p>
        </w:tc>
        <w:tc>
          <w:tcPr>
            <w:tcW w:w="300" w:type="dxa"/>
            <w:vAlign w:val="bottom"/>
            <w:tcBorders>
              <w:bottom w:val="single" w:sz="8" w:color="404040"/>
            </w:tcBorders>
            <w:shd w:val="clear" w:color="auto" w:fill="F1F3F7"/>
          </w:tcPr>
          <w:p>
            <w:pPr>
              <w:spacing w:after="0"/>
              <w:rPr>
                <w:sz w:val="19"/>
                <w:szCs w:val="19"/>
                <w:color w:val="auto"/>
              </w:rPr>
            </w:pPr>
          </w:p>
        </w:tc>
        <w:tc>
          <w:tcPr>
            <w:tcW w:w="760" w:type="dxa"/>
            <w:vAlign w:val="bottom"/>
            <w:tcBorders>
              <w:bottom w:val="single" w:sz="8" w:color="404040"/>
            </w:tcBorders>
            <w:shd w:val="clear" w:color="auto" w:fill="F1F3F7"/>
          </w:tcPr>
          <w:p>
            <w:pPr>
              <w:spacing w:after="0"/>
              <w:rPr>
                <w:sz w:val="19"/>
                <w:szCs w:val="19"/>
                <w:color w:val="auto"/>
              </w:rPr>
            </w:pPr>
          </w:p>
        </w:tc>
      </w:tr>
      <w:tr>
        <w:trPr>
          <w:trHeight w:val="208"/>
        </w:trPr>
        <w:tc>
          <w:tcPr>
            <w:tcW w:w="660" w:type="dxa"/>
            <w:vAlign w:val="bottom"/>
          </w:tcPr>
          <w:p>
            <w:pPr>
              <w:spacing w:after="0"/>
              <w:rPr>
                <w:sz w:val="18"/>
                <w:szCs w:val="18"/>
                <w:color w:val="auto"/>
              </w:rPr>
            </w:pPr>
          </w:p>
        </w:tc>
        <w:tc>
          <w:tcPr>
            <w:tcW w:w="4680" w:type="dxa"/>
            <w:vAlign w:val="bottom"/>
            <w:gridSpan w:val="2"/>
          </w:tcPr>
          <w:p>
            <w:pPr>
              <w:ind w:left="60"/>
              <w:spacing w:after="0"/>
              <w:rPr>
                <w:sz w:val="20"/>
                <w:szCs w:val="20"/>
                <w:color w:val="auto"/>
              </w:rPr>
            </w:pPr>
            <w:r>
              <w:rPr>
                <w:rFonts w:ascii="Arial" w:cs="Arial" w:eastAsia="Arial" w:hAnsi="Arial"/>
                <w:sz w:val="14"/>
                <w:szCs w:val="14"/>
                <w:color w:val="auto"/>
              </w:rPr>
              <w:t>GAAP operating loss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(15,090)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9"/>
              </w:rPr>
              <w:t>(34,331)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(119,000)</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(167,915)</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2"/>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32,277</w:t>
            </w:r>
          </w:p>
        </w:tc>
        <w:tc>
          <w:tcPr>
            <w:tcW w:w="2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24,945</w:t>
            </w:r>
          </w:p>
        </w:tc>
        <w:tc>
          <w:tcPr>
            <w:tcW w:w="18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117,323</w:t>
            </w:r>
          </w:p>
        </w:tc>
        <w:tc>
          <w:tcPr>
            <w:tcW w:w="30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107,930</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170"/>
        </w:trPr>
        <w:tc>
          <w:tcPr>
            <w:tcW w:w="660" w:type="dxa"/>
            <w:vAlign w:val="bottom"/>
          </w:tcPr>
          <w:p>
            <w:pPr>
              <w:spacing w:after="0"/>
              <w:rPr>
                <w:sz w:val="14"/>
                <w:szCs w:val="14"/>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Amortization of capitalized stock-based compensation - cost of</w:t>
            </w:r>
          </w:p>
        </w:tc>
        <w:tc>
          <w:tcPr>
            <w:tcW w:w="24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1,662</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1,371</w:t>
            </w:r>
          </w:p>
        </w:tc>
        <w:tc>
          <w:tcPr>
            <w:tcW w:w="1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6,548</w:t>
            </w:r>
          </w:p>
        </w:tc>
        <w:tc>
          <w:tcPr>
            <w:tcW w:w="30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5,048</w:t>
            </w:r>
          </w:p>
        </w:tc>
      </w:tr>
      <w:tr>
        <w:trPr>
          <w:trHeight w:val="242"/>
        </w:trPr>
        <w:tc>
          <w:tcPr>
            <w:tcW w:w="660" w:type="dxa"/>
            <w:vAlign w:val="bottom"/>
          </w:tcPr>
          <w:p>
            <w:pPr>
              <w:spacing w:after="0"/>
              <w:rPr>
                <w:sz w:val="21"/>
                <w:szCs w:val="21"/>
                <w:color w:val="auto"/>
              </w:rPr>
            </w:pPr>
          </w:p>
        </w:tc>
        <w:tc>
          <w:tcPr>
            <w:tcW w:w="4680" w:type="dxa"/>
            <w:vAlign w:val="bottom"/>
            <w:tcBorders>
              <w:bottom w:val="single" w:sz="8" w:color="404040"/>
            </w:tcBorders>
            <w:gridSpan w:val="2"/>
          </w:tcPr>
          <w:p>
            <w:pPr>
              <w:ind w:left="200"/>
              <w:spacing w:after="0" w:line="242" w:lineRule="exact"/>
              <w:rPr>
                <w:sz w:val="20"/>
                <w:szCs w:val="20"/>
                <w:color w:val="auto"/>
              </w:rPr>
            </w:pPr>
            <w:r>
              <w:rPr>
                <w:rFonts w:ascii="Arial" w:cs="Arial" w:eastAsia="Arial" w:hAnsi="Arial"/>
                <w:sz w:val="14"/>
                <w:szCs w:val="14"/>
                <w:color w:val="auto"/>
              </w:rPr>
              <w:t>revenue</w:t>
            </w:r>
            <w:r>
              <w:rPr>
                <w:rFonts w:ascii="Arial" w:cs="Arial" w:eastAsia="Arial" w:hAnsi="Arial"/>
                <w:sz w:val="23"/>
                <w:szCs w:val="23"/>
                <w:color w:val="auto"/>
                <w:vertAlign w:val="superscript"/>
              </w:rPr>
              <w:t>(1)</w:t>
            </w:r>
          </w:p>
        </w:tc>
        <w:tc>
          <w:tcPr>
            <w:tcW w:w="240" w:type="dxa"/>
            <w:vAlign w:val="bottom"/>
            <w:tcBorders>
              <w:bottom w:val="single" w:sz="8" w:color="404040"/>
            </w:tcBorders>
          </w:tcPr>
          <w:p>
            <w:pPr>
              <w:spacing w:after="0"/>
              <w:rPr>
                <w:sz w:val="21"/>
                <w:szCs w:val="21"/>
                <w:color w:val="auto"/>
              </w:rPr>
            </w:pPr>
          </w:p>
        </w:tc>
        <w:tc>
          <w:tcPr>
            <w:tcW w:w="740" w:type="dxa"/>
            <w:vAlign w:val="bottom"/>
            <w:tcBorders>
              <w:bottom w:val="single" w:sz="8" w:color="404040"/>
            </w:tcBorders>
          </w:tcPr>
          <w:p>
            <w:pPr>
              <w:spacing w:after="0"/>
              <w:rPr>
                <w:sz w:val="21"/>
                <w:szCs w:val="21"/>
                <w:color w:val="auto"/>
              </w:rPr>
            </w:pPr>
          </w:p>
        </w:tc>
        <w:tc>
          <w:tcPr>
            <w:tcW w:w="220" w:type="dxa"/>
            <w:vAlign w:val="bottom"/>
            <w:tcBorders>
              <w:bottom w:val="single" w:sz="8" w:color="404040"/>
            </w:tcBorders>
          </w:tcPr>
          <w:p>
            <w:pPr>
              <w:spacing w:after="0"/>
              <w:rPr>
                <w:sz w:val="21"/>
                <w:szCs w:val="21"/>
                <w:color w:val="auto"/>
              </w:rPr>
            </w:pPr>
          </w:p>
        </w:tc>
        <w:tc>
          <w:tcPr>
            <w:tcW w:w="660" w:type="dxa"/>
            <w:vAlign w:val="bottom"/>
            <w:tcBorders>
              <w:bottom w:val="single" w:sz="8" w:color="404040"/>
            </w:tcBorders>
          </w:tcPr>
          <w:p>
            <w:pPr>
              <w:spacing w:after="0"/>
              <w:rPr>
                <w:sz w:val="21"/>
                <w:szCs w:val="21"/>
                <w:color w:val="auto"/>
              </w:rPr>
            </w:pPr>
          </w:p>
        </w:tc>
        <w:tc>
          <w:tcPr>
            <w:tcW w:w="180" w:type="dxa"/>
            <w:vAlign w:val="bottom"/>
            <w:tcBorders>
              <w:bottom w:val="single" w:sz="8" w:color="404040"/>
            </w:tcBorders>
          </w:tcPr>
          <w:p>
            <w:pPr>
              <w:spacing w:after="0"/>
              <w:rPr>
                <w:sz w:val="21"/>
                <w:szCs w:val="21"/>
                <w:color w:val="auto"/>
              </w:rPr>
            </w:pPr>
          </w:p>
        </w:tc>
        <w:tc>
          <w:tcPr>
            <w:tcW w:w="640" w:type="dxa"/>
            <w:vAlign w:val="bottom"/>
            <w:tcBorders>
              <w:bottom w:val="single" w:sz="8" w:color="404040"/>
            </w:tcBorders>
          </w:tcPr>
          <w:p>
            <w:pPr>
              <w:spacing w:after="0"/>
              <w:rPr>
                <w:sz w:val="21"/>
                <w:szCs w:val="21"/>
                <w:color w:val="auto"/>
              </w:rPr>
            </w:pPr>
          </w:p>
        </w:tc>
        <w:tc>
          <w:tcPr>
            <w:tcW w:w="300" w:type="dxa"/>
            <w:vAlign w:val="bottom"/>
            <w:tcBorders>
              <w:bottom w:val="single" w:sz="8" w:color="404040"/>
            </w:tcBorders>
          </w:tcPr>
          <w:p>
            <w:pPr>
              <w:spacing w:after="0"/>
              <w:rPr>
                <w:sz w:val="21"/>
                <w:szCs w:val="21"/>
                <w:color w:val="auto"/>
              </w:rPr>
            </w:pPr>
          </w:p>
        </w:tc>
        <w:tc>
          <w:tcPr>
            <w:tcW w:w="760" w:type="dxa"/>
            <w:vAlign w:val="bottom"/>
            <w:tcBorders>
              <w:bottom w:val="single" w:sz="8" w:color="404040"/>
            </w:tcBorders>
          </w:tcPr>
          <w:p>
            <w:pPr>
              <w:spacing w:after="0"/>
              <w:rPr>
                <w:sz w:val="21"/>
                <w:szCs w:val="21"/>
                <w:color w:val="auto"/>
              </w:rPr>
            </w:pPr>
          </w:p>
        </w:tc>
      </w:tr>
      <w:tr>
        <w:trPr>
          <w:trHeight w:val="202"/>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Restructuring charges</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9,720</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2"/>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Executive transition costs</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221</w:t>
            </w:r>
          </w:p>
        </w:tc>
        <w:tc>
          <w:tcPr>
            <w:tcW w:w="2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1,525</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1"/>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2,159</w:t>
            </w:r>
          </w:p>
        </w:tc>
        <w:tc>
          <w:tcPr>
            <w:tcW w:w="22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4,774</w:t>
            </w:r>
          </w:p>
        </w:tc>
        <w:tc>
          <w:tcPr>
            <w:tcW w:w="1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16,323</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19,100</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2"/>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Gain on modification of lease</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(736)</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1"/>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Impairment expense</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448</w:t>
            </w:r>
          </w:p>
        </w:tc>
        <w:tc>
          <w:tcPr>
            <w:tcW w:w="18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415</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4,144</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17"/>
        </w:trPr>
        <w:tc>
          <w:tcPr>
            <w:tcW w:w="660" w:type="dxa"/>
            <w:vAlign w:val="bottom"/>
          </w:tcPr>
          <w:p>
            <w:pPr>
              <w:spacing w:after="0"/>
              <w:rPr>
                <w:sz w:val="18"/>
                <w:szCs w:val="18"/>
                <w:color w:val="auto"/>
              </w:rPr>
            </w:pPr>
          </w:p>
        </w:tc>
        <w:tc>
          <w:tcPr>
            <w:tcW w:w="4680" w:type="dxa"/>
            <w:vAlign w:val="bottom"/>
            <w:gridSpan w:val="2"/>
          </w:tcPr>
          <w:p>
            <w:pPr>
              <w:ind w:left="60"/>
              <w:spacing w:after="0"/>
              <w:rPr>
                <w:sz w:val="20"/>
                <w:szCs w:val="20"/>
                <w:color w:val="auto"/>
              </w:rPr>
            </w:pPr>
            <w:r>
              <w:rPr>
                <w:rFonts w:ascii="Arial" w:cs="Arial" w:eastAsia="Arial" w:hAnsi="Arial"/>
                <w:sz w:val="14"/>
                <w:szCs w:val="14"/>
                <w:b w:val="1"/>
                <w:bCs w:val="1"/>
                <w:color w:val="auto"/>
              </w:rPr>
              <w:t>Non-GAAP operating income (loss)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21,229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(2,793)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22,398</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(21,973)</w:t>
            </w:r>
          </w:p>
        </w:tc>
      </w:tr>
      <w:tr>
        <w:trPr>
          <w:trHeight w:val="27"/>
        </w:trPr>
        <w:tc>
          <w:tcPr>
            <w:tcW w:w="660" w:type="dxa"/>
            <w:vAlign w:val="bottom"/>
          </w:tcPr>
          <w:p>
            <w:pPr>
              <w:spacing w:after="0"/>
              <w:rPr>
                <w:sz w:val="2"/>
                <w:szCs w:val="2"/>
                <w:color w:val="auto"/>
              </w:rPr>
            </w:pPr>
          </w:p>
        </w:tc>
        <w:tc>
          <w:tcPr>
            <w:tcW w:w="880" w:type="dxa"/>
            <w:vAlign w:val="bottom"/>
            <w:tcBorders>
              <w:bottom w:val="single" w:sz="8" w:color="404040"/>
            </w:tcBorders>
          </w:tcPr>
          <w:p>
            <w:pPr>
              <w:spacing w:after="0"/>
              <w:rPr>
                <w:sz w:val="2"/>
                <w:szCs w:val="2"/>
                <w:color w:val="auto"/>
              </w:rPr>
            </w:pPr>
          </w:p>
        </w:tc>
        <w:tc>
          <w:tcPr>
            <w:tcW w:w="3800" w:type="dxa"/>
            <w:vAlign w:val="bottom"/>
            <w:tcBorders>
              <w:bottom w:val="single" w:sz="8" w:color="404040"/>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2"/>
        </w:trPr>
        <w:tc>
          <w:tcPr>
            <w:tcW w:w="660" w:type="dxa"/>
            <w:vAlign w:val="bottom"/>
          </w:tcPr>
          <w:p>
            <w:pPr>
              <w:spacing w:after="0"/>
              <w:rPr>
                <w:sz w:val="17"/>
                <w:szCs w:val="17"/>
                <w:color w:val="auto"/>
              </w:rPr>
            </w:pPr>
          </w:p>
        </w:tc>
        <w:tc>
          <w:tcPr>
            <w:tcW w:w="468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17"/>
        </w:trPr>
        <w:tc>
          <w:tcPr>
            <w:tcW w:w="660" w:type="dxa"/>
            <w:vAlign w:val="bottom"/>
          </w:tcPr>
          <w:p>
            <w:pPr>
              <w:spacing w:after="0"/>
              <w:rPr>
                <w:sz w:val="18"/>
                <w:szCs w:val="18"/>
                <w:color w:val="auto"/>
              </w:rPr>
            </w:pPr>
          </w:p>
        </w:tc>
        <w:tc>
          <w:tcPr>
            <w:tcW w:w="4680" w:type="dxa"/>
            <w:vAlign w:val="bottom"/>
            <w:tcBorders>
              <w:bottom w:val="single" w:sz="8" w:color="404040"/>
            </w:tcBorders>
            <w:gridSpan w:val="2"/>
            <w:shd w:val="clear" w:color="auto" w:fill="F1F3F7"/>
          </w:tcPr>
          <w:p>
            <w:pPr>
              <w:ind w:left="6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404040"/>
            </w:tcBorders>
            <w:shd w:val="clear" w:color="auto" w:fill="F1F3F7"/>
          </w:tcPr>
          <w:p>
            <w:pPr>
              <w:spacing w:after="0"/>
              <w:rPr>
                <w:sz w:val="18"/>
                <w:szCs w:val="18"/>
                <w:color w:val="auto"/>
              </w:rPr>
            </w:pPr>
          </w:p>
        </w:tc>
        <w:tc>
          <w:tcPr>
            <w:tcW w:w="740" w:type="dxa"/>
            <w:vAlign w:val="bottom"/>
            <w:tcBorders>
              <w:bottom w:val="single" w:sz="8" w:color="404040"/>
            </w:tcBorders>
            <w:shd w:val="clear" w:color="auto" w:fill="F1F3F7"/>
          </w:tcPr>
          <w:p>
            <w:pPr>
              <w:spacing w:after="0"/>
              <w:rPr>
                <w:sz w:val="18"/>
                <w:szCs w:val="18"/>
                <w:color w:val="auto"/>
              </w:rPr>
            </w:pPr>
          </w:p>
        </w:tc>
        <w:tc>
          <w:tcPr>
            <w:tcW w:w="220" w:type="dxa"/>
            <w:vAlign w:val="bottom"/>
            <w:tcBorders>
              <w:bottom w:val="single" w:sz="8" w:color="404040"/>
            </w:tcBorders>
            <w:shd w:val="clear" w:color="auto" w:fill="F1F3F7"/>
          </w:tcPr>
          <w:p>
            <w:pPr>
              <w:spacing w:after="0"/>
              <w:rPr>
                <w:sz w:val="18"/>
                <w:szCs w:val="18"/>
                <w:color w:val="auto"/>
              </w:rPr>
            </w:pPr>
          </w:p>
        </w:tc>
        <w:tc>
          <w:tcPr>
            <w:tcW w:w="660" w:type="dxa"/>
            <w:vAlign w:val="bottom"/>
            <w:tcBorders>
              <w:bottom w:val="single" w:sz="8" w:color="404040"/>
            </w:tcBorders>
            <w:shd w:val="clear" w:color="auto" w:fill="F1F3F7"/>
          </w:tcPr>
          <w:p>
            <w:pPr>
              <w:spacing w:after="0"/>
              <w:rPr>
                <w:sz w:val="18"/>
                <w:szCs w:val="18"/>
                <w:color w:val="auto"/>
              </w:rPr>
            </w:pPr>
          </w:p>
        </w:tc>
        <w:tc>
          <w:tcPr>
            <w:tcW w:w="180" w:type="dxa"/>
            <w:vAlign w:val="bottom"/>
            <w:tcBorders>
              <w:bottom w:val="single" w:sz="8" w:color="404040"/>
            </w:tcBorders>
            <w:shd w:val="clear" w:color="auto" w:fill="F1F3F7"/>
          </w:tcPr>
          <w:p>
            <w:pPr>
              <w:spacing w:after="0"/>
              <w:rPr>
                <w:sz w:val="18"/>
                <w:szCs w:val="18"/>
                <w:color w:val="auto"/>
              </w:rPr>
            </w:pPr>
          </w:p>
        </w:tc>
        <w:tc>
          <w:tcPr>
            <w:tcW w:w="640" w:type="dxa"/>
            <w:vAlign w:val="bottom"/>
            <w:tcBorders>
              <w:bottom w:val="single" w:sz="8" w:color="404040"/>
            </w:tcBorders>
            <w:shd w:val="clear" w:color="auto" w:fill="F1F3F7"/>
          </w:tcPr>
          <w:p>
            <w:pPr>
              <w:spacing w:after="0"/>
              <w:rPr>
                <w:sz w:val="18"/>
                <w:szCs w:val="18"/>
                <w:color w:val="auto"/>
              </w:rPr>
            </w:pPr>
          </w:p>
        </w:tc>
        <w:tc>
          <w:tcPr>
            <w:tcW w:w="300" w:type="dxa"/>
            <w:vAlign w:val="bottom"/>
            <w:tcBorders>
              <w:bottom w:val="single" w:sz="8" w:color="404040"/>
            </w:tcBorders>
            <w:shd w:val="clear" w:color="auto" w:fill="F1F3F7"/>
          </w:tcPr>
          <w:p>
            <w:pPr>
              <w:spacing w:after="0"/>
              <w:rPr>
                <w:sz w:val="18"/>
                <w:szCs w:val="18"/>
                <w:color w:val="auto"/>
              </w:rPr>
            </w:pPr>
          </w:p>
        </w:tc>
        <w:tc>
          <w:tcPr>
            <w:tcW w:w="760" w:type="dxa"/>
            <w:vAlign w:val="bottom"/>
            <w:tcBorders>
              <w:bottom w:val="single" w:sz="8" w:color="404040"/>
            </w:tcBorders>
            <w:shd w:val="clear" w:color="auto" w:fill="F1F3F7"/>
          </w:tcPr>
          <w:p>
            <w:pPr>
              <w:spacing w:after="0"/>
              <w:rPr>
                <w:sz w:val="18"/>
                <w:szCs w:val="18"/>
                <w:color w:val="auto"/>
              </w:rPr>
            </w:pPr>
          </w:p>
        </w:tc>
      </w:tr>
      <w:tr>
        <w:trPr>
          <w:trHeight w:val="208"/>
        </w:trPr>
        <w:tc>
          <w:tcPr>
            <w:tcW w:w="660" w:type="dxa"/>
            <w:vAlign w:val="bottom"/>
          </w:tcPr>
          <w:p>
            <w:pPr>
              <w:spacing w:after="0"/>
              <w:rPr>
                <w:sz w:val="18"/>
                <w:szCs w:val="18"/>
                <w:color w:val="auto"/>
              </w:rPr>
            </w:pPr>
          </w:p>
        </w:tc>
        <w:tc>
          <w:tcPr>
            <w:tcW w:w="4680" w:type="dxa"/>
            <w:vAlign w:val="bottom"/>
            <w:gridSpan w:val="2"/>
          </w:tcPr>
          <w:p>
            <w:pPr>
              <w:ind w:left="60"/>
              <w:spacing w:after="0"/>
              <w:rPr>
                <w:sz w:val="20"/>
                <w:szCs w:val="20"/>
                <w:color w:val="auto"/>
              </w:rPr>
            </w:pPr>
            <w:r>
              <w:rPr>
                <w:rFonts w:ascii="Arial" w:cs="Arial" w:eastAsia="Arial" w:hAnsi="Arial"/>
                <w:sz w:val="14"/>
                <w:szCs w:val="14"/>
                <w:color w:val="auto"/>
              </w:rPr>
              <w:t>GAAP net loss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(15,505)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48"/>
              <w:spacing w:after="0"/>
              <w:rPr>
                <w:sz w:val="20"/>
                <w:szCs w:val="20"/>
                <w:color w:val="auto"/>
              </w:rPr>
            </w:pPr>
            <w:r>
              <w:rPr>
                <w:rFonts w:ascii="Arial" w:cs="Arial" w:eastAsia="Arial" w:hAnsi="Arial"/>
                <w:sz w:val="14"/>
                <w:szCs w:val="14"/>
                <w:color w:val="auto"/>
                <w:w w:val="99"/>
              </w:rPr>
              <w:t>(32,886)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$(121,677)</w:t>
            </w:r>
          </w:p>
        </w:tc>
        <w:tc>
          <w:tcPr>
            <w:tcW w:w="1060" w:type="dxa"/>
            <w:vAlign w:val="bottom"/>
            <w:gridSpan w:val="2"/>
          </w:tcPr>
          <w:p>
            <w:pPr>
              <w:jc w:val="right"/>
              <w:ind w:right="88"/>
              <w:spacing w:after="0"/>
              <w:rPr>
                <w:sz w:val="20"/>
                <w:szCs w:val="20"/>
                <w:color w:val="auto"/>
              </w:rPr>
            </w:pPr>
            <w:r>
              <w:rPr>
                <w:rFonts w:ascii="Arial" w:cs="Arial" w:eastAsia="Arial" w:hAnsi="Arial"/>
                <w:sz w:val="14"/>
                <w:szCs w:val="14"/>
                <w:color w:val="auto"/>
              </w:rPr>
              <w:t>$(158,058)</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2"/>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Stock-based compensation</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32,277</w:t>
            </w:r>
          </w:p>
        </w:tc>
        <w:tc>
          <w:tcPr>
            <w:tcW w:w="2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24,945</w:t>
            </w:r>
          </w:p>
        </w:tc>
        <w:tc>
          <w:tcPr>
            <w:tcW w:w="18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117,323</w:t>
            </w:r>
          </w:p>
        </w:tc>
        <w:tc>
          <w:tcPr>
            <w:tcW w:w="30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107,930</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170"/>
        </w:trPr>
        <w:tc>
          <w:tcPr>
            <w:tcW w:w="660" w:type="dxa"/>
            <w:vAlign w:val="bottom"/>
          </w:tcPr>
          <w:p>
            <w:pPr>
              <w:spacing w:after="0"/>
              <w:rPr>
                <w:sz w:val="14"/>
                <w:szCs w:val="14"/>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Amortization of capitalized stock-based compensation - cost of</w:t>
            </w:r>
          </w:p>
        </w:tc>
        <w:tc>
          <w:tcPr>
            <w:tcW w:w="24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1,662</w:t>
            </w:r>
          </w:p>
        </w:tc>
        <w:tc>
          <w:tcPr>
            <w:tcW w:w="22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1,371</w:t>
            </w:r>
          </w:p>
        </w:tc>
        <w:tc>
          <w:tcPr>
            <w:tcW w:w="1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6,548</w:t>
            </w:r>
          </w:p>
        </w:tc>
        <w:tc>
          <w:tcPr>
            <w:tcW w:w="30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5,048</w:t>
            </w:r>
          </w:p>
        </w:tc>
      </w:tr>
      <w:tr>
        <w:trPr>
          <w:trHeight w:val="242"/>
        </w:trPr>
        <w:tc>
          <w:tcPr>
            <w:tcW w:w="660" w:type="dxa"/>
            <w:vAlign w:val="bottom"/>
          </w:tcPr>
          <w:p>
            <w:pPr>
              <w:spacing w:after="0"/>
              <w:rPr>
                <w:sz w:val="21"/>
                <w:szCs w:val="21"/>
                <w:color w:val="auto"/>
              </w:rPr>
            </w:pPr>
          </w:p>
        </w:tc>
        <w:tc>
          <w:tcPr>
            <w:tcW w:w="4680" w:type="dxa"/>
            <w:vAlign w:val="bottom"/>
            <w:tcBorders>
              <w:bottom w:val="single" w:sz="8" w:color="404040"/>
            </w:tcBorders>
            <w:gridSpan w:val="2"/>
          </w:tcPr>
          <w:p>
            <w:pPr>
              <w:ind w:left="200"/>
              <w:spacing w:after="0" w:line="242" w:lineRule="exact"/>
              <w:rPr>
                <w:sz w:val="20"/>
                <w:szCs w:val="20"/>
                <w:color w:val="auto"/>
              </w:rPr>
            </w:pPr>
            <w:r>
              <w:rPr>
                <w:rFonts w:ascii="Arial" w:cs="Arial" w:eastAsia="Arial" w:hAnsi="Arial"/>
                <w:sz w:val="14"/>
                <w:szCs w:val="14"/>
                <w:color w:val="auto"/>
              </w:rPr>
              <w:t>revenue</w:t>
            </w:r>
            <w:r>
              <w:rPr>
                <w:rFonts w:ascii="Arial" w:cs="Arial" w:eastAsia="Arial" w:hAnsi="Arial"/>
                <w:sz w:val="23"/>
                <w:szCs w:val="23"/>
                <w:color w:val="auto"/>
                <w:vertAlign w:val="superscript"/>
              </w:rPr>
              <w:t>(1)</w:t>
            </w:r>
          </w:p>
        </w:tc>
        <w:tc>
          <w:tcPr>
            <w:tcW w:w="240" w:type="dxa"/>
            <w:vAlign w:val="bottom"/>
            <w:tcBorders>
              <w:bottom w:val="single" w:sz="8" w:color="404040"/>
            </w:tcBorders>
          </w:tcPr>
          <w:p>
            <w:pPr>
              <w:spacing w:after="0"/>
              <w:rPr>
                <w:sz w:val="21"/>
                <w:szCs w:val="21"/>
                <w:color w:val="auto"/>
              </w:rPr>
            </w:pPr>
          </w:p>
        </w:tc>
        <w:tc>
          <w:tcPr>
            <w:tcW w:w="740" w:type="dxa"/>
            <w:vAlign w:val="bottom"/>
            <w:tcBorders>
              <w:bottom w:val="single" w:sz="8" w:color="404040"/>
            </w:tcBorders>
          </w:tcPr>
          <w:p>
            <w:pPr>
              <w:spacing w:after="0"/>
              <w:rPr>
                <w:sz w:val="21"/>
                <w:szCs w:val="21"/>
                <w:color w:val="auto"/>
              </w:rPr>
            </w:pPr>
          </w:p>
        </w:tc>
        <w:tc>
          <w:tcPr>
            <w:tcW w:w="220" w:type="dxa"/>
            <w:vAlign w:val="bottom"/>
            <w:tcBorders>
              <w:bottom w:val="single" w:sz="8" w:color="404040"/>
            </w:tcBorders>
          </w:tcPr>
          <w:p>
            <w:pPr>
              <w:spacing w:after="0"/>
              <w:rPr>
                <w:sz w:val="21"/>
                <w:szCs w:val="21"/>
                <w:color w:val="auto"/>
              </w:rPr>
            </w:pPr>
          </w:p>
        </w:tc>
        <w:tc>
          <w:tcPr>
            <w:tcW w:w="660" w:type="dxa"/>
            <w:vAlign w:val="bottom"/>
            <w:tcBorders>
              <w:bottom w:val="single" w:sz="8" w:color="404040"/>
            </w:tcBorders>
          </w:tcPr>
          <w:p>
            <w:pPr>
              <w:spacing w:after="0"/>
              <w:rPr>
                <w:sz w:val="21"/>
                <w:szCs w:val="21"/>
                <w:color w:val="auto"/>
              </w:rPr>
            </w:pPr>
          </w:p>
        </w:tc>
        <w:tc>
          <w:tcPr>
            <w:tcW w:w="180" w:type="dxa"/>
            <w:vAlign w:val="bottom"/>
            <w:tcBorders>
              <w:bottom w:val="single" w:sz="8" w:color="404040"/>
            </w:tcBorders>
          </w:tcPr>
          <w:p>
            <w:pPr>
              <w:spacing w:after="0"/>
              <w:rPr>
                <w:sz w:val="21"/>
                <w:szCs w:val="21"/>
                <w:color w:val="auto"/>
              </w:rPr>
            </w:pPr>
          </w:p>
        </w:tc>
        <w:tc>
          <w:tcPr>
            <w:tcW w:w="640" w:type="dxa"/>
            <w:vAlign w:val="bottom"/>
            <w:tcBorders>
              <w:bottom w:val="single" w:sz="8" w:color="404040"/>
            </w:tcBorders>
          </w:tcPr>
          <w:p>
            <w:pPr>
              <w:spacing w:after="0"/>
              <w:rPr>
                <w:sz w:val="21"/>
                <w:szCs w:val="21"/>
                <w:color w:val="auto"/>
              </w:rPr>
            </w:pPr>
          </w:p>
        </w:tc>
        <w:tc>
          <w:tcPr>
            <w:tcW w:w="300" w:type="dxa"/>
            <w:vAlign w:val="bottom"/>
            <w:tcBorders>
              <w:bottom w:val="single" w:sz="8" w:color="404040"/>
            </w:tcBorders>
          </w:tcPr>
          <w:p>
            <w:pPr>
              <w:spacing w:after="0"/>
              <w:rPr>
                <w:sz w:val="21"/>
                <w:szCs w:val="21"/>
                <w:color w:val="auto"/>
              </w:rPr>
            </w:pPr>
          </w:p>
        </w:tc>
        <w:tc>
          <w:tcPr>
            <w:tcW w:w="760" w:type="dxa"/>
            <w:vAlign w:val="bottom"/>
            <w:tcBorders>
              <w:bottom w:val="single" w:sz="8" w:color="404040"/>
            </w:tcBorders>
          </w:tcPr>
          <w:p>
            <w:pPr>
              <w:spacing w:after="0"/>
              <w:rPr>
                <w:sz w:val="21"/>
                <w:szCs w:val="21"/>
                <w:color w:val="auto"/>
              </w:rPr>
            </w:pPr>
          </w:p>
        </w:tc>
      </w:tr>
      <w:tr>
        <w:trPr>
          <w:trHeight w:val="202"/>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Restructuring charges</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9,720</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1"/>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Executive transition costs</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221</w:t>
            </w:r>
          </w:p>
        </w:tc>
        <w:tc>
          <w:tcPr>
            <w:tcW w:w="2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1,525</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2"/>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Gain on modification of lease</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(736)</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1"/>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2,159</w:t>
            </w:r>
          </w:p>
        </w:tc>
        <w:tc>
          <w:tcPr>
            <w:tcW w:w="22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4,774</w:t>
            </w:r>
          </w:p>
        </w:tc>
        <w:tc>
          <w:tcPr>
            <w:tcW w:w="1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16,323</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19,100</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2"/>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Net gain on extinguishment of debt</w:t>
            </w:r>
          </w:p>
        </w:tc>
        <w:tc>
          <w:tcPr>
            <w:tcW w:w="24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(941)</w:t>
            </w:r>
          </w:p>
        </w:tc>
        <w:tc>
          <w:tcPr>
            <w:tcW w:w="22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(1,365)</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(941)</w:t>
            </w:r>
          </w:p>
        </w:tc>
        <w:tc>
          <w:tcPr>
            <w:tcW w:w="30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(1,365)</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1"/>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Impairment expense</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448</w:t>
            </w:r>
          </w:p>
        </w:tc>
        <w:tc>
          <w:tcPr>
            <w:tcW w:w="18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415</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4,144</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1"/>
        </w:trPr>
        <w:tc>
          <w:tcPr>
            <w:tcW w:w="660" w:type="dxa"/>
            <w:vAlign w:val="bottom"/>
          </w:tcPr>
          <w:p>
            <w:pPr>
              <w:spacing w:after="0"/>
              <w:rPr>
                <w:sz w:val="17"/>
                <w:szCs w:val="17"/>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Amortization of debt discount and issuance costs</w:t>
            </w:r>
          </w:p>
        </w:tc>
        <w:tc>
          <w:tcPr>
            <w:tcW w:w="240" w:type="dxa"/>
            <w:vAlign w:val="bottom"/>
          </w:tcPr>
          <w:p>
            <w:pPr>
              <w:spacing w:after="0"/>
              <w:rPr>
                <w:sz w:val="17"/>
                <w:szCs w:val="17"/>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color w:val="auto"/>
              </w:rPr>
              <w:t>257</w:t>
            </w:r>
          </w:p>
        </w:tc>
        <w:tc>
          <w:tcPr>
            <w:tcW w:w="22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318</w:t>
            </w:r>
          </w:p>
        </w:tc>
        <w:tc>
          <w:tcPr>
            <w:tcW w:w="18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907</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1,379</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17"/>
        </w:trPr>
        <w:tc>
          <w:tcPr>
            <w:tcW w:w="660" w:type="dxa"/>
            <w:vAlign w:val="bottom"/>
          </w:tcPr>
          <w:p>
            <w:pPr>
              <w:spacing w:after="0"/>
              <w:rPr>
                <w:sz w:val="18"/>
                <w:szCs w:val="18"/>
                <w:color w:val="auto"/>
              </w:rPr>
            </w:pPr>
          </w:p>
        </w:tc>
        <w:tc>
          <w:tcPr>
            <w:tcW w:w="4680" w:type="dxa"/>
            <w:vAlign w:val="bottom"/>
            <w:gridSpan w:val="2"/>
          </w:tcPr>
          <w:p>
            <w:pPr>
              <w:ind w:left="60"/>
              <w:spacing w:after="0"/>
              <w:rPr>
                <w:sz w:val="20"/>
                <w:szCs w:val="20"/>
                <w:color w:val="auto"/>
              </w:rPr>
            </w:pPr>
            <w:r>
              <w:rPr>
                <w:rFonts w:ascii="Arial" w:cs="Arial" w:eastAsia="Arial" w:hAnsi="Arial"/>
                <w:sz w:val="14"/>
                <w:szCs w:val="14"/>
                <w:b w:val="1"/>
                <w:bCs w:val="1"/>
                <w:color w:val="auto"/>
              </w:rPr>
              <w:t>Non-GAAP net income (loss)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(2,395)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19,687</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(12,102)</w:t>
            </w:r>
          </w:p>
        </w:tc>
      </w:tr>
      <w:tr>
        <w:trPr>
          <w:trHeight w:val="27"/>
        </w:trPr>
        <w:tc>
          <w:tcPr>
            <w:tcW w:w="660" w:type="dxa"/>
            <w:vAlign w:val="bottom"/>
          </w:tcPr>
          <w:p>
            <w:pPr>
              <w:spacing w:after="0"/>
              <w:rPr>
                <w:sz w:val="2"/>
                <w:szCs w:val="2"/>
                <w:color w:val="auto"/>
              </w:rPr>
            </w:pPr>
          </w:p>
        </w:tc>
        <w:tc>
          <w:tcPr>
            <w:tcW w:w="880" w:type="dxa"/>
            <w:vAlign w:val="bottom"/>
            <w:tcBorders>
              <w:bottom w:val="single" w:sz="8" w:color="404040"/>
            </w:tcBorders>
          </w:tcPr>
          <w:p>
            <w:pPr>
              <w:spacing w:after="0"/>
              <w:rPr>
                <w:sz w:val="2"/>
                <w:szCs w:val="2"/>
                <w:color w:val="auto"/>
              </w:rPr>
            </w:pPr>
          </w:p>
        </w:tc>
        <w:tc>
          <w:tcPr>
            <w:tcW w:w="3800" w:type="dxa"/>
            <w:vAlign w:val="bottom"/>
            <w:tcBorders>
              <w:bottom w:val="single" w:sz="8" w:color="404040"/>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1"/>
        </w:trPr>
        <w:tc>
          <w:tcPr>
            <w:tcW w:w="660" w:type="dxa"/>
            <w:vAlign w:val="bottom"/>
          </w:tcPr>
          <w:p>
            <w:pPr>
              <w:spacing w:after="0"/>
              <w:rPr>
                <w:sz w:val="17"/>
                <w:szCs w:val="17"/>
                <w:color w:val="auto"/>
              </w:rPr>
            </w:pPr>
          </w:p>
        </w:tc>
        <w:tc>
          <w:tcPr>
            <w:tcW w:w="4680" w:type="dxa"/>
            <w:vAlign w:val="bottom"/>
            <w:gridSpan w:val="2"/>
          </w:tcPr>
          <w:p>
            <w:pPr>
              <w:ind w:left="60"/>
              <w:spacing w:after="0"/>
              <w:rPr>
                <w:sz w:val="20"/>
                <w:szCs w:val="20"/>
                <w:color w:val="auto"/>
              </w:rPr>
            </w:pPr>
            <w:r>
              <w:rPr>
                <w:rFonts w:ascii="Arial" w:cs="Arial" w:eastAsia="Arial" w:hAnsi="Arial"/>
                <w:sz w:val="14"/>
                <w:szCs w:val="14"/>
                <w:color w:val="auto"/>
              </w:rPr>
              <w:t> </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80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22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18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4680" w:type="dxa"/>
            <w:vAlign w:val="bottom"/>
            <w:tcBorders>
              <w:bottom w:val="single" w:sz="8" w:color="404040"/>
            </w:tcBorders>
            <w:gridSpan w:val="2"/>
          </w:tcPr>
          <w:p>
            <w:pPr>
              <w:ind w:left="60"/>
              <w:spacing w:after="0"/>
              <w:rPr>
                <w:sz w:val="20"/>
                <w:szCs w:val="20"/>
                <w:color w:val="auto"/>
              </w:rPr>
            </w:pPr>
            <w:r>
              <w:rPr>
                <w:rFonts w:ascii="Arial" w:cs="Arial" w:eastAsia="Arial" w:hAnsi="Arial"/>
                <w:sz w:val="14"/>
                <w:szCs w:val="14"/>
                <w:b w:val="1"/>
                <w:bCs w:val="1"/>
                <w:color w:val="auto"/>
              </w:rPr>
              <w:t>Non-GAAP net income (loss) per common share — basic</w:t>
            </w:r>
          </w:p>
        </w:tc>
        <w:tc>
          <w:tcPr>
            <w:tcW w:w="24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b w:val="1"/>
                <w:bCs w:val="1"/>
                <w:color w:val="auto"/>
              </w:rPr>
              <w:t>0.13</w:t>
            </w:r>
          </w:p>
        </w:tc>
        <w:tc>
          <w:tcPr>
            <w:tcW w:w="22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404040"/>
            </w:tcBorders>
          </w:tcPr>
          <w:p>
            <w:pPr>
              <w:jc w:val="right"/>
              <w:ind w:right="108"/>
              <w:spacing w:after="0"/>
              <w:rPr>
                <w:sz w:val="20"/>
                <w:szCs w:val="20"/>
                <w:color w:val="auto"/>
              </w:rPr>
            </w:pPr>
            <w:r>
              <w:rPr>
                <w:rFonts w:ascii="Arial" w:cs="Arial" w:eastAsia="Arial" w:hAnsi="Arial"/>
                <w:sz w:val="14"/>
                <w:szCs w:val="14"/>
                <w:b w:val="1"/>
                <w:bCs w:val="1"/>
                <w:color w:val="auto"/>
              </w:rPr>
              <w:t>(0.02)</w:t>
            </w:r>
          </w:p>
        </w:tc>
        <w:tc>
          <w:tcPr>
            <w:tcW w:w="18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404040"/>
            </w:tcBorders>
          </w:tcPr>
          <w:p>
            <w:pPr>
              <w:jc w:val="right"/>
              <w:ind w:right="28"/>
              <w:spacing w:after="0"/>
              <w:rPr>
                <w:sz w:val="20"/>
                <w:szCs w:val="20"/>
                <w:color w:val="auto"/>
              </w:rPr>
            </w:pPr>
            <w:r>
              <w:rPr>
                <w:rFonts w:ascii="Arial" w:cs="Arial" w:eastAsia="Arial" w:hAnsi="Arial"/>
                <w:sz w:val="14"/>
                <w:szCs w:val="14"/>
                <w:b w:val="1"/>
                <w:bCs w:val="1"/>
                <w:color w:val="auto"/>
              </w:rPr>
              <w:t>0.13</w:t>
            </w:r>
          </w:p>
        </w:tc>
        <w:tc>
          <w:tcPr>
            <w:tcW w:w="30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b w:val="1"/>
                <w:bCs w:val="1"/>
                <w:color w:val="auto"/>
              </w:rPr>
              <w:t>(0.09)</w:t>
            </w:r>
          </w:p>
        </w:tc>
      </w:tr>
      <w:tr>
        <w:trPr>
          <w:trHeight w:val="223"/>
        </w:trPr>
        <w:tc>
          <w:tcPr>
            <w:tcW w:w="660" w:type="dxa"/>
            <w:vAlign w:val="bottom"/>
          </w:tcPr>
          <w:p>
            <w:pPr>
              <w:spacing w:after="0"/>
              <w:rPr>
                <w:sz w:val="19"/>
                <w:szCs w:val="19"/>
                <w:color w:val="auto"/>
              </w:rPr>
            </w:pPr>
          </w:p>
        </w:tc>
        <w:tc>
          <w:tcPr>
            <w:tcW w:w="4680" w:type="dxa"/>
            <w:vAlign w:val="bottom"/>
            <w:tcBorders>
              <w:bottom w:val="single" w:sz="8" w:color="404040"/>
            </w:tcBorders>
            <w:gridSpan w:val="2"/>
          </w:tcPr>
          <w:p>
            <w:pPr>
              <w:ind w:left="60"/>
              <w:spacing w:after="0"/>
              <w:rPr>
                <w:sz w:val="20"/>
                <w:szCs w:val="20"/>
                <w:color w:val="auto"/>
              </w:rPr>
            </w:pPr>
            <w:r>
              <w:rPr>
                <w:rFonts w:ascii="Arial" w:cs="Arial" w:eastAsia="Arial" w:hAnsi="Arial"/>
                <w:sz w:val="14"/>
                <w:szCs w:val="14"/>
                <w:b w:val="1"/>
                <w:bCs w:val="1"/>
                <w:color w:val="auto"/>
              </w:rPr>
              <w:t>Non-GAAP net income (loss) per common share — diluted</w:t>
            </w:r>
          </w:p>
        </w:tc>
        <w:tc>
          <w:tcPr>
            <w:tcW w:w="24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404040"/>
            </w:tcBorders>
          </w:tcPr>
          <w:p>
            <w:pPr>
              <w:jc w:val="right"/>
              <w:ind w:right="128"/>
              <w:spacing w:after="0"/>
              <w:rPr>
                <w:sz w:val="20"/>
                <w:szCs w:val="20"/>
                <w:color w:val="auto"/>
              </w:rPr>
            </w:pPr>
            <w:r>
              <w:rPr>
                <w:rFonts w:ascii="Arial" w:cs="Arial" w:eastAsia="Arial" w:hAnsi="Arial"/>
                <w:sz w:val="14"/>
                <w:szCs w:val="14"/>
                <w:b w:val="1"/>
                <w:bCs w:val="1"/>
                <w:color w:val="auto"/>
              </w:rPr>
              <w:t>0.12</w:t>
            </w:r>
          </w:p>
        </w:tc>
        <w:tc>
          <w:tcPr>
            <w:tcW w:w="22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404040"/>
            </w:tcBorders>
          </w:tcPr>
          <w:p>
            <w:pPr>
              <w:jc w:val="right"/>
              <w:ind w:right="108"/>
              <w:spacing w:after="0"/>
              <w:rPr>
                <w:sz w:val="20"/>
                <w:szCs w:val="20"/>
                <w:color w:val="auto"/>
              </w:rPr>
            </w:pPr>
            <w:r>
              <w:rPr>
                <w:rFonts w:ascii="Arial" w:cs="Arial" w:eastAsia="Arial" w:hAnsi="Arial"/>
                <w:sz w:val="14"/>
                <w:szCs w:val="14"/>
                <w:b w:val="1"/>
                <w:bCs w:val="1"/>
                <w:color w:val="auto"/>
              </w:rPr>
              <w:t>(0.02)</w:t>
            </w:r>
          </w:p>
        </w:tc>
        <w:tc>
          <w:tcPr>
            <w:tcW w:w="18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404040"/>
            </w:tcBorders>
          </w:tcPr>
          <w:p>
            <w:pPr>
              <w:jc w:val="right"/>
              <w:ind w:right="28"/>
              <w:spacing w:after="0"/>
              <w:rPr>
                <w:sz w:val="20"/>
                <w:szCs w:val="20"/>
                <w:color w:val="auto"/>
              </w:rPr>
            </w:pPr>
            <w:r>
              <w:rPr>
                <w:rFonts w:ascii="Arial" w:cs="Arial" w:eastAsia="Arial" w:hAnsi="Arial"/>
                <w:sz w:val="14"/>
                <w:szCs w:val="14"/>
                <w:b w:val="1"/>
                <w:bCs w:val="1"/>
                <w:color w:val="auto"/>
              </w:rPr>
              <w:t>0.13</w:t>
            </w:r>
          </w:p>
        </w:tc>
        <w:tc>
          <w:tcPr>
            <w:tcW w:w="30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b w:val="1"/>
                <w:bCs w:val="1"/>
                <w:color w:val="auto"/>
              </w:rPr>
              <w:t>(0.09)</w:t>
            </w:r>
          </w:p>
        </w:tc>
      </w:tr>
      <w:tr>
        <w:trPr>
          <w:trHeight w:val="223"/>
        </w:trPr>
        <w:tc>
          <w:tcPr>
            <w:tcW w:w="660" w:type="dxa"/>
            <w:vAlign w:val="bottom"/>
          </w:tcPr>
          <w:p>
            <w:pPr>
              <w:spacing w:after="0"/>
              <w:rPr>
                <w:sz w:val="19"/>
                <w:szCs w:val="19"/>
                <w:color w:val="auto"/>
              </w:rPr>
            </w:pPr>
          </w:p>
        </w:tc>
        <w:tc>
          <w:tcPr>
            <w:tcW w:w="4680" w:type="dxa"/>
            <w:vAlign w:val="bottom"/>
            <w:tcBorders>
              <w:bottom w:val="single" w:sz="8" w:color="404040"/>
            </w:tcBorders>
            <w:gridSpan w:val="2"/>
          </w:tcPr>
          <w:p>
            <w:pPr>
              <w:ind w:left="60"/>
              <w:spacing w:after="0"/>
              <w:rPr>
                <w:sz w:val="20"/>
                <w:szCs w:val="20"/>
                <w:color w:val="auto"/>
              </w:rPr>
            </w:pPr>
            <w:r>
              <w:rPr>
                <w:rFonts w:ascii="Arial" w:cs="Arial" w:eastAsia="Arial" w:hAnsi="Arial"/>
                <w:sz w:val="14"/>
                <w:szCs w:val="14"/>
                <w:b w:val="1"/>
                <w:bCs w:val="1"/>
                <w:color w:val="auto"/>
              </w:rPr>
              <w:t>Weighted average basic common shares</w:t>
            </w:r>
          </w:p>
        </w:tc>
        <w:tc>
          <w:tcPr>
            <w:tcW w:w="240" w:type="dxa"/>
            <w:vAlign w:val="bottom"/>
            <w:tcBorders>
              <w:bottom w:val="single" w:sz="8" w:color="404040"/>
            </w:tcBorders>
          </w:tcPr>
          <w:p>
            <w:pPr>
              <w:spacing w:after="0"/>
              <w:rPr>
                <w:sz w:val="19"/>
                <w:szCs w:val="19"/>
                <w:color w:val="auto"/>
              </w:rPr>
            </w:pPr>
          </w:p>
        </w:tc>
        <w:tc>
          <w:tcPr>
            <w:tcW w:w="74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b w:val="1"/>
                <w:bCs w:val="1"/>
                <w:color w:val="auto"/>
                <w:w w:val="98"/>
              </w:rPr>
              <w:t>150,324</w:t>
            </w:r>
          </w:p>
        </w:tc>
        <w:tc>
          <w:tcPr>
            <w:tcW w:w="880" w:type="dxa"/>
            <w:vAlign w:val="bottom"/>
            <w:tcBorders>
              <w:bottom w:val="single" w:sz="8" w:color="404040"/>
            </w:tcBorders>
            <w:gridSpan w:val="2"/>
          </w:tcPr>
          <w:p>
            <w:pPr>
              <w:jc w:val="right"/>
              <w:ind w:right="88"/>
              <w:spacing w:after="0"/>
              <w:rPr>
                <w:sz w:val="20"/>
                <w:szCs w:val="20"/>
                <w:color w:val="auto"/>
              </w:rPr>
            </w:pPr>
            <w:r>
              <w:rPr>
                <w:rFonts w:ascii="Arial" w:cs="Arial" w:eastAsia="Arial" w:hAnsi="Arial"/>
                <w:sz w:val="14"/>
                <w:szCs w:val="14"/>
                <w:b w:val="1"/>
                <w:bCs w:val="1"/>
                <w:color w:val="auto"/>
              </w:rPr>
              <w:t>141,085</w:t>
            </w:r>
          </w:p>
        </w:tc>
        <w:tc>
          <w:tcPr>
            <w:tcW w:w="180" w:type="dxa"/>
            <w:vAlign w:val="bottom"/>
            <w:tcBorders>
              <w:bottom w:val="single" w:sz="8" w:color="404040"/>
            </w:tcBorders>
          </w:tcPr>
          <w:p>
            <w:pPr>
              <w:spacing w:after="0"/>
              <w:rPr>
                <w:sz w:val="19"/>
                <w:szCs w:val="19"/>
                <w:color w:val="auto"/>
              </w:rPr>
            </w:pPr>
          </w:p>
        </w:tc>
        <w:tc>
          <w:tcPr>
            <w:tcW w:w="6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w w:val="98"/>
              </w:rPr>
              <w:t>146,902</w:t>
            </w:r>
          </w:p>
        </w:tc>
        <w:tc>
          <w:tcPr>
            <w:tcW w:w="300" w:type="dxa"/>
            <w:vAlign w:val="bottom"/>
            <w:tcBorders>
              <w:bottom w:val="single" w:sz="8" w:color="404040"/>
            </w:tcBorders>
          </w:tcPr>
          <w:p>
            <w:pPr>
              <w:spacing w:after="0"/>
              <w:rPr>
                <w:sz w:val="19"/>
                <w:szCs w:val="19"/>
                <w:color w:val="auto"/>
              </w:rPr>
            </w:pPr>
          </w:p>
        </w:tc>
        <w:tc>
          <w:tcPr>
            <w:tcW w:w="76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b w:val="1"/>
                <w:bCs w:val="1"/>
                <w:color w:val="auto"/>
              </w:rPr>
              <w:t>138,099</w:t>
            </w:r>
          </w:p>
        </w:tc>
      </w:tr>
      <w:tr>
        <w:trPr>
          <w:trHeight w:val="189"/>
        </w:trPr>
        <w:tc>
          <w:tcPr>
            <w:tcW w:w="660" w:type="dxa"/>
            <w:vAlign w:val="bottom"/>
          </w:tcPr>
          <w:p>
            <w:pPr>
              <w:spacing w:after="0"/>
              <w:rPr>
                <w:sz w:val="16"/>
                <w:szCs w:val="16"/>
                <w:color w:val="auto"/>
              </w:rPr>
            </w:pPr>
          </w:p>
        </w:tc>
        <w:tc>
          <w:tcPr>
            <w:tcW w:w="4680" w:type="dxa"/>
            <w:vAlign w:val="bottom"/>
            <w:tcBorders>
              <w:bottom w:val="single" w:sz="8" w:color="404040"/>
            </w:tcBorders>
            <w:gridSpan w:val="2"/>
          </w:tcPr>
          <w:p>
            <w:pPr>
              <w:ind w:left="60"/>
              <w:spacing w:after="0"/>
              <w:rPr>
                <w:sz w:val="20"/>
                <w:szCs w:val="20"/>
                <w:color w:val="auto"/>
              </w:rPr>
            </w:pPr>
            <w:r>
              <w:rPr>
                <w:rFonts w:ascii="Arial" w:cs="Arial" w:eastAsia="Arial" w:hAnsi="Arial"/>
                <w:sz w:val="14"/>
                <w:szCs w:val="14"/>
                <w:b w:val="1"/>
                <w:bCs w:val="1"/>
                <w:color w:val="auto"/>
              </w:rPr>
              <w:t>Weighted average diluted common shares</w:t>
            </w:r>
          </w:p>
        </w:tc>
        <w:tc>
          <w:tcPr>
            <w:tcW w:w="980" w:type="dxa"/>
            <w:vAlign w:val="bottom"/>
            <w:tcBorders>
              <w:bottom w:val="single" w:sz="8" w:color="404040"/>
            </w:tcBorders>
            <w:gridSpan w:val="2"/>
          </w:tcPr>
          <w:p>
            <w:pPr>
              <w:jc w:val="right"/>
              <w:ind w:right="148"/>
              <w:spacing w:after="0"/>
              <w:rPr>
                <w:sz w:val="20"/>
                <w:szCs w:val="20"/>
                <w:color w:val="auto"/>
              </w:rPr>
            </w:pPr>
            <w:r>
              <w:rPr>
                <w:rFonts w:ascii="Arial" w:cs="Arial" w:eastAsia="Arial" w:hAnsi="Arial"/>
                <w:sz w:val="14"/>
                <w:szCs w:val="14"/>
                <w:b w:val="1"/>
                <w:bCs w:val="1"/>
                <w:color w:val="auto"/>
              </w:rPr>
              <w:t>164,074</w:t>
            </w:r>
          </w:p>
        </w:tc>
        <w:tc>
          <w:tcPr>
            <w:tcW w:w="880" w:type="dxa"/>
            <w:vAlign w:val="bottom"/>
            <w:tcBorders>
              <w:bottom w:val="single" w:sz="8" w:color="404040"/>
            </w:tcBorders>
            <w:gridSpan w:val="2"/>
          </w:tcPr>
          <w:p>
            <w:pPr>
              <w:jc w:val="right"/>
              <w:ind w:right="88"/>
              <w:spacing w:after="0"/>
              <w:rPr>
                <w:sz w:val="20"/>
                <w:szCs w:val="20"/>
                <w:color w:val="auto"/>
              </w:rPr>
            </w:pPr>
            <w:r>
              <w:rPr>
                <w:rFonts w:ascii="Arial" w:cs="Arial" w:eastAsia="Arial" w:hAnsi="Arial"/>
                <w:sz w:val="14"/>
                <w:szCs w:val="14"/>
                <w:b w:val="1"/>
                <w:bCs w:val="1"/>
                <w:color w:val="auto"/>
              </w:rPr>
              <w:t>141,085</w:t>
            </w:r>
          </w:p>
        </w:tc>
        <w:tc>
          <w:tcPr>
            <w:tcW w:w="180" w:type="dxa"/>
            <w:vAlign w:val="bottom"/>
            <w:tcBorders>
              <w:bottom w:val="single" w:sz="8" w:color="404040"/>
            </w:tcBorders>
          </w:tcPr>
          <w:p>
            <w:pPr>
              <w:spacing w:after="0"/>
              <w:rPr>
                <w:sz w:val="16"/>
                <w:szCs w:val="16"/>
                <w:color w:val="auto"/>
              </w:rPr>
            </w:pPr>
          </w:p>
        </w:tc>
        <w:tc>
          <w:tcPr>
            <w:tcW w:w="64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w w:val="98"/>
              </w:rPr>
              <w:t>156,040</w:t>
            </w:r>
          </w:p>
        </w:tc>
        <w:tc>
          <w:tcPr>
            <w:tcW w:w="300" w:type="dxa"/>
            <w:vAlign w:val="bottom"/>
            <w:tcBorders>
              <w:bottom w:val="single" w:sz="8" w:color="404040"/>
            </w:tcBorders>
          </w:tcPr>
          <w:p>
            <w:pPr>
              <w:spacing w:after="0"/>
              <w:rPr>
                <w:sz w:val="16"/>
                <w:szCs w:val="16"/>
                <w:color w:val="auto"/>
              </w:rPr>
            </w:pPr>
          </w:p>
        </w:tc>
        <w:tc>
          <w:tcPr>
            <w:tcW w:w="760" w:type="dxa"/>
            <w:vAlign w:val="bottom"/>
            <w:tcBorders>
              <w:bottom w:val="single" w:sz="8" w:color="404040"/>
            </w:tcBorders>
          </w:tcPr>
          <w:p>
            <w:pPr>
              <w:jc w:val="right"/>
              <w:ind w:right="148"/>
              <w:spacing w:after="0"/>
              <w:rPr>
                <w:sz w:val="20"/>
                <w:szCs w:val="20"/>
                <w:color w:val="auto"/>
              </w:rPr>
            </w:pPr>
            <w:r>
              <w:rPr>
                <w:rFonts w:ascii="Arial" w:cs="Arial" w:eastAsia="Arial" w:hAnsi="Arial"/>
                <w:sz w:val="14"/>
                <w:szCs w:val="14"/>
                <w:b w:val="1"/>
                <w:bCs w:val="1"/>
                <w:color w:val="auto"/>
              </w:rPr>
              <w:t>138,099</w:t>
            </w:r>
          </w:p>
        </w:tc>
      </w:tr>
    </w:tbl>
    <w:p>
      <w:pPr>
        <w:spacing w:after="0" w:line="252" w:lineRule="exact"/>
        <w:rPr>
          <w:sz w:val="20"/>
          <w:szCs w:val="20"/>
          <w:color w:val="auto"/>
        </w:rPr>
      </w:pPr>
    </w:p>
    <w:p>
      <w:pPr>
        <w:jc w:val="both"/>
        <w:ind w:left="1000" w:right="299" w:hanging="348"/>
        <w:spacing w:after="0" w:line="225" w:lineRule="auto"/>
        <w:tabs>
          <w:tab w:leader="none" w:pos="10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Similar to stock-based compensation, we believe it is also appropriate to exclude amortization of capitalized stock-based compensation from our non-GAAP financial measures in order to reflect the performance of our core business and to be consistent with the way many investors evaluate our performance and compare our operating results to peer companies. However, we have not historically done so. In order to continue to improve the usefulness of our non-GAAP financial measures to the investors, starting with the quarter ended March 31, 2025, we are excluding amortization of capitalized stock-based compensation from our non-GAAP financial measures and we have accordingly recast the presentation for all prior periods presented to reflect this change. Refer to Non-GAAP Financial Measures definition for further details.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Reconciliation of GAAP to Non-GAAP Financial Measures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(in thousands, unaudited)</w:t>
      </w:r>
    </w:p>
    <w:p>
      <w:pPr>
        <w:spacing w:after="0" w:line="250"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4900" w:type="dxa"/>
            <w:vAlign w:val="bottom"/>
          </w:tcPr>
          <w:p>
            <w:pPr>
              <w:spacing w:after="0"/>
              <w:rPr>
                <w:sz w:val="14"/>
                <w:szCs w:val="14"/>
                <w:color w:val="auto"/>
              </w:rPr>
            </w:pPr>
          </w:p>
        </w:tc>
        <w:tc>
          <w:tcPr>
            <w:tcW w:w="186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Year ended</w:t>
            </w:r>
          </w:p>
        </w:tc>
      </w:tr>
      <w:tr>
        <w:trPr>
          <w:trHeight w:val="205"/>
        </w:trPr>
        <w:tc>
          <w:tcPr>
            <w:tcW w:w="4900" w:type="dxa"/>
            <w:vAlign w:val="bottom"/>
          </w:tcPr>
          <w:p>
            <w:pPr>
              <w:spacing w:after="0"/>
              <w:rPr>
                <w:sz w:val="17"/>
                <w:szCs w:val="17"/>
                <w:color w:val="auto"/>
              </w:rPr>
            </w:pPr>
          </w:p>
        </w:tc>
        <w:tc>
          <w:tcPr>
            <w:tcW w:w="1860" w:type="dxa"/>
            <w:vAlign w:val="bottom"/>
            <w:tcBorders>
              <w:bottom w:val="single" w:sz="8" w:color="404040"/>
            </w:tcBorders>
            <w:gridSpan w:val="2"/>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1660" w:type="dxa"/>
            <w:vAlign w:val="bottom"/>
            <w:tcBorders>
              <w:bottom w:val="single" w:sz="8" w:color="404040"/>
            </w:tcBorders>
            <w:gridSpan w:val="2"/>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4900" w:type="dxa"/>
            <w:vAlign w:val="bottom"/>
            <w:tcBorders>
              <w:bottom w:val="single" w:sz="8" w:color="404040"/>
            </w:tcBorders>
          </w:tcPr>
          <w:p>
            <w:pPr>
              <w:spacing w:after="0"/>
              <w:rPr>
                <w:sz w:val="19"/>
                <w:szCs w:val="19"/>
                <w:color w:val="auto"/>
              </w:rPr>
            </w:pPr>
          </w:p>
        </w:tc>
        <w:tc>
          <w:tcPr>
            <w:tcW w:w="980" w:type="dxa"/>
            <w:vAlign w:val="bottom"/>
            <w:tcBorders>
              <w:bottom w:val="single" w:sz="8" w:color="404040"/>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880" w:type="dxa"/>
            <w:vAlign w:val="bottom"/>
            <w:tcBorders>
              <w:bottom w:val="single" w:sz="8" w:color="404040"/>
            </w:tcBorders>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74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2025</w:t>
            </w:r>
          </w:p>
        </w:tc>
        <w:tc>
          <w:tcPr>
            <w:tcW w:w="92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2024</w:t>
            </w:r>
          </w:p>
        </w:tc>
      </w:tr>
      <w:tr>
        <w:trPr>
          <w:trHeight w:val="223"/>
        </w:trPr>
        <w:tc>
          <w:tcPr>
            <w:tcW w:w="4900" w:type="dxa"/>
            <w:vAlign w:val="bottom"/>
            <w:tcBorders>
              <w:bottom w:val="single" w:sz="8" w:color="404040"/>
            </w:tcBorders>
            <w:shd w:val="clear" w:color="auto" w:fill="F1F3F7"/>
          </w:tcPr>
          <w:p>
            <w:pPr>
              <w:ind w:left="60"/>
              <w:spacing w:after="0"/>
              <w:rPr>
                <w:sz w:val="20"/>
                <w:szCs w:val="20"/>
                <w:color w:val="auto"/>
              </w:rPr>
            </w:pPr>
            <w:r>
              <w:rPr>
                <w:rFonts w:ascii="Arial" w:cs="Arial" w:eastAsia="Arial" w:hAnsi="Arial"/>
                <w:sz w:val="14"/>
                <w:szCs w:val="14"/>
                <w:b w:val="1"/>
                <w:bCs w:val="1"/>
                <w:color w:val="auto"/>
              </w:rPr>
              <w:t>Reconciliation of GAAP to Non-GAAP diluted shares</w:t>
            </w:r>
          </w:p>
        </w:tc>
        <w:tc>
          <w:tcPr>
            <w:tcW w:w="980" w:type="dxa"/>
            <w:vAlign w:val="bottom"/>
            <w:tcBorders>
              <w:bottom w:val="single" w:sz="8" w:color="404040"/>
            </w:tcBorders>
            <w:shd w:val="clear" w:color="auto" w:fill="F1F3F7"/>
          </w:tcPr>
          <w:p>
            <w:pPr>
              <w:spacing w:after="0"/>
              <w:rPr>
                <w:sz w:val="19"/>
                <w:szCs w:val="19"/>
                <w:color w:val="auto"/>
              </w:rPr>
            </w:pPr>
          </w:p>
        </w:tc>
        <w:tc>
          <w:tcPr>
            <w:tcW w:w="880" w:type="dxa"/>
            <w:vAlign w:val="bottom"/>
            <w:tcBorders>
              <w:bottom w:val="single" w:sz="8" w:color="404040"/>
            </w:tcBorders>
            <w:shd w:val="clear" w:color="auto" w:fill="F1F3F7"/>
          </w:tcPr>
          <w:p>
            <w:pPr>
              <w:spacing w:after="0"/>
              <w:rPr>
                <w:sz w:val="19"/>
                <w:szCs w:val="19"/>
                <w:color w:val="auto"/>
              </w:rPr>
            </w:pPr>
          </w:p>
        </w:tc>
        <w:tc>
          <w:tcPr>
            <w:tcW w:w="740" w:type="dxa"/>
            <w:vAlign w:val="bottom"/>
            <w:tcBorders>
              <w:bottom w:val="single" w:sz="8" w:color="404040"/>
            </w:tcBorders>
            <w:shd w:val="clear" w:color="auto" w:fill="F1F3F7"/>
          </w:tcPr>
          <w:p>
            <w:pPr>
              <w:spacing w:after="0"/>
              <w:rPr>
                <w:sz w:val="19"/>
                <w:szCs w:val="19"/>
                <w:color w:val="auto"/>
              </w:rPr>
            </w:pPr>
          </w:p>
        </w:tc>
        <w:tc>
          <w:tcPr>
            <w:tcW w:w="920" w:type="dxa"/>
            <w:vAlign w:val="bottom"/>
            <w:tcBorders>
              <w:bottom w:val="single" w:sz="8" w:color="404040"/>
            </w:tcBorders>
            <w:shd w:val="clear" w:color="auto" w:fill="F1F3F7"/>
          </w:tcPr>
          <w:p>
            <w:pPr>
              <w:spacing w:after="0"/>
              <w:rPr>
                <w:sz w:val="19"/>
                <w:szCs w:val="19"/>
                <w:color w:val="auto"/>
              </w:rPr>
            </w:pPr>
          </w:p>
        </w:tc>
      </w:tr>
      <w:tr>
        <w:trPr>
          <w:trHeight w:val="223"/>
        </w:trPr>
        <w:tc>
          <w:tcPr>
            <w:tcW w:w="490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GAAP diluted shares</w:t>
            </w:r>
          </w:p>
        </w:tc>
        <w:tc>
          <w:tcPr>
            <w:tcW w:w="980" w:type="dxa"/>
            <w:vAlign w:val="bottom"/>
            <w:tcBorders>
              <w:bottom w:val="single" w:sz="8" w:color="404040"/>
            </w:tcBorders>
          </w:tcPr>
          <w:p>
            <w:pPr>
              <w:jc w:val="right"/>
              <w:ind w:right="88"/>
              <w:spacing w:after="0"/>
              <w:rPr>
                <w:sz w:val="20"/>
                <w:szCs w:val="20"/>
                <w:color w:val="auto"/>
              </w:rPr>
            </w:pPr>
            <w:r>
              <w:rPr>
                <w:rFonts w:ascii="Arial" w:cs="Arial" w:eastAsia="Arial" w:hAnsi="Arial"/>
                <w:sz w:val="14"/>
                <w:szCs w:val="14"/>
                <w:b w:val="1"/>
                <w:bCs w:val="1"/>
                <w:color w:val="auto"/>
              </w:rPr>
              <w:t>150,324</w:t>
            </w:r>
          </w:p>
        </w:tc>
        <w:tc>
          <w:tcPr>
            <w:tcW w:w="880" w:type="dxa"/>
            <w:vAlign w:val="bottom"/>
            <w:tcBorders>
              <w:bottom w:val="single" w:sz="8" w:color="404040"/>
            </w:tcBorders>
          </w:tcPr>
          <w:p>
            <w:pPr>
              <w:jc w:val="right"/>
              <w:ind w:right="108"/>
              <w:spacing w:after="0"/>
              <w:rPr>
                <w:sz w:val="20"/>
                <w:szCs w:val="20"/>
                <w:color w:val="auto"/>
              </w:rPr>
            </w:pPr>
            <w:r>
              <w:rPr>
                <w:rFonts w:ascii="Arial" w:cs="Arial" w:eastAsia="Arial" w:hAnsi="Arial"/>
                <w:sz w:val="14"/>
                <w:szCs w:val="14"/>
                <w:b w:val="1"/>
                <w:bCs w:val="1"/>
                <w:color w:val="auto"/>
              </w:rPr>
              <w:t>141,085</w:t>
            </w:r>
          </w:p>
        </w:tc>
        <w:tc>
          <w:tcPr>
            <w:tcW w:w="74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146,902</w:t>
            </w:r>
          </w:p>
        </w:tc>
        <w:tc>
          <w:tcPr>
            <w:tcW w:w="92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138,099</w:t>
            </w:r>
          </w:p>
        </w:tc>
      </w:tr>
      <w:tr>
        <w:trPr>
          <w:trHeight w:val="208"/>
        </w:trPr>
        <w:tc>
          <w:tcPr>
            <w:tcW w:w="4900" w:type="dxa"/>
            <w:vAlign w:val="bottom"/>
          </w:tcPr>
          <w:p>
            <w:pPr>
              <w:ind w:left="200"/>
              <w:spacing w:after="0"/>
              <w:rPr>
                <w:sz w:val="20"/>
                <w:szCs w:val="20"/>
                <w:color w:val="auto"/>
              </w:rPr>
            </w:pPr>
            <w:r>
              <w:rPr>
                <w:rFonts w:ascii="Arial" w:cs="Arial" w:eastAsia="Arial" w:hAnsi="Arial"/>
                <w:sz w:val="14"/>
                <w:szCs w:val="14"/>
                <w:color w:val="auto"/>
              </w:rPr>
              <w:t>Other dilutive equity awards</w:t>
            </w:r>
          </w:p>
        </w:tc>
        <w:tc>
          <w:tcPr>
            <w:tcW w:w="980" w:type="dxa"/>
            <w:vAlign w:val="bottom"/>
          </w:tcPr>
          <w:p>
            <w:pPr>
              <w:jc w:val="right"/>
              <w:ind w:right="88"/>
              <w:spacing w:after="0"/>
              <w:rPr>
                <w:sz w:val="20"/>
                <w:szCs w:val="20"/>
                <w:color w:val="auto"/>
              </w:rPr>
            </w:pPr>
            <w:r>
              <w:rPr>
                <w:rFonts w:ascii="Arial" w:cs="Arial" w:eastAsia="Arial" w:hAnsi="Arial"/>
                <w:sz w:val="14"/>
                <w:szCs w:val="14"/>
                <w:color w:val="auto"/>
              </w:rPr>
              <w:t>13,750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9,138</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22"/>
        </w:trPr>
        <w:tc>
          <w:tcPr>
            <w:tcW w:w="4900" w:type="dxa"/>
            <w:vAlign w:val="bottom"/>
            <w:tcBorders>
              <w:bottom w:val="single" w:sz="8" w:color="404040"/>
            </w:tcBorders>
          </w:tcPr>
          <w:p>
            <w:pPr>
              <w:spacing w:after="0" w:line="20" w:lineRule="exact"/>
              <w:rPr>
                <w:sz w:val="1"/>
                <w:szCs w:val="1"/>
                <w:color w:val="auto"/>
              </w:rPr>
            </w:pPr>
          </w:p>
        </w:tc>
        <w:tc>
          <w:tcPr>
            <w:tcW w:w="980" w:type="dxa"/>
            <w:vAlign w:val="bottom"/>
            <w:tcBorders>
              <w:bottom w:val="single" w:sz="8" w:color="404040"/>
            </w:tcBorders>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740" w:type="dxa"/>
            <w:vAlign w:val="bottom"/>
            <w:tcBorders>
              <w:bottom w:val="single" w:sz="8" w:color="404040"/>
            </w:tcBorders>
          </w:tcPr>
          <w:p>
            <w:pPr>
              <w:spacing w:after="0" w:line="20" w:lineRule="exact"/>
              <w:rPr>
                <w:sz w:val="1"/>
                <w:szCs w:val="1"/>
                <w:color w:val="auto"/>
              </w:rPr>
            </w:pPr>
          </w:p>
        </w:tc>
        <w:tc>
          <w:tcPr>
            <w:tcW w:w="920" w:type="dxa"/>
            <w:vAlign w:val="bottom"/>
            <w:tcBorders>
              <w:bottom w:val="single" w:sz="8" w:color="404040"/>
            </w:tcBorders>
          </w:tcPr>
          <w:p>
            <w:pPr>
              <w:spacing w:after="0" w:line="20" w:lineRule="exact"/>
              <w:rPr>
                <w:sz w:val="1"/>
                <w:szCs w:val="1"/>
                <w:color w:val="auto"/>
              </w:rPr>
            </w:pPr>
          </w:p>
        </w:tc>
      </w:tr>
      <w:tr>
        <w:trPr>
          <w:trHeight w:val="217"/>
        </w:trPr>
        <w:tc>
          <w:tcPr>
            <w:tcW w:w="490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Non-GAAP diluted shares</w:t>
            </w:r>
          </w:p>
        </w:tc>
        <w:tc>
          <w:tcPr>
            <w:tcW w:w="980" w:type="dxa"/>
            <w:vAlign w:val="bottom"/>
            <w:tcBorders>
              <w:bottom w:val="single" w:sz="8" w:color="404040"/>
            </w:tcBorders>
          </w:tcPr>
          <w:p>
            <w:pPr>
              <w:jc w:val="right"/>
              <w:ind w:right="88"/>
              <w:spacing w:after="0"/>
              <w:rPr>
                <w:sz w:val="20"/>
                <w:szCs w:val="20"/>
                <w:color w:val="auto"/>
              </w:rPr>
            </w:pPr>
            <w:r>
              <w:rPr>
                <w:rFonts w:ascii="Arial" w:cs="Arial" w:eastAsia="Arial" w:hAnsi="Arial"/>
                <w:sz w:val="14"/>
                <w:szCs w:val="14"/>
                <w:b w:val="1"/>
                <w:bCs w:val="1"/>
                <w:color w:val="auto"/>
              </w:rPr>
              <w:t>164,074</w:t>
            </w:r>
          </w:p>
        </w:tc>
        <w:tc>
          <w:tcPr>
            <w:tcW w:w="880" w:type="dxa"/>
            <w:vAlign w:val="bottom"/>
            <w:tcBorders>
              <w:bottom w:val="single" w:sz="8" w:color="404040"/>
            </w:tcBorders>
          </w:tcPr>
          <w:p>
            <w:pPr>
              <w:jc w:val="right"/>
              <w:ind w:right="108"/>
              <w:spacing w:after="0"/>
              <w:rPr>
                <w:sz w:val="20"/>
                <w:szCs w:val="20"/>
                <w:color w:val="auto"/>
              </w:rPr>
            </w:pPr>
            <w:r>
              <w:rPr>
                <w:rFonts w:ascii="Arial" w:cs="Arial" w:eastAsia="Arial" w:hAnsi="Arial"/>
                <w:sz w:val="14"/>
                <w:szCs w:val="14"/>
                <w:b w:val="1"/>
                <w:bCs w:val="1"/>
                <w:color w:val="auto"/>
              </w:rPr>
              <w:t>141,085</w:t>
            </w:r>
          </w:p>
        </w:tc>
        <w:tc>
          <w:tcPr>
            <w:tcW w:w="74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156,040</w:t>
            </w:r>
          </w:p>
        </w:tc>
        <w:tc>
          <w:tcPr>
            <w:tcW w:w="92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138,099</w:t>
            </w:r>
          </w:p>
        </w:tc>
      </w:tr>
      <w:tr>
        <w:trPr>
          <w:trHeight w:val="189"/>
        </w:trPr>
        <w:tc>
          <w:tcPr>
            <w:tcW w:w="4900" w:type="dxa"/>
            <w:vAlign w:val="bottom"/>
            <w:tcBorders>
              <w:bottom w:val="single" w:sz="8" w:color="404040"/>
            </w:tcBorders>
          </w:tcPr>
          <w:p>
            <w:pPr>
              <w:ind w:left="60"/>
              <w:spacing w:after="0"/>
              <w:rPr>
                <w:sz w:val="20"/>
                <w:szCs w:val="20"/>
                <w:color w:val="auto"/>
              </w:rPr>
            </w:pPr>
            <w:r>
              <w:rPr>
                <w:rFonts w:ascii="Arial" w:cs="Arial" w:eastAsia="Arial" w:hAnsi="Arial"/>
                <w:sz w:val="14"/>
                <w:szCs w:val="14"/>
                <w:b w:val="1"/>
                <w:bCs w:val="1"/>
                <w:color w:val="auto"/>
              </w:rPr>
              <w:t>Non-GAAP diluted net income (loss) per share</w:t>
            </w:r>
          </w:p>
        </w:tc>
        <w:tc>
          <w:tcPr>
            <w:tcW w:w="980" w:type="dxa"/>
            <w:vAlign w:val="bottom"/>
            <w:tcBorders>
              <w:bottom w:val="single" w:sz="8" w:color="404040"/>
            </w:tcBorders>
          </w:tcPr>
          <w:p>
            <w:pPr>
              <w:jc w:val="right"/>
              <w:ind w:right="88"/>
              <w:spacing w:after="0"/>
              <w:rPr>
                <w:sz w:val="20"/>
                <w:szCs w:val="20"/>
                <w:color w:val="auto"/>
              </w:rPr>
            </w:pPr>
            <w:r>
              <w:rPr>
                <w:rFonts w:ascii="Arial" w:cs="Arial" w:eastAsia="Arial" w:hAnsi="Arial"/>
                <w:sz w:val="14"/>
                <w:szCs w:val="14"/>
                <w:b w:val="1"/>
                <w:bCs w:val="1"/>
                <w:color w:val="auto"/>
              </w:rPr>
              <w:t>0.12</w:t>
            </w:r>
          </w:p>
        </w:tc>
        <w:tc>
          <w:tcPr>
            <w:tcW w:w="880" w:type="dxa"/>
            <w:vAlign w:val="bottom"/>
            <w:tcBorders>
              <w:bottom w:val="single" w:sz="8" w:color="404040"/>
            </w:tcBorders>
          </w:tcPr>
          <w:p>
            <w:pPr>
              <w:jc w:val="right"/>
              <w:ind w:right="108"/>
              <w:spacing w:after="0"/>
              <w:rPr>
                <w:sz w:val="20"/>
                <w:szCs w:val="20"/>
                <w:color w:val="auto"/>
              </w:rPr>
            </w:pPr>
            <w:r>
              <w:rPr>
                <w:rFonts w:ascii="Arial" w:cs="Arial" w:eastAsia="Arial" w:hAnsi="Arial"/>
                <w:sz w:val="14"/>
                <w:szCs w:val="14"/>
                <w:b w:val="1"/>
                <w:bCs w:val="1"/>
                <w:color w:val="auto"/>
              </w:rPr>
              <w:t>(0.02)</w:t>
            </w:r>
          </w:p>
        </w:tc>
        <w:tc>
          <w:tcPr>
            <w:tcW w:w="74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0.13</w:t>
            </w:r>
          </w:p>
        </w:tc>
        <w:tc>
          <w:tcPr>
            <w:tcW w:w="92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(0.09)</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3"/>
          <w:szCs w:val="13"/>
          <w:color w:val="auto"/>
        </w:rPr>
        <w:t>A-2  |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114" w:right="1440"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61"/>
        </w:trPr>
        <w:tc>
          <w:tcPr>
            <w:tcW w:w="5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03"/>
        </w:trPr>
        <w:tc>
          <w:tcPr>
            <w:tcW w:w="66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3720" w:type="dxa"/>
            <w:vAlign w:val="bottom"/>
          </w:tcPr>
          <w:p>
            <w:pPr>
              <w:spacing w:after="0"/>
              <w:rPr>
                <w:sz w:val="24"/>
                <w:szCs w:val="24"/>
                <w:color w:val="auto"/>
              </w:rPr>
            </w:pPr>
          </w:p>
        </w:tc>
        <w:tc>
          <w:tcPr>
            <w:tcW w:w="192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Year ended</w:t>
            </w:r>
          </w:p>
        </w:tc>
      </w:tr>
      <w:tr>
        <w:trPr>
          <w:trHeight w:val="205"/>
        </w:trPr>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920" w:type="dxa"/>
            <w:vAlign w:val="bottom"/>
            <w:tcBorders>
              <w:bottom w:val="single" w:sz="8" w:color="404040"/>
            </w:tcBorders>
            <w:gridSpan w:val="3"/>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Borders>
              <w:bottom w:val="single" w:sz="8" w:color="404040"/>
            </w:tcBorders>
          </w:tcPr>
          <w:p>
            <w:pPr>
              <w:spacing w:after="0"/>
              <w:rPr>
                <w:sz w:val="17"/>
                <w:szCs w:val="17"/>
                <w:color w:val="auto"/>
              </w:rPr>
            </w:pPr>
          </w:p>
        </w:tc>
        <w:tc>
          <w:tcPr>
            <w:tcW w:w="640" w:type="dxa"/>
            <w:vAlign w:val="bottom"/>
            <w:tcBorders>
              <w:bottom w:val="single" w:sz="8" w:color="404040"/>
            </w:tcBorders>
          </w:tcPr>
          <w:p>
            <w:pPr>
              <w:spacing w:after="0"/>
              <w:rPr>
                <w:sz w:val="17"/>
                <w:szCs w:val="17"/>
                <w:color w:val="auto"/>
              </w:rPr>
            </w:pPr>
          </w:p>
        </w:tc>
        <w:tc>
          <w:tcPr>
            <w:tcW w:w="1060" w:type="dxa"/>
            <w:vAlign w:val="bottom"/>
            <w:tcBorders>
              <w:bottom w:val="single" w:sz="8" w:color="404040"/>
            </w:tcBorders>
            <w:gridSpan w:val="2"/>
          </w:tcPr>
          <w:p>
            <w:pPr>
              <w:jc w:val="right"/>
              <w:ind w:right="48"/>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660" w:type="dxa"/>
            <w:vAlign w:val="bottom"/>
          </w:tcPr>
          <w:p>
            <w:pPr>
              <w:spacing w:after="0"/>
              <w:rPr>
                <w:sz w:val="19"/>
                <w:szCs w:val="19"/>
                <w:color w:val="auto"/>
              </w:rPr>
            </w:pPr>
          </w:p>
        </w:tc>
        <w:tc>
          <w:tcPr>
            <w:tcW w:w="880" w:type="dxa"/>
            <w:vAlign w:val="bottom"/>
            <w:tcBorders>
              <w:bottom w:val="single" w:sz="8" w:color="404040"/>
            </w:tcBorders>
          </w:tcPr>
          <w:p>
            <w:pPr>
              <w:spacing w:after="0"/>
              <w:rPr>
                <w:sz w:val="19"/>
                <w:szCs w:val="19"/>
                <w:color w:val="auto"/>
              </w:rPr>
            </w:pPr>
          </w:p>
        </w:tc>
        <w:tc>
          <w:tcPr>
            <w:tcW w:w="3720" w:type="dxa"/>
            <w:vAlign w:val="bottom"/>
            <w:tcBorders>
              <w:bottom w:val="single" w:sz="8" w:color="404040"/>
            </w:tcBorders>
          </w:tcPr>
          <w:p>
            <w:pPr>
              <w:spacing w:after="0"/>
              <w:rPr>
                <w:sz w:val="19"/>
                <w:szCs w:val="19"/>
                <w:color w:val="auto"/>
              </w:rPr>
            </w:pPr>
          </w:p>
        </w:tc>
        <w:tc>
          <w:tcPr>
            <w:tcW w:w="1020" w:type="dxa"/>
            <w:vAlign w:val="bottom"/>
            <w:tcBorders>
              <w:bottom w:val="single" w:sz="8" w:color="404040"/>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404040"/>
            </w:tcBorders>
          </w:tcPr>
          <w:p>
            <w:pPr>
              <w:spacing w:after="0"/>
              <w:rPr>
                <w:sz w:val="19"/>
                <w:szCs w:val="19"/>
                <w:color w:val="auto"/>
              </w:rPr>
            </w:pPr>
          </w:p>
        </w:tc>
        <w:tc>
          <w:tcPr>
            <w:tcW w:w="660" w:type="dxa"/>
            <w:vAlign w:val="bottom"/>
            <w:tcBorders>
              <w:bottom w:val="single" w:sz="8" w:color="404040"/>
            </w:tcBorders>
          </w:tcPr>
          <w:p>
            <w:pPr>
              <w:jc w:val="right"/>
              <w:ind w:right="28"/>
              <w:spacing w:after="0"/>
              <w:rPr>
                <w:sz w:val="20"/>
                <w:szCs w:val="20"/>
                <w:color w:val="auto"/>
              </w:rPr>
            </w:pPr>
            <w:r>
              <w:rPr>
                <w:rFonts w:ascii="Arial" w:cs="Arial" w:eastAsia="Arial" w:hAnsi="Arial"/>
                <w:sz w:val="14"/>
                <w:szCs w:val="14"/>
                <w:b w:val="1"/>
                <w:bCs w:val="1"/>
                <w:color w:val="auto"/>
              </w:rPr>
              <w:t>2024</w:t>
            </w:r>
          </w:p>
        </w:tc>
        <w:tc>
          <w:tcPr>
            <w:tcW w:w="200" w:type="dxa"/>
            <w:vAlign w:val="bottom"/>
            <w:tcBorders>
              <w:bottom w:val="single" w:sz="8" w:color="404040"/>
            </w:tcBorders>
          </w:tcPr>
          <w:p>
            <w:pPr>
              <w:spacing w:after="0"/>
              <w:rPr>
                <w:sz w:val="19"/>
                <w:szCs w:val="19"/>
                <w:color w:val="auto"/>
              </w:rPr>
            </w:pPr>
          </w:p>
        </w:tc>
        <w:tc>
          <w:tcPr>
            <w:tcW w:w="640" w:type="dxa"/>
            <w:vAlign w:val="bottom"/>
            <w:tcBorders>
              <w:bottom w:val="single" w:sz="8" w:color="404040"/>
            </w:tcBorders>
          </w:tcPr>
          <w:p>
            <w:pPr>
              <w:jc w:val="right"/>
              <w:spacing w:after="0"/>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404040"/>
            </w:tcBorders>
          </w:tcPr>
          <w:p>
            <w:pPr>
              <w:spacing w:after="0"/>
              <w:rPr>
                <w:sz w:val="19"/>
                <w:szCs w:val="19"/>
                <w:color w:val="auto"/>
              </w:rPr>
            </w:pPr>
          </w:p>
        </w:tc>
        <w:tc>
          <w:tcPr>
            <w:tcW w:w="7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b w:val="1"/>
                <w:bCs w:val="1"/>
                <w:color w:val="auto"/>
              </w:rPr>
              <w:t>2024</w:t>
            </w:r>
          </w:p>
        </w:tc>
      </w:tr>
      <w:tr>
        <w:trPr>
          <w:trHeight w:val="223"/>
        </w:trPr>
        <w:tc>
          <w:tcPr>
            <w:tcW w:w="660" w:type="dxa"/>
            <w:vAlign w:val="bottom"/>
          </w:tcPr>
          <w:p>
            <w:pPr>
              <w:spacing w:after="0"/>
              <w:rPr>
                <w:sz w:val="19"/>
                <w:szCs w:val="19"/>
                <w:color w:val="auto"/>
              </w:rPr>
            </w:pPr>
          </w:p>
        </w:tc>
        <w:tc>
          <w:tcPr>
            <w:tcW w:w="4600" w:type="dxa"/>
            <w:vAlign w:val="bottom"/>
            <w:tcBorders>
              <w:bottom w:val="single" w:sz="8" w:color="404040"/>
            </w:tcBorders>
            <w:gridSpan w:val="2"/>
            <w:shd w:val="clear" w:color="auto" w:fill="F1F3F7"/>
          </w:tcPr>
          <w:p>
            <w:pPr>
              <w:ind w:left="60"/>
              <w:spacing w:after="0"/>
              <w:rPr>
                <w:sz w:val="20"/>
                <w:szCs w:val="20"/>
                <w:color w:val="auto"/>
              </w:rPr>
            </w:pPr>
            <w:r>
              <w:rPr>
                <w:rFonts w:ascii="Arial" w:cs="Arial" w:eastAsia="Arial" w:hAnsi="Arial"/>
                <w:sz w:val="14"/>
                <w:szCs w:val="14"/>
                <w:b w:val="1"/>
                <w:bCs w:val="1"/>
                <w:color w:val="auto"/>
              </w:rPr>
              <w:t>Adjusted EBITDA</w:t>
            </w:r>
          </w:p>
        </w:tc>
        <w:tc>
          <w:tcPr>
            <w:tcW w:w="1020" w:type="dxa"/>
            <w:vAlign w:val="bottom"/>
            <w:tcBorders>
              <w:bottom w:val="single" w:sz="8" w:color="404040"/>
            </w:tcBorders>
            <w:shd w:val="clear" w:color="auto" w:fill="F1F3F7"/>
          </w:tcPr>
          <w:p>
            <w:pPr>
              <w:spacing w:after="0"/>
              <w:rPr>
                <w:sz w:val="19"/>
                <w:szCs w:val="19"/>
                <w:color w:val="auto"/>
              </w:rPr>
            </w:pPr>
          </w:p>
        </w:tc>
        <w:tc>
          <w:tcPr>
            <w:tcW w:w="240" w:type="dxa"/>
            <w:vAlign w:val="bottom"/>
            <w:tcBorders>
              <w:bottom w:val="single" w:sz="8" w:color="404040"/>
            </w:tcBorders>
            <w:shd w:val="clear" w:color="auto" w:fill="F1F3F7"/>
          </w:tcPr>
          <w:p>
            <w:pPr>
              <w:spacing w:after="0"/>
              <w:rPr>
                <w:sz w:val="19"/>
                <w:szCs w:val="19"/>
                <w:color w:val="auto"/>
              </w:rPr>
            </w:pPr>
          </w:p>
        </w:tc>
        <w:tc>
          <w:tcPr>
            <w:tcW w:w="660" w:type="dxa"/>
            <w:vAlign w:val="bottom"/>
            <w:tcBorders>
              <w:bottom w:val="single" w:sz="8" w:color="404040"/>
            </w:tcBorders>
            <w:shd w:val="clear" w:color="auto" w:fill="F1F3F7"/>
          </w:tcPr>
          <w:p>
            <w:pPr>
              <w:spacing w:after="0"/>
              <w:rPr>
                <w:sz w:val="19"/>
                <w:szCs w:val="19"/>
                <w:color w:val="auto"/>
              </w:rPr>
            </w:pPr>
          </w:p>
        </w:tc>
        <w:tc>
          <w:tcPr>
            <w:tcW w:w="200" w:type="dxa"/>
            <w:vAlign w:val="bottom"/>
            <w:tcBorders>
              <w:bottom w:val="single" w:sz="8" w:color="404040"/>
            </w:tcBorders>
            <w:shd w:val="clear" w:color="auto" w:fill="F1F3F7"/>
          </w:tcPr>
          <w:p>
            <w:pPr>
              <w:spacing w:after="0"/>
              <w:rPr>
                <w:sz w:val="19"/>
                <w:szCs w:val="19"/>
                <w:color w:val="auto"/>
              </w:rPr>
            </w:pPr>
          </w:p>
        </w:tc>
        <w:tc>
          <w:tcPr>
            <w:tcW w:w="640" w:type="dxa"/>
            <w:vAlign w:val="bottom"/>
            <w:tcBorders>
              <w:bottom w:val="single" w:sz="8" w:color="404040"/>
            </w:tcBorders>
            <w:shd w:val="clear" w:color="auto" w:fill="F1F3F7"/>
          </w:tcPr>
          <w:p>
            <w:pPr>
              <w:spacing w:after="0"/>
              <w:rPr>
                <w:sz w:val="19"/>
                <w:szCs w:val="19"/>
                <w:color w:val="auto"/>
              </w:rPr>
            </w:pPr>
          </w:p>
        </w:tc>
        <w:tc>
          <w:tcPr>
            <w:tcW w:w="300" w:type="dxa"/>
            <w:vAlign w:val="bottom"/>
            <w:tcBorders>
              <w:bottom w:val="single" w:sz="8" w:color="404040"/>
            </w:tcBorders>
            <w:shd w:val="clear" w:color="auto" w:fill="F1F3F7"/>
          </w:tcPr>
          <w:p>
            <w:pPr>
              <w:spacing w:after="0"/>
              <w:rPr>
                <w:sz w:val="19"/>
                <w:szCs w:val="19"/>
                <w:color w:val="auto"/>
              </w:rPr>
            </w:pPr>
          </w:p>
        </w:tc>
        <w:tc>
          <w:tcPr>
            <w:tcW w:w="760" w:type="dxa"/>
            <w:vAlign w:val="bottom"/>
            <w:tcBorders>
              <w:bottom w:val="single" w:sz="8" w:color="404040"/>
            </w:tcBorders>
            <w:shd w:val="clear" w:color="auto" w:fill="F1F3F7"/>
          </w:tcPr>
          <w:p>
            <w:pPr>
              <w:spacing w:after="0"/>
              <w:rPr>
                <w:sz w:val="19"/>
                <w:szCs w:val="19"/>
                <w:color w:val="auto"/>
              </w:rPr>
            </w:pPr>
          </w:p>
        </w:tc>
      </w:tr>
      <w:tr>
        <w:trPr>
          <w:trHeight w:val="223"/>
        </w:trPr>
        <w:tc>
          <w:tcPr>
            <w:tcW w:w="660" w:type="dxa"/>
            <w:vAlign w:val="bottom"/>
          </w:tcPr>
          <w:p>
            <w:pPr>
              <w:spacing w:after="0"/>
              <w:rPr>
                <w:sz w:val="19"/>
                <w:szCs w:val="19"/>
                <w:color w:val="auto"/>
              </w:rPr>
            </w:pPr>
          </w:p>
        </w:tc>
        <w:tc>
          <w:tcPr>
            <w:tcW w:w="4600" w:type="dxa"/>
            <w:vAlign w:val="bottom"/>
            <w:tcBorders>
              <w:bottom w:val="single" w:sz="8" w:color="404040"/>
            </w:tcBorders>
            <w:gridSpan w:val="2"/>
          </w:tcPr>
          <w:p>
            <w:pPr>
              <w:ind w:left="60"/>
              <w:spacing w:after="0"/>
              <w:rPr>
                <w:sz w:val="20"/>
                <w:szCs w:val="20"/>
                <w:color w:val="auto"/>
              </w:rPr>
            </w:pPr>
            <w:r>
              <w:rPr>
                <w:rFonts w:ascii="Arial" w:cs="Arial" w:eastAsia="Arial" w:hAnsi="Arial"/>
                <w:sz w:val="14"/>
                <w:szCs w:val="14"/>
                <w:b w:val="1"/>
                <w:bCs w:val="1"/>
                <w:color w:val="auto"/>
              </w:rPr>
              <w:t>GAAP net loss</w:t>
            </w:r>
          </w:p>
        </w:tc>
        <w:tc>
          <w:tcPr>
            <w:tcW w:w="1020" w:type="dxa"/>
            <w:vAlign w:val="bottom"/>
            <w:tcBorders>
              <w:bottom w:val="single" w:sz="8" w:color="404040"/>
            </w:tcBorders>
          </w:tcPr>
          <w:p>
            <w:pPr>
              <w:ind w:left="220"/>
              <w:spacing w:after="0"/>
              <w:rPr>
                <w:sz w:val="20"/>
                <w:szCs w:val="20"/>
                <w:color w:val="auto"/>
              </w:rPr>
            </w:pPr>
            <w:r>
              <w:rPr>
                <w:rFonts w:ascii="Arial" w:cs="Arial" w:eastAsia="Arial" w:hAnsi="Arial"/>
                <w:sz w:val="14"/>
                <w:szCs w:val="14"/>
                <w:color w:val="auto"/>
              </w:rPr>
              <w:t>$ (15,505)</w:t>
            </w:r>
          </w:p>
        </w:tc>
        <w:tc>
          <w:tcPr>
            <w:tcW w:w="24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404040"/>
            </w:tcBorders>
          </w:tcPr>
          <w:p>
            <w:pPr>
              <w:jc w:val="right"/>
              <w:ind w:right="28"/>
              <w:spacing w:after="0"/>
              <w:rPr>
                <w:sz w:val="20"/>
                <w:szCs w:val="20"/>
                <w:color w:val="auto"/>
              </w:rPr>
            </w:pPr>
            <w:r>
              <w:rPr>
                <w:rFonts w:ascii="Arial" w:cs="Arial" w:eastAsia="Arial" w:hAnsi="Arial"/>
                <w:sz w:val="14"/>
                <w:szCs w:val="14"/>
                <w:color w:val="auto"/>
              </w:rPr>
              <w:t>(32,886)</w:t>
            </w:r>
          </w:p>
        </w:tc>
        <w:tc>
          <w:tcPr>
            <w:tcW w:w="20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(121,677)</w:t>
            </w:r>
          </w:p>
        </w:tc>
        <w:tc>
          <w:tcPr>
            <w:tcW w:w="300" w:type="dxa"/>
            <w:vAlign w:val="bottom"/>
            <w:tcBorders>
              <w:bottom w:val="single" w:sz="8" w:color="404040"/>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404040"/>
            </w:tcBorders>
          </w:tcPr>
          <w:p>
            <w:pPr>
              <w:jc w:val="right"/>
              <w:ind w:right="48"/>
              <w:spacing w:after="0"/>
              <w:rPr>
                <w:sz w:val="20"/>
                <w:szCs w:val="20"/>
                <w:color w:val="auto"/>
              </w:rPr>
            </w:pPr>
            <w:r>
              <w:rPr>
                <w:rFonts w:ascii="Arial" w:cs="Arial" w:eastAsia="Arial" w:hAnsi="Arial"/>
                <w:sz w:val="14"/>
                <w:szCs w:val="14"/>
                <w:color w:val="auto"/>
              </w:rPr>
              <w:t>(158,058)</w:t>
            </w:r>
          </w:p>
        </w:tc>
      </w:tr>
      <w:tr>
        <w:trPr>
          <w:trHeight w:val="208"/>
        </w:trPr>
        <w:tc>
          <w:tcPr>
            <w:tcW w:w="660" w:type="dxa"/>
            <w:vAlign w:val="bottom"/>
          </w:tcPr>
          <w:p>
            <w:pPr>
              <w:spacing w:after="0"/>
              <w:rPr>
                <w:sz w:val="18"/>
                <w:szCs w:val="18"/>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Stock-based compensation</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32,277</w:t>
            </w:r>
          </w:p>
        </w:tc>
        <w:tc>
          <w:tcPr>
            <w:tcW w:w="240" w:type="dxa"/>
            <w:vAlign w:val="bottom"/>
          </w:tcPr>
          <w:p>
            <w:pPr>
              <w:spacing w:after="0"/>
              <w:rPr>
                <w:sz w:val="18"/>
                <w:szCs w:val="18"/>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24,945</w:t>
            </w:r>
          </w:p>
        </w:tc>
        <w:tc>
          <w:tcPr>
            <w:tcW w:w="200" w:type="dxa"/>
            <w:vAlign w:val="bottom"/>
          </w:tcPr>
          <w:p>
            <w:pPr>
              <w:spacing w:after="0"/>
              <w:rPr>
                <w:sz w:val="18"/>
                <w:szCs w:val="18"/>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117,323</w:t>
            </w:r>
          </w:p>
        </w:tc>
        <w:tc>
          <w:tcPr>
            <w:tcW w:w="300" w:type="dxa"/>
            <w:vAlign w:val="bottom"/>
          </w:tcPr>
          <w:p>
            <w:pPr>
              <w:spacing w:after="0"/>
              <w:rPr>
                <w:sz w:val="18"/>
                <w:szCs w:val="18"/>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107,930</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170"/>
        </w:trPr>
        <w:tc>
          <w:tcPr>
            <w:tcW w:w="660" w:type="dxa"/>
            <w:vAlign w:val="bottom"/>
          </w:tcPr>
          <w:p>
            <w:pPr>
              <w:spacing w:after="0"/>
              <w:rPr>
                <w:sz w:val="14"/>
                <w:szCs w:val="14"/>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Amortization of capitalized stock-based compensation - cost of</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1,662</w:t>
            </w:r>
          </w:p>
        </w:tc>
        <w:tc>
          <w:tcPr>
            <w:tcW w:w="240" w:type="dxa"/>
            <w:vAlign w:val="bottom"/>
          </w:tcPr>
          <w:p>
            <w:pPr>
              <w:spacing w:after="0"/>
              <w:rPr>
                <w:sz w:val="14"/>
                <w:szCs w:val="14"/>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1,371</w:t>
            </w: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6,548</w:t>
            </w:r>
          </w:p>
        </w:tc>
        <w:tc>
          <w:tcPr>
            <w:tcW w:w="300" w:type="dxa"/>
            <w:vAlign w:val="bottom"/>
          </w:tcPr>
          <w:p>
            <w:pPr>
              <w:spacing w:after="0"/>
              <w:rPr>
                <w:sz w:val="14"/>
                <w:szCs w:val="14"/>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5,048</w:t>
            </w:r>
          </w:p>
        </w:tc>
      </w:tr>
      <w:tr>
        <w:trPr>
          <w:trHeight w:val="242"/>
        </w:trPr>
        <w:tc>
          <w:tcPr>
            <w:tcW w:w="660" w:type="dxa"/>
            <w:vAlign w:val="bottom"/>
          </w:tcPr>
          <w:p>
            <w:pPr>
              <w:spacing w:after="0"/>
              <w:rPr>
                <w:sz w:val="21"/>
                <w:szCs w:val="21"/>
                <w:color w:val="auto"/>
              </w:rPr>
            </w:pPr>
          </w:p>
        </w:tc>
        <w:tc>
          <w:tcPr>
            <w:tcW w:w="4600" w:type="dxa"/>
            <w:vAlign w:val="bottom"/>
            <w:tcBorders>
              <w:bottom w:val="single" w:sz="8" w:color="404040"/>
            </w:tcBorders>
            <w:gridSpan w:val="2"/>
          </w:tcPr>
          <w:p>
            <w:pPr>
              <w:ind w:left="200"/>
              <w:spacing w:after="0" w:line="242" w:lineRule="exact"/>
              <w:rPr>
                <w:sz w:val="20"/>
                <w:szCs w:val="20"/>
                <w:color w:val="auto"/>
              </w:rPr>
            </w:pPr>
            <w:r>
              <w:rPr>
                <w:rFonts w:ascii="Arial" w:cs="Arial" w:eastAsia="Arial" w:hAnsi="Arial"/>
                <w:sz w:val="14"/>
                <w:szCs w:val="14"/>
                <w:color w:val="auto"/>
              </w:rPr>
              <w:t>revenue</w:t>
            </w:r>
            <w:r>
              <w:rPr>
                <w:rFonts w:ascii="Arial" w:cs="Arial" w:eastAsia="Arial" w:hAnsi="Arial"/>
                <w:sz w:val="23"/>
                <w:szCs w:val="23"/>
                <w:color w:val="auto"/>
                <w:vertAlign w:val="superscript"/>
              </w:rPr>
              <w:t>(1)</w:t>
            </w:r>
          </w:p>
        </w:tc>
        <w:tc>
          <w:tcPr>
            <w:tcW w:w="1020" w:type="dxa"/>
            <w:vAlign w:val="bottom"/>
            <w:tcBorders>
              <w:bottom w:val="single" w:sz="8" w:color="404040"/>
            </w:tcBorders>
          </w:tcPr>
          <w:p>
            <w:pPr>
              <w:spacing w:after="0"/>
              <w:rPr>
                <w:sz w:val="21"/>
                <w:szCs w:val="21"/>
                <w:color w:val="auto"/>
              </w:rPr>
            </w:pPr>
          </w:p>
        </w:tc>
        <w:tc>
          <w:tcPr>
            <w:tcW w:w="240" w:type="dxa"/>
            <w:vAlign w:val="bottom"/>
            <w:tcBorders>
              <w:bottom w:val="single" w:sz="8" w:color="404040"/>
            </w:tcBorders>
          </w:tcPr>
          <w:p>
            <w:pPr>
              <w:spacing w:after="0"/>
              <w:rPr>
                <w:sz w:val="21"/>
                <w:szCs w:val="21"/>
                <w:color w:val="auto"/>
              </w:rPr>
            </w:pPr>
          </w:p>
        </w:tc>
        <w:tc>
          <w:tcPr>
            <w:tcW w:w="660" w:type="dxa"/>
            <w:vAlign w:val="bottom"/>
            <w:tcBorders>
              <w:bottom w:val="single" w:sz="8" w:color="404040"/>
            </w:tcBorders>
          </w:tcPr>
          <w:p>
            <w:pPr>
              <w:spacing w:after="0"/>
              <w:rPr>
                <w:sz w:val="21"/>
                <w:szCs w:val="21"/>
                <w:color w:val="auto"/>
              </w:rPr>
            </w:pPr>
          </w:p>
        </w:tc>
        <w:tc>
          <w:tcPr>
            <w:tcW w:w="200" w:type="dxa"/>
            <w:vAlign w:val="bottom"/>
            <w:tcBorders>
              <w:bottom w:val="single" w:sz="8" w:color="404040"/>
            </w:tcBorders>
          </w:tcPr>
          <w:p>
            <w:pPr>
              <w:spacing w:after="0"/>
              <w:rPr>
                <w:sz w:val="21"/>
                <w:szCs w:val="21"/>
                <w:color w:val="auto"/>
              </w:rPr>
            </w:pPr>
          </w:p>
        </w:tc>
        <w:tc>
          <w:tcPr>
            <w:tcW w:w="640" w:type="dxa"/>
            <w:vAlign w:val="bottom"/>
            <w:tcBorders>
              <w:bottom w:val="single" w:sz="8" w:color="404040"/>
            </w:tcBorders>
          </w:tcPr>
          <w:p>
            <w:pPr>
              <w:spacing w:after="0"/>
              <w:rPr>
                <w:sz w:val="21"/>
                <w:szCs w:val="21"/>
                <w:color w:val="auto"/>
              </w:rPr>
            </w:pPr>
          </w:p>
        </w:tc>
        <w:tc>
          <w:tcPr>
            <w:tcW w:w="300" w:type="dxa"/>
            <w:vAlign w:val="bottom"/>
            <w:tcBorders>
              <w:bottom w:val="single" w:sz="8" w:color="404040"/>
            </w:tcBorders>
          </w:tcPr>
          <w:p>
            <w:pPr>
              <w:spacing w:after="0"/>
              <w:rPr>
                <w:sz w:val="21"/>
                <w:szCs w:val="21"/>
                <w:color w:val="auto"/>
              </w:rPr>
            </w:pPr>
          </w:p>
        </w:tc>
        <w:tc>
          <w:tcPr>
            <w:tcW w:w="760" w:type="dxa"/>
            <w:vAlign w:val="bottom"/>
            <w:tcBorders>
              <w:bottom w:val="single" w:sz="8" w:color="404040"/>
            </w:tcBorders>
          </w:tcPr>
          <w:p>
            <w:pPr>
              <w:spacing w:after="0"/>
              <w:rPr>
                <w:sz w:val="21"/>
                <w:szCs w:val="21"/>
                <w:color w:val="auto"/>
              </w:rPr>
            </w:pPr>
          </w:p>
        </w:tc>
      </w:tr>
      <w:tr>
        <w:trPr>
          <w:trHeight w:val="202"/>
        </w:trPr>
        <w:tc>
          <w:tcPr>
            <w:tcW w:w="66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Gain on modification of lease</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(736)</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2"/>
        </w:trPr>
        <w:tc>
          <w:tcPr>
            <w:tcW w:w="66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Depreciation and other amortization</w:t>
            </w:r>
          </w:p>
        </w:tc>
        <w:tc>
          <w:tcPr>
            <w:tcW w:w="1020" w:type="dxa"/>
            <w:vAlign w:val="bottom"/>
          </w:tcPr>
          <w:p>
            <w:pPr>
              <w:jc w:val="right"/>
              <w:ind w:right="148"/>
              <w:spacing w:after="0"/>
              <w:rPr>
                <w:sz w:val="20"/>
                <w:szCs w:val="20"/>
                <w:color w:val="auto"/>
              </w:rPr>
            </w:pPr>
            <w:r>
              <w:rPr>
                <w:rFonts w:ascii="Arial" w:cs="Arial" w:eastAsia="Arial" w:hAnsi="Arial"/>
                <w:sz w:val="14"/>
                <w:szCs w:val="14"/>
                <w:color w:val="auto"/>
              </w:rPr>
              <w:t>13,725</w:t>
            </w:r>
          </w:p>
        </w:tc>
        <w:tc>
          <w:tcPr>
            <w:tcW w:w="24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13,911</w:t>
            </w:r>
          </w:p>
        </w:tc>
        <w:tc>
          <w:tcPr>
            <w:tcW w:w="20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54,981</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54,535</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1"/>
        </w:trPr>
        <w:tc>
          <w:tcPr>
            <w:tcW w:w="66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2,159</w:t>
            </w:r>
          </w:p>
        </w:tc>
        <w:tc>
          <w:tcPr>
            <w:tcW w:w="24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4,774</w:t>
            </w:r>
          </w:p>
        </w:tc>
        <w:tc>
          <w:tcPr>
            <w:tcW w:w="20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16,323</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19,100</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2"/>
        </w:trPr>
        <w:tc>
          <w:tcPr>
            <w:tcW w:w="66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Amortization of debt discount and issuance costs</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257</w:t>
            </w:r>
          </w:p>
        </w:tc>
        <w:tc>
          <w:tcPr>
            <w:tcW w:w="24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318</w:t>
            </w:r>
          </w:p>
        </w:tc>
        <w:tc>
          <w:tcPr>
            <w:tcW w:w="20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907</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1,379</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1"/>
        </w:trPr>
        <w:tc>
          <w:tcPr>
            <w:tcW w:w="66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Impairment expense</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448</w:t>
            </w:r>
          </w:p>
        </w:tc>
        <w:tc>
          <w:tcPr>
            <w:tcW w:w="20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415</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4,144</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2"/>
        </w:trPr>
        <w:tc>
          <w:tcPr>
            <w:tcW w:w="66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Executive transition costs</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221</w:t>
            </w:r>
          </w:p>
        </w:tc>
        <w:tc>
          <w:tcPr>
            <w:tcW w:w="24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1,525</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1"/>
        </w:trPr>
        <w:tc>
          <w:tcPr>
            <w:tcW w:w="66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Restructuring charges</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9,720</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2"/>
        </w:trPr>
        <w:tc>
          <w:tcPr>
            <w:tcW w:w="66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Net gain on extinguishment of debt</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(941)</w:t>
            </w:r>
          </w:p>
        </w:tc>
        <w:tc>
          <w:tcPr>
            <w:tcW w:w="24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(1,365)</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(941)</w:t>
            </w:r>
          </w:p>
        </w:tc>
        <w:tc>
          <w:tcPr>
            <w:tcW w:w="30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(1,365)</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2"/>
        </w:trPr>
        <w:tc>
          <w:tcPr>
            <w:tcW w:w="66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Interest income</w:t>
            </w:r>
          </w:p>
        </w:tc>
        <w:tc>
          <w:tcPr>
            <w:tcW w:w="1020" w:type="dxa"/>
            <w:vAlign w:val="bottom"/>
          </w:tcPr>
          <w:p>
            <w:pPr>
              <w:jc w:val="right"/>
              <w:ind w:right="128"/>
              <w:spacing w:after="0"/>
              <w:rPr>
                <w:sz w:val="20"/>
                <w:szCs w:val="20"/>
                <w:color w:val="auto"/>
              </w:rPr>
            </w:pPr>
            <w:r>
              <w:rPr>
                <w:rFonts w:ascii="Arial" w:cs="Arial" w:eastAsia="Arial" w:hAnsi="Arial"/>
                <w:sz w:val="14"/>
                <w:szCs w:val="14"/>
                <w:color w:val="auto"/>
              </w:rPr>
              <w:t>(3,151)</w:t>
            </w:r>
          </w:p>
        </w:tc>
        <w:tc>
          <w:tcPr>
            <w:tcW w:w="240" w:type="dxa"/>
            <w:vAlign w:val="bottom"/>
          </w:tcPr>
          <w:p>
            <w:pPr>
              <w:spacing w:after="0"/>
              <w:rPr>
                <w:sz w:val="17"/>
                <w:szCs w:val="17"/>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color w:val="auto"/>
              </w:rPr>
              <w:t>(3,267)</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(12,290)</w:t>
            </w:r>
          </w:p>
        </w:tc>
        <w:tc>
          <w:tcPr>
            <w:tcW w:w="300" w:type="dxa"/>
            <w:vAlign w:val="bottom"/>
          </w:tcPr>
          <w:p>
            <w:pPr>
              <w:spacing w:after="0"/>
              <w:rPr>
                <w:sz w:val="17"/>
                <w:szCs w:val="17"/>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(14,871)</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1"/>
        </w:trPr>
        <w:tc>
          <w:tcPr>
            <w:tcW w:w="66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Interest expense</w:t>
            </w:r>
          </w:p>
        </w:tc>
        <w:tc>
          <w:tcPr>
            <w:tcW w:w="1020" w:type="dxa"/>
            <w:vAlign w:val="bottom"/>
          </w:tcPr>
          <w:p>
            <w:pPr>
              <w:jc w:val="right"/>
              <w:ind w:right="168"/>
              <w:spacing w:after="0"/>
              <w:rPr>
                <w:sz w:val="20"/>
                <w:szCs w:val="20"/>
                <w:color w:val="auto"/>
              </w:rPr>
            </w:pPr>
            <w:r>
              <w:rPr>
                <w:rFonts w:ascii="Arial" w:cs="Arial" w:eastAsia="Arial" w:hAnsi="Arial"/>
                <w:sz w:val="14"/>
                <w:szCs w:val="14"/>
                <w:color w:val="auto"/>
              </w:rPr>
              <w:t>2,944</w:t>
            </w:r>
          </w:p>
        </w:tc>
        <w:tc>
          <w:tcPr>
            <w:tcW w:w="24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913</w:t>
            </w:r>
          </w:p>
        </w:tc>
        <w:tc>
          <w:tcPr>
            <w:tcW w:w="20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11,792</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1,368</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2"/>
        </w:trPr>
        <w:tc>
          <w:tcPr>
            <w:tcW w:w="66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Other expense, net</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625</w:t>
            </w:r>
          </w:p>
        </w:tc>
        <w:tc>
          <w:tcPr>
            <w:tcW w:w="24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815</w:t>
            </w:r>
          </w:p>
        </w:tc>
        <w:tc>
          <w:tcPr>
            <w:tcW w:w="20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721</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1,028</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201"/>
        </w:trPr>
        <w:tc>
          <w:tcPr>
            <w:tcW w:w="660" w:type="dxa"/>
            <w:vAlign w:val="bottom"/>
          </w:tcPr>
          <w:p>
            <w:pPr>
              <w:spacing w:after="0"/>
              <w:rPr>
                <w:sz w:val="17"/>
                <w:szCs w:val="17"/>
                <w:color w:val="auto"/>
              </w:rPr>
            </w:pPr>
          </w:p>
        </w:tc>
        <w:tc>
          <w:tcPr>
            <w:tcW w:w="4600" w:type="dxa"/>
            <w:vAlign w:val="bottom"/>
            <w:gridSpan w:val="2"/>
          </w:tcPr>
          <w:p>
            <w:pPr>
              <w:ind w:left="200"/>
              <w:spacing w:after="0"/>
              <w:rPr>
                <w:sz w:val="20"/>
                <w:szCs w:val="20"/>
                <w:color w:val="auto"/>
              </w:rPr>
            </w:pPr>
            <w:r>
              <w:rPr>
                <w:rFonts w:ascii="Arial" w:cs="Arial" w:eastAsia="Arial" w:hAnsi="Arial"/>
                <w:sz w:val="14"/>
                <w:szCs w:val="14"/>
                <w:color w:val="auto"/>
              </w:rPr>
              <w:t>Income tax expense</w:t>
            </w:r>
          </w:p>
        </w:tc>
        <w:tc>
          <w:tcPr>
            <w:tcW w:w="1020" w:type="dxa"/>
            <w:vAlign w:val="bottom"/>
          </w:tcPr>
          <w:p>
            <w:pPr>
              <w:jc w:val="right"/>
              <w:ind w:right="188"/>
              <w:spacing w:after="0"/>
              <w:rPr>
                <w:sz w:val="20"/>
                <w:szCs w:val="20"/>
                <w:color w:val="auto"/>
              </w:rPr>
            </w:pPr>
            <w:r>
              <w:rPr>
                <w:rFonts w:ascii="Arial" w:cs="Arial" w:eastAsia="Arial" w:hAnsi="Arial"/>
                <w:sz w:val="14"/>
                <w:szCs w:val="14"/>
                <w:color w:val="auto"/>
              </w:rPr>
              <w:t>681</w:t>
            </w:r>
          </w:p>
        </w:tc>
        <w:tc>
          <w:tcPr>
            <w:tcW w:w="240" w:type="dxa"/>
            <w:vAlign w:val="bottom"/>
          </w:tcPr>
          <w:p>
            <w:pPr>
              <w:spacing w:after="0"/>
              <w:rPr>
                <w:sz w:val="17"/>
                <w:szCs w:val="17"/>
                <w:color w:val="auto"/>
              </w:rPr>
            </w:pPr>
          </w:p>
        </w:tc>
        <w:tc>
          <w:tcPr>
            <w:tcW w:w="660" w:type="dxa"/>
            <w:vAlign w:val="bottom"/>
          </w:tcPr>
          <w:p>
            <w:pPr>
              <w:jc w:val="right"/>
              <w:ind w:right="128"/>
              <w:spacing w:after="0"/>
              <w:rPr>
                <w:sz w:val="20"/>
                <w:szCs w:val="20"/>
                <w:color w:val="auto"/>
              </w:rPr>
            </w:pPr>
            <w:r>
              <w:rPr>
                <w:rFonts w:ascii="Arial" w:cs="Arial" w:eastAsia="Arial" w:hAnsi="Arial"/>
                <w:sz w:val="14"/>
                <w:szCs w:val="14"/>
                <w:color w:val="auto"/>
              </w:rPr>
              <w:t>1,141</w:t>
            </w:r>
          </w:p>
        </w:tc>
        <w:tc>
          <w:tcPr>
            <w:tcW w:w="20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2,488</w:t>
            </w:r>
          </w:p>
        </w:tc>
        <w:tc>
          <w:tcPr>
            <w:tcW w:w="300" w:type="dxa"/>
            <w:vAlign w:val="bottom"/>
          </w:tcPr>
          <w:p>
            <w:pPr>
              <w:spacing w:after="0"/>
              <w:rPr>
                <w:sz w:val="17"/>
                <w:szCs w:val="17"/>
                <w:color w:val="auto"/>
              </w:rPr>
            </w:pPr>
          </w:p>
        </w:tc>
        <w:tc>
          <w:tcPr>
            <w:tcW w:w="760" w:type="dxa"/>
            <w:vAlign w:val="bottom"/>
          </w:tcPr>
          <w:p>
            <w:pPr>
              <w:jc w:val="right"/>
              <w:ind w:right="148"/>
              <w:spacing w:after="0"/>
              <w:rPr>
                <w:sz w:val="20"/>
                <w:szCs w:val="20"/>
                <w:color w:val="auto"/>
              </w:rPr>
            </w:pPr>
            <w:r>
              <w:rPr>
                <w:rFonts w:ascii="Arial" w:cs="Arial" w:eastAsia="Arial" w:hAnsi="Arial"/>
                <w:sz w:val="14"/>
                <w:szCs w:val="14"/>
                <w:color w:val="auto"/>
              </w:rPr>
              <w:t>2,604</w:t>
            </w:r>
          </w:p>
        </w:tc>
      </w:tr>
      <w:tr>
        <w:trPr>
          <w:trHeight w:val="22"/>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404040"/>
            </w:tcBorders>
          </w:tcPr>
          <w:p>
            <w:pPr>
              <w:spacing w:after="0" w:line="20" w:lineRule="exact"/>
              <w:rPr>
                <w:sz w:val="1"/>
                <w:szCs w:val="1"/>
                <w:color w:val="auto"/>
              </w:rPr>
            </w:pPr>
          </w:p>
        </w:tc>
        <w:tc>
          <w:tcPr>
            <w:tcW w:w="240" w:type="dxa"/>
            <w:vAlign w:val="bottom"/>
            <w:tcBorders>
              <w:bottom w:val="single" w:sz="8" w:color="404040"/>
            </w:tcBorders>
          </w:tcPr>
          <w:p>
            <w:pPr>
              <w:spacing w:after="0" w:line="20" w:lineRule="exact"/>
              <w:rPr>
                <w:sz w:val="1"/>
                <w:szCs w:val="1"/>
                <w:color w:val="auto"/>
              </w:rPr>
            </w:pPr>
          </w:p>
        </w:tc>
        <w:tc>
          <w:tcPr>
            <w:tcW w:w="660" w:type="dxa"/>
            <w:vAlign w:val="bottom"/>
            <w:tcBorders>
              <w:bottom w:val="single" w:sz="8" w:color="404040"/>
            </w:tcBorders>
          </w:tcPr>
          <w:p>
            <w:pPr>
              <w:spacing w:after="0" w:line="20" w:lineRule="exact"/>
              <w:rPr>
                <w:sz w:val="1"/>
                <w:szCs w:val="1"/>
                <w:color w:val="auto"/>
              </w:rPr>
            </w:pPr>
          </w:p>
        </w:tc>
        <w:tc>
          <w:tcPr>
            <w:tcW w:w="200" w:type="dxa"/>
            <w:vAlign w:val="bottom"/>
            <w:tcBorders>
              <w:bottom w:val="single" w:sz="8" w:color="404040"/>
            </w:tcBorders>
          </w:tcPr>
          <w:p>
            <w:pPr>
              <w:spacing w:after="0" w:line="20" w:lineRule="exact"/>
              <w:rPr>
                <w:sz w:val="1"/>
                <w:szCs w:val="1"/>
                <w:color w:val="auto"/>
              </w:rPr>
            </w:pPr>
          </w:p>
        </w:tc>
        <w:tc>
          <w:tcPr>
            <w:tcW w:w="640" w:type="dxa"/>
            <w:vAlign w:val="bottom"/>
            <w:tcBorders>
              <w:bottom w:val="single" w:sz="8" w:color="404040"/>
            </w:tcBorders>
          </w:tcPr>
          <w:p>
            <w:pPr>
              <w:spacing w:after="0" w:line="20" w:lineRule="exact"/>
              <w:rPr>
                <w:sz w:val="1"/>
                <w:szCs w:val="1"/>
                <w:color w:val="auto"/>
              </w:rPr>
            </w:pPr>
          </w:p>
        </w:tc>
        <w:tc>
          <w:tcPr>
            <w:tcW w:w="300" w:type="dxa"/>
            <w:vAlign w:val="bottom"/>
            <w:tcBorders>
              <w:bottom w:val="single" w:sz="8" w:color="404040"/>
            </w:tcBorders>
          </w:tcPr>
          <w:p>
            <w:pPr>
              <w:spacing w:after="0" w:line="20" w:lineRule="exact"/>
              <w:rPr>
                <w:sz w:val="1"/>
                <w:szCs w:val="1"/>
                <w:color w:val="auto"/>
              </w:rPr>
            </w:pPr>
          </w:p>
        </w:tc>
        <w:tc>
          <w:tcPr>
            <w:tcW w:w="760" w:type="dxa"/>
            <w:vAlign w:val="bottom"/>
            <w:tcBorders>
              <w:bottom w:val="single" w:sz="8" w:color="404040"/>
            </w:tcBorders>
          </w:tcPr>
          <w:p>
            <w:pPr>
              <w:spacing w:after="0" w:line="20" w:lineRule="exact"/>
              <w:rPr>
                <w:sz w:val="1"/>
                <w:szCs w:val="1"/>
                <w:color w:val="auto"/>
              </w:rPr>
            </w:pPr>
          </w:p>
        </w:tc>
      </w:tr>
      <w:tr>
        <w:trPr>
          <w:trHeight w:val="183"/>
        </w:trPr>
        <w:tc>
          <w:tcPr>
            <w:tcW w:w="660" w:type="dxa"/>
            <w:vAlign w:val="bottom"/>
          </w:tcPr>
          <w:p>
            <w:pPr>
              <w:spacing w:after="0"/>
              <w:rPr>
                <w:sz w:val="15"/>
                <w:szCs w:val="15"/>
                <w:color w:val="auto"/>
              </w:rPr>
            </w:pPr>
          </w:p>
        </w:tc>
        <w:tc>
          <w:tcPr>
            <w:tcW w:w="4600" w:type="dxa"/>
            <w:vAlign w:val="bottom"/>
            <w:gridSpan w:val="2"/>
          </w:tcPr>
          <w:p>
            <w:pPr>
              <w:ind w:left="60"/>
              <w:spacing w:after="0"/>
              <w:rPr>
                <w:sz w:val="20"/>
                <w:szCs w:val="20"/>
                <w:color w:val="auto"/>
              </w:rPr>
            </w:pPr>
            <w:r>
              <w:rPr>
                <w:rFonts w:ascii="Arial" w:cs="Arial" w:eastAsia="Arial" w:hAnsi="Arial"/>
                <w:sz w:val="14"/>
                <w:szCs w:val="14"/>
                <w:b w:val="1"/>
                <w:bCs w:val="1"/>
                <w:color w:val="auto"/>
              </w:rPr>
              <w:t>Adjusted EBITDA</w:t>
            </w: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$34,954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11,118</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77,379</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32,562</w:t>
            </w:r>
          </w:p>
        </w:tc>
      </w:tr>
      <w:tr>
        <w:trPr>
          <w:trHeight w:val="21"/>
        </w:trPr>
        <w:tc>
          <w:tcPr>
            <w:tcW w:w="660" w:type="dxa"/>
            <w:vAlign w:val="bottom"/>
          </w:tcPr>
          <w:p>
            <w:pPr>
              <w:spacing w:after="0" w:line="20" w:lineRule="exact"/>
              <w:rPr>
                <w:sz w:val="1"/>
                <w:szCs w:val="1"/>
                <w:color w:val="auto"/>
              </w:rPr>
            </w:pPr>
          </w:p>
        </w:tc>
        <w:tc>
          <w:tcPr>
            <w:tcW w:w="880" w:type="dxa"/>
            <w:vAlign w:val="bottom"/>
            <w:tcBorders>
              <w:bottom w:val="single" w:sz="8" w:color="404040"/>
            </w:tcBorders>
          </w:tcPr>
          <w:p>
            <w:pPr>
              <w:spacing w:after="0" w:line="20" w:lineRule="exact"/>
              <w:rPr>
                <w:sz w:val="1"/>
                <w:szCs w:val="1"/>
                <w:color w:val="auto"/>
              </w:rPr>
            </w:pPr>
          </w:p>
        </w:tc>
        <w:tc>
          <w:tcPr>
            <w:tcW w:w="3720" w:type="dxa"/>
            <w:vAlign w:val="bottom"/>
            <w:tcBorders>
              <w:bottom w:val="single" w:sz="8" w:color="404040"/>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left="1000" w:right="640" w:hanging="348"/>
        <w:spacing w:after="0" w:line="225" w:lineRule="auto"/>
        <w:tabs>
          <w:tab w:leader="none" w:pos="1000" w:val="left"/>
        </w:tabs>
        <w:numPr>
          <w:ilvl w:val="0"/>
          <w:numId w:val="57"/>
        </w:numPr>
        <w:rPr>
          <w:rFonts w:ascii="Arial" w:cs="Arial" w:eastAsia="Arial" w:hAnsi="Arial"/>
          <w:sz w:val="13"/>
          <w:szCs w:val="13"/>
          <w:color w:val="auto"/>
        </w:rPr>
      </w:pPr>
      <w:r>
        <w:rPr>
          <w:rFonts w:ascii="Arial" w:cs="Arial" w:eastAsia="Arial" w:hAnsi="Arial"/>
          <w:sz w:val="13"/>
          <w:szCs w:val="13"/>
          <w:color w:val="auto"/>
        </w:rPr>
        <w:t>Similar to stock-based compensation, we believe it is also appropriate to exclude amortization of capitalized stock-based compensation from our non-GAAP financial measures in order to reflect the performance of our core business and to be consistent with the way many investors evaluate our performance and compare our operating results to peer companies. However, we have not historically done so. In order to continue to improve the usefulness of our non-GAAP financial measures to the investors, starting with the quarter ended March 31, 2025, we are excluding amortization of capitalized stock-based compensation from our non-GAAP financial measures and we have accordingly recast the presentation for all prior periods presented to reflect this change. Refer to Non-GAAP Financial Measures definition for further details.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2026 PROXY STATEMENT  |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wp:posOffset>
            </wp:positionH>
            <wp:positionV relativeFrom="paragraph">
              <wp:posOffset>113665</wp:posOffset>
            </wp:positionV>
            <wp:extent cx="699516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114" w:right="10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59690</wp:posOffset>
            </wp:positionV>
            <wp:extent cx="6643370" cy="8597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1."/>
      <w:numFmt w:val="decimal"/>
      <w:start w:val="2"/>
    </w:lvl>
  </w:abstractNum>
  <w:abstractNum w:abstractNumId="6">
    <w:nsid w:val="6CEAF087"/>
    <w:multiLevelType w:val="hybridMultilevel"/>
    <w:lvl w:ilvl="0">
      <w:lvlJc w:val="left"/>
      <w:lvlText w:val="%1."/>
      <w:numFmt w:val="decimal"/>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1)"/>
      <w:numFmt w:val="decimal"/>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1)"/>
      <w:numFmt w:val="lowerRoman"/>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2"/>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1)"/>
      <w:numFmt w:val="decimal"/>
      <w:start w:val="1"/>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3"/>
    </w:lvl>
  </w:abstractNum>
  <w:abstractNum w:abstractNumId="43">
    <w:nsid w:val="3DC240FB"/>
    <w:multiLevelType w:val="hybridMultilevel"/>
    <w:lvl w:ilvl="0">
      <w:lvlJc w:val="left"/>
      <w:lvlText w:val="(%1)"/>
      <w:numFmt w:val="decimal"/>
      <w:start w:val="1"/>
    </w:lvl>
  </w:abstractNum>
  <w:abstractNum w:abstractNumId="44">
    <w:nsid w:val="1BA026FA"/>
    <w:multiLevelType w:val="hybridMultilevel"/>
    <w:lvl w:ilvl="0">
      <w:lvlJc w:val="left"/>
      <w:lvlText w:val="(%1)"/>
      <w:numFmt w:val="decimal"/>
      <w:start w:val="9"/>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lvl w:ilvl="1">
      <w:lvlJc w:val="left"/>
      <w:lvlText w:val="**"/>
      <w:numFmt w:val="bullet"/>
      <w:start w:val="1"/>
    </w:lvl>
  </w:abstractNum>
  <w:abstractNum w:abstractNumId="47">
    <w:nsid w:val="12E685FB"/>
    <w:multiLevelType w:val="hybridMultilevel"/>
    <w:lvl w:ilvl="0">
      <w:lvlJc w:val="left"/>
      <w:lvlText w:val="(%1)"/>
      <w:numFmt w:val="decimal"/>
      <w:start w:val="15"/>
    </w:lvl>
    <w:lvl w:ilvl="1">
      <w:lvlJc w:val="left"/>
      <w:lvlText w:val="***"/>
      <w:numFmt w:val="bullet"/>
      <w:start w:val="1"/>
    </w:lvl>
  </w:abstractNum>
  <w:abstractNum w:abstractNumId="48">
    <w:nsid w:val="70C6A529"/>
    <w:multiLevelType w:val="hybridMultilevel"/>
    <w:lvl w:ilvl="0">
      <w:lvlJc w:val="left"/>
      <w:lvlText w:val="(%1)"/>
      <w:numFmt w:val="lowerRoman"/>
      <w:start w:val="5"/>
    </w:lvl>
  </w:abstractNum>
  <w:abstractNum w:abstractNumId="49">
    <w:nsid w:val="520EEDD1"/>
    <w:multiLevelType w:val="hybridMultilevel"/>
    <w:lvl w:ilvl="0">
      <w:lvlJc w:val="left"/>
      <w:lvlText w:val="(%1)"/>
      <w:numFmt w:val="decimal"/>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1)"/>
      <w:numFmt w:val="decimal"/>
      <w:start w:val="3"/>
    </w:lvl>
  </w:abstractNum>
  <w:abstractNum w:abstractNumId="52">
    <w:nsid w:val="23F9C13C"/>
    <w:multiLevelType w:val="hybridMultilevel"/>
    <w:lvl w:ilvl="0">
      <w:lvlJc w:val="left"/>
      <w:lvlText w:val="•"/>
      <w:numFmt w:val="bullet"/>
      <w:start w:val="1"/>
    </w:lvl>
    <w:lvl w:ilvl="1">
      <w:lvlJc w:val="left"/>
      <w:lvlText w:val="(%2)"/>
      <w:numFmt w:val="decimal"/>
      <w:start w:val="1"/>
    </w:lvl>
  </w:abstractNum>
  <w:abstractNum w:abstractNumId="53">
    <w:nsid w:val="649BB77C"/>
    <w:multiLevelType w:val="hybridMultilevel"/>
    <w:lvl w:ilvl="0">
      <w:lvlJc w:val="left"/>
      <w:lvlText w:val="(%1)"/>
      <w:numFmt w:val="decimal"/>
      <w:start w:val="1"/>
    </w:lvl>
  </w:abstractNum>
  <w:abstractNum w:abstractNumId="54">
    <w:nsid w:val="275AC794"/>
    <w:multiLevelType w:val="hybridMultilevel"/>
    <w:lvl w:ilvl="0">
      <w:lvlJc w:val="left"/>
      <w:lvlText w:val="(%1)"/>
      <w:numFmt w:val="decimal"/>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2026-04-22T15:12:03Z</dcterms:created>
  <dcterms:modified xsi:type="dcterms:W3CDTF">2026-04-22T15:12:03Z</dcterms:modified>
</cp:coreProperties>
</file>