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ectPr>
          <w:pgSz w:w="11900" w:h="16838" w:orient="portrait"/>
          <w:cols w:equalWidth="0" w:num="1">
            <w:col w:w="11200"/>
          </w:cols>
          <w:pgMar w:left="320" w:top="1051" w:right="3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left="84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42" w:lineRule="exact"/>
        <w:rPr>
          <w:sz w:val="24"/>
          <w:szCs w:val="24"/>
          <w:color w:val="auto"/>
        </w:rPr>
      </w:pPr>
    </w:p>
    <w:p>
      <w:pPr>
        <w:jc w:val="both"/>
        <w:ind w:left="940" w:right="100" w:firstLine="40"/>
        <w:spacing w:after="0" w:line="264" w:lineRule="auto"/>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2"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0" w:lineRule="exact"/>
        <w:rPr>
          <w:sz w:val="24"/>
          <w:szCs w:val="24"/>
          <w:color w:val="auto"/>
        </w:rPr>
      </w:pPr>
    </w:p>
    <w:p>
      <w:pPr>
        <w:spacing w:after="0" w:line="222"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32"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6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6"/>
          <w:szCs w:val="16"/>
          <w:color w:val="auto"/>
        </w:rPr>
        <w:t>Date of Report (Date of earliest event reported): June 3, 2026</w:t>
      </w:r>
    </w:p>
    <w:p>
      <w:pPr>
        <w:spacing w:after="0" w:line="170"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43"/>
          <w:szCs w:val="43"/>
          <w:b w:val="1"/>
          <w:bCs w:val="1"/>
          <w:color w:val="auto"/>
        </w:rPr>
        <w:t>FASTLY, INC.</w:t>
      </w:r>
    </w:p>
    <w:p>
      <w:pPr>
        <w:spacing w:after="0" w:line="61"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27"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001-38897</w:t>
      </w:r>
    </w:p>
    <w:p>
      <w:pPr>
        <w:spacing w:after="0" w:line="177"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27-5411834</w:t>
      </w:r>
    </w:p>
    <w:p>
      <w:pPr>
        <w:spacing w:after="0" w:line="42"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26" w:lineRule="exact"/>
        <w:rPr>
          <w:sz w:val="24"/>
          <w:szCs w:val="24"/>
          <w:color w:val="auto"/>
        </w:rPr>
      </w:pPr>
    </w:p>
    <w:p>
      <w:pPr>
        <w:sectPr>
          <w:pgSz w:w="11900" w:h="16838" w:orient="portrait"/>
          <w:cols w:equalWidth="0" w:num="3">
            <w:col w:w="2920" w:space="720"/>
            <w:col w:w="4260" w:space="720"/>
            <w:col w:w="2580"/>
          </w:cols>
          <w:pgMar w:left="320" w:top="1051" w:right="379" w:bottom="1440" w:gutter="0" w:footer="0" w:header="0"/>
          <w:type w:val="continuous"/>
        </w:sectPr>
      </w:pP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475 Brannan Street, Suite 300</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San Francisco, CA 94107</w:t>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(Zip code)</w:t>
      </w:r>
    </w:p>
    <w:p>
      <w:pPr>
        <w:spacing w:after="0" w:line="1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(844) 432-7859</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6"/>
          <w:szCs w:val="16"/>
          <w:u w:val="single" w:color="auto"/>
          <w:color w:val="auto"/>
        </w:rPr>
        <w:t>see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Instructions A.2. below):</w:t>
      </w:r>
    </w:p>
    <w:p>
      <w:pPr>
        <w:spacing w:after="0" w:line="12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right="3280" w:firstLine="26"/>
        <w:spacing w:after="0" w:line="421" w:lineRule="auto"/>
        <w:tabs>
          <w:tab w:leader="none" w:pos="66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6"/>
        </w:trPr>
        <w:tc>
          <w:tcPr>
            <w:tcW w:w="3760" w:type="dxa"/>
            <w:vAlign w:val="bottom"/>
            <w:gridSpan w:val="2"/>
            <w:vMerge w:val="continue"/>
          </w:tcPr>
          <w:p>
            <w:pPr>
              <w:spacing w:after="0"/>
              <w:rPr>
                <w:sz w:val="17"/>
                <w:szCs w:val="17"/>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0"/>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Common Stock, $0.00002 par value</w:t>
            </w:r>
          </w:p>
        </w:tc>
        <w:tc>
          <w:tcPr>
            <w:tcW w:w="100" w:type="dxa"/>
            <w:vAlign w:val="bottom"/>
          </w:tcPr>
          <w:p>
            <w:pPr>
              <w:spacing w:after="0"/>
              <w:rPr>
                <w:sz w:val="16"/>
                <w:szCs w:val="16"/>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“FSLY”</w:t>
            </w:r>
          </w:p>
        </w:tc>
        <w:tc>
          <w:tcPr>
            <w:tcW w:w="100" w:type="dxa"/>
            <w:vAlign w:val="bottom"/>
          </w:tcPr>
          <w:p>
            <w:pPr>
              <w:spacing w:after="0"/>
              <w:rPr>
                <w:sz w:val="16"/>
                <w:szCs w:val="16"/>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bl>
    <w:p>
      <w:pPr>
        <w:spacing w:after="0" w:line="174" w:lineRule="exact"/>
        <w:rPr>
          <w:sz w:val="24"/>
          <w:szCs w:val="24"/>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7"/>
          <w:szCs w:val="17"/>
          <w:color w:val="auto"/>
        </w:rPr>
        <w:t>☐</w:t>
      </w:r>
    </w:p>
    <w:p>
      <w:pPr>
        <w:spacing w:after="0" w:line="255" w:lineRule="exact"/>
        <w:rPr>
          <w:sz w:val="24"/>
          <w:szCs w:val="24"/>
          <w:color w:val="auto"/>
        </w:rPr>
      </w:pPr>
    </w:p>
    <w:p>
      <w:pPr>
        <w:ind w:right="54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798195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1" w:right="379" w:bottom="1440" w:gutter="0" w:footer="0" w:header="0"/>
          <w:type w:val="continuous"/>
        </w:sectPr>
      </w:pPr>
    </w:p>
    <w:bookmarkStart w:id="1" w:name="page2"/>
    <w:bookmarkEnd w:id="1"/>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ind w:right="180" w:firstLine="486"/>
        <w:spacing w:after="0"/>
        <w:rPr>
          <w:sz w:val="20"/>
          <w:szCs w:val="20"/>
          <w:color w:val="auto"/>
        </w:rPr>
      </w:pPr>
      <w:r>
        <w:rPr>
          <w:rFonts w:ascii="Times New Roman" w:cs="Times New Roman" w:eastAsia="Times New Roman" w:hAnsi="Times New Roman"/>
          <w:sz w:val="18"/>
          <w:szCs w:val="18"/>
          <w:color w:val="auto"/>
        </w:rPr>
        <w:t>On June 3, 2026, Fastly, Inc. ("Fastly") appointed Jeffrey Ford as principal accounting officer of Fastly, effective as of June 3, 2026 (the "PAO Effective Date"); he will not be an executive officer of Fastly. Mr. Ford has served as Fastly's Chief Accounting Officer since joining Fastly in September 2025. Richard Wong has served as Fastly's Chief Financial Officer and principal accounting officer since his appointment in August 2025. On the PAO Effective Date, Mr. Wong will cease serving as principal accounting officer, but will continue to serve as Fastly's Chief Financial Officer.</w:t>
      </w:r>
    </w:p>
    <w:p>
      <w:pPr>
        <w:spacing w:after="0" w:line="212"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18"/>
          <w:szCs w:val="18"/>
          <w:color w:val="auto"/>
        </w:rPr>
        <w:t>Mr. Ford, age 47, joined Fastly in September 2025 as Chief Accounting Officer. From August 2023 to September 2025, Mr. Ford served as Chief Accounting Officer and Senior Vice President of Finance at LivePerson, Inc., a digital engagement and conversational AI company. Before joining LivePerson, Mr. Ford served as a Controller at Stripe, LLC (formerly Stripe, Inc.), a global financial infrastructure platform from April 2022 to November 2022. From July 2021 to April 2022, Mr. Ford served as Vice President, Accounting at CrowdStrike, Inc., a cybersecurity technology company. Prior to that, Mr. Ford was a Partner at KPMG, a global network of professional firms providing audit, tax and advisory services, where he also held various leadership roles and served in the National Office (Department of Professional Practice) for over 20 years. He holds a B.S. in Accounting and B.A. in Business Administration and Economics from the University of Redlands and is a graduate of the Stanford Executive Program and an alumnus of Stanford University’s Graduate School of Business. Mr. Ford is a certified public accountant.</w:t>
      </w:r>
    </w:p>
    <w:p>
      <w:pPr>
        <w:spacing w:after="0" w:line="214" w:lineRule="exact"/>
        <w:rPr>
          <w:sz w:val="20"/>
          <w:szCs w:val="20"/>
          <w:color w:val="auto"/>
        </w:rPr>
      </w:pPr>
    </w:p>
    <w:p>
      <w:pPr>
        <w:ind w:right="100" w:firstLine="486"/>
        <w:spacing w:after="0" w:line="250" w:lineRule="auto"/>
        <w:rPr>
          <w:sz w:val="20"/>
          <w:szCs w:val="20"/>
          <w:color w:val="auto"/>
        </w:rPr>
      </w:pPr>
      <w:r>
        <w:rPr>
          <w:rFonts w:ascii="Times New Roman" w:cs="Times New Roman" w:eastAsia="Times New Roman" w:hAnsi="Times New Roman"/>
          <w:sz w:val="18"/>
          <w:szCs w:val="18"/>
          <w:color w:val="auto"/>
        </w:rPr>
        <w:t>There are no arrangements or understandings between Mr. Ford and any other person pursuant to which Mr. Ford was appointed as principal accounting officer and there are no family relationships between Mr. Ford and any director or executive officer of Fastly. Mr. Ford has no direct or indirect material interest in any transaction required to be disclosed pursuant to Item 404(a) of Regulation S-K.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ind w:right="200" w:firstLine="486"/>
        <w:spacing w:after="0" w:line="238" w:lineRule="auto"/>
        <w:rPr>
          <w:sz w:val="20"/>
          <w:szCs w:val="20"/>
          <w:color w:val="auto"/>
        </w:rPr>
      </w:pPr>
      <w:r>
        <w:rPr>
          <w:rFonts w:ascii="Times New Roman" w:cs="Times New Roman" w:eastAsia="Times New Roman" w:hAnsi="Times New Roman"/>
          <w:sz w:val="18"/>
          <w:szCs w:val="18"/>
          <w:color w:val="auto"/>
        </w:rPr>
        <w:t>On June 3, 2026, Fastly held its 2026 Annual Meeting of Stockholders (the “2026 Annual Meeting”). The following is a brief description of each matter voted upon at the 2026 Annual Meeting, as well as the final tally of the number of votes cast: (a) for or withhold with respect to the election of directors; (b) for, against or abstain for the ratification of the selection of KPMG LLP as Fastly’s independent registered public accounting firm for the fiscal year ending December 31, 2026; and (c) for, against, or abstain for the approval, on an advisory basis, of the compensation of Fastly’s named executive officers. Broker non-votes are also reported. A more complete description of each matter is set forth in Fastly’s definitive proxy statement filed with the Securities and Exchange Commission on April 22, 2026 (the “Proxy Statement”).</w:t>
      </w:r>
    </w:p>
    <w:p>
      <w:pPr>
        <w:spacing w:after="0" w:line="267" w:lineRule="exact"/>
        <w:rPr>
          <w:sz w:val="20"/>
          <w:szCs w:val="20"/>
          <w:color w:val="auto"/>
        </w:rPr>
      </w:pPr>
    </w:p>
    <w:p>
      <w:pPr>
        <w:ind w:left="1800" w:right="320" w:hanging="1072"/>
        <w:spacing w:after="0" w:line="250" w:lineRule="auto"/>
        <w:tabs>
          <w:tab w:leader="none" w:pos="1780" w:val="left"/>
        </w:tabs>
        <w:rPr>
          <w:sz w:val="20"/>
          <w:szCs w:val="20"/>
          <w:color w:val="auto"/>
        </w:rPr>
      </w:pPr>
      <w:r>
        <w:rPr>
          <w:rFonts w:ascii="Times New Roman" w:cs="Times New Roman" w:eastAsia="Times New Roman" w:hAnsi="Times New Roman"/>
          <w:sz w:val="18"/>
          <w:szCs w:val="18"/>
          <w:color w:val="auto"/>
        </w:rPr>
        <w:t>Proposal 1:</w:t>
        <w:tab/>
        <w:t>Each of the three directors proposed by Fastly for election was elected by the following votes to serve until Fastly’s 2029 Annual Meeting of Stockholders and until his or her respective successor has been elected and qualified, or, if sooner, until the director’s death, resignation or removal. The tabulation of votes on this matter was as follows:</w:t>
      </w:r>
    </w:p>
    <w:p>
      <w:pPr>
        <w:spacing w:after="0" w:line="2" w:lineRule="exact"/>
        <w:rPr>
          <w:sz w:val="20"/>
          <w:szCs w:val="20"/>
          <w:color w:val="auto"/>
        </w:rPr>
      </w:pPr>
    </w:p>
    <w:tbl>
      <w:tblPr>
        <w:tblLayout w:type="fixed"/>
        <w:tblInd w:w="2720" w:type="dxa"/>
        <w:tblCellMar>
          <w:top w:w="0" w:type="dxa"/>
          <w:left w:w="0" w:type="dxa"/>
          <w:bottom w:w="0" w:type="dxa"/>
          <w:right w:w="0" w:type="dxa"/>
        </w:tblCellMar>
      </w:tblPr>
      <w:tr>
        <w:trPr>
          <w:trHeight w:val="207"/>
        </w:trPr>
        <w:tc>
          <w:tcPr>
            <w:tcW w:w="1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color w:val="auto"/>
                <w:w w:val="95"/>
              </w:rPr>
              <w:t>For</w:t>
            </w:r>
          </w:p>
        </w:tc>
        <w:tc>
          <w:tcPr>
            <w:tcW w:w="19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Withhold</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0"/>
        </w:trPr>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r>
        <w:trPr>
          <w:trHeight w:val="245"/>
        </w:trPr>
        <w:tc>
          <w:tcPr>
            <w:tcW w:w="15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Aida Álvarez</w:t>
            </w:r>
          </w:p>
        </w:tc>
        <w:tc>
          <w:tcPr>
            <w:tcW w:w="15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64,546,213</w:t>
            </w:r>
          </w:p>
        </w:tc>
        <w:tc>
          <w:tcPr>
            <w:tcW w:w="19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34,566,664</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27,697,198</w:t>
            </w:r>
          </w:p>
        </w:tc>
      </w:tr>
      <w:tr>
        <w:trPr>
          <w:trHeight w:val="230"/>
        </w:trPr>
        <w:tc>
          <w:tcPr>
            <w:tcW w:w="15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7"/>
              </w:rPr>
              <w:t>Charles Compton</w:t>
            </w:r>
          </w:p>
        </w:tc>
        <w:tc>
          <w:tcPr>
            <w:tcW w:w="15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97,724,476</w:t>
            </w:r>
          </w:p>
        </w:tc>
        <w:tc>
          <w:tcPr>
            <w:tcW w:w="19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1,388,401</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27,697,198</w:t>
            </w:r>
          </w:p>
        </w:tc>
      </w:tr>
      <w:tr>
        <w:trPr>
          <w:trHeight w:val="234"/>
        </w:trPr>
        <w:tc>
          <w:tcPr>
            <w:tcW w:w="15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Richard Daniels</w:t>
            </w:r>
          </w:p>
        </w:tc>
        <w:tc>
          <w:tcPr>
            <w:tcW w:w="15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93,859,972</w:t>
            </w:r>
          </w:p>
        </w:tc>
        <w:tc>
          <w:tcPr>
            <w:tcW w:w="19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5,252,905</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27,697,198</w:t>
            </w:r>
          </w:p>
        </w:tc>
      </w:tr>
    </w:tbl>
    <w:p>
      <w:pPr>
        <w:spacing w:after="0" w:line="265" w:lineRule="exact"/>
        <w:rPr>
          <w:sz w:val="20"/>
          <w:szCs w:val="20"/>
          <w:color w:val="auto"/>
        </w:rPr>
      </w:pPr>
    </w:p>
    <w:p>
      <w:pPr>
        <w:ind w:left="740"/>
        <w:spacing w:after="0"/>
        <w:tabs>
          <w:tab w:leader="none" w:pos="1780" w:val="left"/>
        </w:tabs>
        <w:rPr>
          <w:sz w:val="20"/>
          <w:szCs w:val="20"/>
          <w:color w:val="auto"/>
        </w:rPr>
      </w:pPr>
      <w:r>
        <w:rPr>
          <w:rFonts w:ascii="Times New Roman" w:cs="Times New Roman" w:eastAsia="Times New Roman" w:hAnsi="Times New Roman"/>
          <w:sz w:val="18"/>
          <w:szCs w:val="18"/>
          <w:color w:val="auto"/>
        </w:rPr>
        <w:t>Proposal 2:</w:t>
      </w:r>
      <w:r>
        <w:rPr>
          <w:sz w:val="20"/>
          <w:szCs w:val="20"/>
          <w:color w:val="auto"/>
        </w:rPr>
        <w:tab/>
      </w:r>
      <w:r>
        <w:rPr>
          <w:rFonts w:ascii="Times New Roman" w:cs="Times New Roman" w:eastAsia="Times New Roman" w:hAnsi="Times New Roman"/>
          <w:sz w:val="17"/>
          <w:szCs w:val="17"/>
          <w:color w:val="auto"/>
        </w:rPr>
        <w:t>The selection of KPMG LLP as Fastly’s independent registered public accounting firm for the fiscal year ending December 31,</w:t>
      </w:r>
    </w:p>
    <w:p>
      <w:pPr>
        <w:spacing w:after="0" w:line="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2026 was ratified. The tabulation of votes on this matter was as follows:</w:t>
      </w:r>
    </w:p>
    <w:tbl>
      <w:tblPr>
        <w:tblLayout w:type="fixed"/>
        <w:tblInd w:w="2460" w:type="dxa"/>
        <w:tblCellMar>
          <w:top w:w="0" w:type="dxa"/>
          <w:left w:w="0" w:type="dxa"/>
          <w:bottom w:w="0" w:type="dxa"/>
          <w:right w:w="0" w:type="dxa"/>
        </w:tblCellMar>
      </w:tblPr>
      <w:tr>
        <w:trPr>
          <w:trHeight w:val="196"/>
        </w:trPr>
        <w:tc>
          <w:tcPr>
            <w:tcW w:w="320" w:type="dxa"/>
            <w:vAlign w:val="bottom"/>
          </w:tcPr>
          <w:p>
            <w:pPr>
              <w:spacing w:after="0"/>
              <w:rPr>
                <w:sz w:val="17"/>
                <w:szCs w:val="17"/>
                <w:color w:val="auto"/>
              </w:rPr>
            </w:pPr>
          </w:p>
        </w:tc>
        <w:tc>
          <w:tcPr>
            <w:tcW w:w="1180" w:type="dxa"/>
            <w:vAlign w:val="bottom"/>
            <w:gridSpan w:val="2"/>
          </w:tcPr>
          <w:p>
            <w:pPr>
              <w:jc w:val="center"/>
              <w:ind w:right="940"/>
              <w:spacing w:after="0" w:line="196" w:lineRule="exact"/>
              <w:rPr>
                <w:sz w:val="20"/>
                <w:szCs w:val="20"/>
                <w:color w:val="auto"/>
              </w:rPr>
            </w:pPr>
            <w:r>
              <w:rPr>
                <w:rFonts w:ascii="Times New Roman" w:cs="Times New Roman" w:eastAsia="Times New Roman" w:hAnsi="Times New Roman"/>
                <w:sz w:val="18"/>
                <w:szCs w:val="18"/>
                <w:color w:val="auto"/>
                <w:w w:val="95"/>
              </w:rPr>
              <w:t>For</w:t>
            </w:r>
          </w:p>
        </w:tc>
        <w:tc>
          <w:tcPr>
            <w:tcW w:w="640" w:type="dxa"/>
            <w:vAlign w:val="bottom"/>
          </w:tcPr>
          <w:p>
            <w:pPr>
              <w:spacing w:after="0"/>
              <w:rPr>
                <w:sz w:val="17"/>
                <w:szCs w:val="17"/>
                <w:color w:val="auto"/>
              </w:rPr>
            </w:pPr>
          </w:p>
        </w:tc>
        <w:tc>
          <w:tcPr>
            <w:tcW w:w="1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Against</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Abstain</w:t>
            </w:r>
          </w:p>
        </w:tc>
      </w:tr>
      <w:tr>
        <w:trPr>
          <w:trHeight w:val="20"/>
        </w:trPr>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250"/>
        </w:trPr>
        <w:tc>
          <w:tcPr>
            <w:tcW w:w="15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w w:val="95"/>
              </w:rPr>
              <w:t>126,612,112</w:t>
            </w:r>
          </w:p>
        </w:tc>
        <w:tc>
          <w:tcPr>
            <w:tcW w:w="24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150,211</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47,752</w:t>
            </w:r>
          </w:p>
        </w:tc>
      </w:tr>
    </w:tbl>
    <w:p>
      <w:pPr>
        <w:spacing w:after="0" w:line="265" w:lineRule="exact"/>
        <w:rPr>
          <w:sz w:val="20"/>
          <w:szCs w:val="20"/>
          <w:color w:val="auto"/>
        </w:rPr>
      </w:pPr>
    </w:p>
    <w:p>
      <w:pPr>
        <w:ind w:left="1800" w:right="620" w:hanging="1072"/>
        <w:spacing w:after="0" w:line="245" w:lineRule="auto"/>
        <w:tabs>
          <w:tab w:leader="none" w:pos="1780" w:val="left"/>
        </w:tabs>
        <w:rPr>
          <w:sz w:val="20"/>
          <w:szCs w:val="20"/>
          <w:color w:val="auto"/>
        </w:rPr>
      </w:pPr>
      <w:r>
        <w:rPr>
          <w:rFonts w:ascii="Times New Roman" w:cs="Times New Roman" w:eastAsia="Times New Roman" w:hAnsi="Times New Roman"/>
          <w:sz w:val="18"/>
          <w:szCs w:val="18"/>
          <w:color w:val="auto"/>
        </w:rPr>
        <w:t>Proposal 3:</w:t>
        <w:tab/>
        <w:t>The compensation of Fastly’s named executive officers, as disclosed in the Proxy Statement, was approved on an advisory basis. The tabulation of votes on this matter was as follows:</w:t>
      </w: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1100" w:type="dxa"/>
            <w:vAlign w:val="bottom"/>
            <w:gridSpan w:val="2"/>
          </w:tcPr>
          <w:p>
            <w:pPr>
              <w:jc w:val="center"/>
              <w:ind w:right="860"/>
              <w:spacing w:after="0" w:line="190" w:lineRule="exact"/>
              <w:rPr>
                <w:sz w:val="20"/>
                <w:szCs w:val="20"/>
                <w:color w:val="auto"/>
              </w:rPr>
            </w:pPr>
            <w:r>
              <w:rPr>
                <w:rFonts w:ascii="Times New Roman" w:cs="Times New Roman" w:eastAsia="Times New Roman" w:hAnsi="Times New Roman"/>
                <w:sz w:val="18"/>
                <w:szCs w:val="18"/>
                <w:color w:val="auto"/>
                <w:w w:val="95"/>
              </w:rPr>
              <w:t>For</w:t>
            </w:r>
          </w:p>
        </w:tc>
        <w:tc>
          <w:tcPr>
            <w:tcW w:w="720" w:type="dxa"/>
            <w:vAlign w:val="bottom"/>
          </w:tcPr>
          <w:p>
            <w:pPr>
              <w:spacing w:after="0"/>
              <w:rPr>
                <w:sz w:val="16"/>
                <w:szCs w:val="16"/>
                <w:color w:val="auto"/>
              </w:rPr>
            </w:pPr>
          </w:p>
        </w:tc>
        <w:tc>
          <w:tcPr>
            <w:tcW w:w="1220" w:type="dxa"/>
            <w:vAlign w:val="bottom"/>
            <w:gridSpan w:val="2"/>
          </w:tcPr>
          <w:p>
            <w:pPr>
              <w:jc w:val="center"/>
              <w:ind w:right="660"/>
              <w:spacing w:after="0" w:line="190" w:lineRule="exact"/>
              <w:rPr>
                <w:sz w:val="20"/>
                <w:szCs w:val="20"/>
                <w:color w:val="auto"/>
              </w:rPr>
            </w:pPr>
            <w:r>
              <w:rPr>
                <w:rFonts w:ascii="Times New Roman" w:cs="Times New Roman" w:eastAsia="Times New Roman" w:hAnsi="Times New Roman"/>
                <w:sz w:val="18"/>
                <w:szCs w:val="18"/>
                <w:color w:val="auto"/>
                <w:w w:val="99"/>
              </w:rPr>
              <w:t>Against</w:t>
            </w:r>
          </w:p>
        </w:tc>
        <w:tc>
          <w:tcPr>
            <w:tcW w:w="540" w:type="dxa"/>
            <w:vAlign w:val="bottom"/>
          </w:tcPr>
          <w:p>
            <w:pPr>
              <w:spacing w:after="0"/>
              <w:rPr>
                <w:sz w:val="16"/>
                <w:szCs w:val="16"/>
                <w:color w:val="auto"/>
              </w:rPr>
            </w:pPr>
          </w:p>
        </w:tc>
        <w:tc>
          <w:tcPr>
            <w:tcW w:w="138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color w:val="auto"/>
              </w:rPr>
              <w:t>Abstain</w:t>
            </w:r>
          </w:p>
        </w:tc>
        <w:tc>
          <w:tcPr>
            <w:tcW w:w="3500" w:type="dxa"/>
            <w:vAlign w:val="bottom"/>
            <w:gridSpan w:val="2"/>
          </w:tcPr>
          <w:p>
            <w:pPr>
              <w:jc w:val="center"/>
              <w:ind w:right="2200"/>
              <w:spacing w:after="0" w:line="190" w:lineRule="exact"/>
              <w:rPr>
                <w:sz w:val="20"/>
                <w:szCs w:val="20"/>
                <w:color w:val="auto"/>
              </w:rPr>
            </w:pPr>
            <w:r>
              <w:rPr>
                <w:rFonts w:ascii="Times New Roman" w:cs="Times New Roman" w:eastAsia="Times New Roman" w:hAnsi="Times New Roman"/>
                <w:sz w:val="18"/>
                <w:szCs w:val="18"/>
                <w:color w:val="auto"/>
                <w:w w:val="97"/>
              </w:rPr>
              <w:t>Broker Non-Votes</w:t>
            </w:r>
          </w:p>
        </w:tc>
      </w:tr>
      <w:tr>
        <w:trPr>
          <w:trHeight w:val="20"/>
        </w:trPr>
        <w:tc>
          <w:tcPr>
            <w:tcW w:w="2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50"/>
        </w:trPr>
        <w:tc>
          <w:tcPr>
            <w:tcW w:w="38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83,845,193</w:t>
            </w:r>
          </w:p>
        </w:tc>
        <w:tc>
          <w:tcPr>
            <w:tcW w:w="19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15,149,405</w:t>
            </w:r>
          </w:p>
        </w:tc>
        <w:tc>
          <w:tcPr>
            <w:tcW w:w="19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118,279</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27,697,198</w:t>
            </w:r>
          </w:p>
        </w:tc>
        <w:tc>
          <w:tcPr>
            <w:tcW w:w="2200" w:type="dxa"/>
            <w:vAlign w:val="bottom"/>
          </w:tcPr>
          <w:p>
            <w:pPr>
              <w:spacing w:after="0"/>
              <w:rPr>
                <w:sz w:val="21"/>
                <w:szCs w:val="21"/>
                <w:color w:val="auto"/>
              </w:rPr>
            </w:pPr>
          </w:p>
        </w:tc>
      </w:tr>
      <w:tr>
        <w:trPr>
          <w:trHeight w:val="1492"/>
        </w:trPr>
        <w:tc>
          <w:tcPr>
            <w:tcW w:w="2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33"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FASTLY, INC.</w:t>
      </w:r>
    </w:p>
    <w:p>
      <w:pPr>
        <w:spacing w:after="0" w:line="297" w:lineRule="exact"/>
        <w:rPr>
          <w:sz w:val="20"/>
          <w:szCs w:val="20"/>
          <w:color w:val="auto"/>
        </w:rPr>
      </w:pPr>
    </w:p>
    <w:p>
      <w:pPr>
        <w:ind w:left="20"/>
        <w:spacing w:after="0"/>
        <w:tabs>
          <w:tab w:leader="none" w:pos="720" w:val="left"/>
          <w:tab w:leader="none" w:pos="4680" w:val="left"/>
          <w:tab w:leader="none" w:pos="6360" w:val="left"/>
        </w:tabs>
        <w:rPr>
          <w:sz w:val="20"/>
          <w:szCs w:val="20"/>
          <w:color w:val="auto"/>
        </w:rPr>
      </w:pPr>
      <w:r>
        <w:rPr>
          <w:rFonts w:ascii="Times New Roman" w:cs="Times New Roman" w:eastAsia="Times New Roman" w:hAnsi="Times New Roman"/>
          <w:sz w:val="18"/>
          <w:szCs w:val="18"/>
          <w:color w:val="auto"/>
        </w:rPr>
        <w:t>Dated:</w:t>
        <w:tab/>
        <w:t>June 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17145</wp:posOffset>
            </wp:positionV>
            <wp:extent cx="3077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77845"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Richard Wong</w:t>
      </w:r>
    </w:p>
    <w:p>
      <w:pPr>
        <w:spacing w:after="0" w:line="2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2026-06-09T15:11:18Z</dcterms:created>
  <dcterms:modified xsi:type="dcterms:W3CDTF">2026-06-09T15:11:18Z</dcterms:modified>
</cp:coreProperties>
</file>