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a_1789763069.xml.htm"/>
      <w:bookmarkStart w:id="1" w:name="kswkform3a_178976306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Ford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06/09/2026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332,784</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331,695 shares represented by restricted stock units (RSUs) that due to an administrative error were omitted from the reporting person's original Form 3, filed on June 9, 2026. Each RSU represents a contingent right to receive one share of the Issuer's Class A Common Stock upon settlement. 100% of the RSUs are initially subject to vesting. One-fourth (25%) of the total RSUs vested on September 15, 2026 and the remainder will vest in quarterly installments (December, March, June, and September) of one-sixteenth thereafter (6.25% of the total RSUs will vest per quarter), in each case subject to the Reporting Person's continued service with the Issuer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93556" TargetMode="External"/><Relationship Id="rId3" Type="http://schemas.openxmlformats.org/officeDocument/2006/relationships/hyperlink" Target="http://www.sec.gov/cgi-bin/browse-edgar?action=getcompany&amp;CIK=000151741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508</Words>
  <Characters>2810</Characters>
  <CharactersWithSpaces>3269</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