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9658.xml.htm"/>
      <w:bookmarkStart w:id="1" w:name="kswkform4_17872596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3"/>
        <w:gridCol w:w="905"/>
        <w:gridCol w:w="776"/>
        <w:gridCol w:w="601"/>
        <w:gridCol w:w="338"/>
        <w:gridCol w:w="950"/>
        <w:gridCol w:w="423"/>
        <w:gridCol w:w="787"/>
        <w:gridCol w:w="1289"/>
        <w:gridCol w:w="961"/>
        <w:gridCol w:w="11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32,387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w:t>
            </w:r>
            <w:r>
              <w:rPr>
                <w:rFonts w:ascii="Times;serif" w:hAnsi="Times;serif"/>
                <w:color w:val="008000"/>
                <w:position w:val="7"/>
                <w:sz w:val="16"/>
                <w:sz w:val="20"/>
                <w:shd w:fill="FFFFFF" w:val="clear"/>
              </w:rPr>
              <w:t>(2)</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2,005,191</w:t>
            </w:r>
            <w:r>
              <w:rPr>
                <w:rFonts w:ascii="Times;serif" w:hAnsi="Times;serif"/>
                <w:color w:val="008000"/>
                <w:position w:val="7"/>
                <w:sz w:val="16"/>
                <w:sz w:val="20"/>
                <w:shd w:fill="FFFFFF" w:val="clear"/>
              </w:rPr>
              <w:t>(3)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11,088</w:t>
            </w:r>
            <w:r>
              <w:rPr>
                <w:rFonts w:ascii="Times;serif" w:hAnsi="Times;serif"/>
                <w:color w:val="008000"/>
                <w:position w:val="7"/>
                <w:sz w:val="16"/>
                <w:sz w:val="20"/>
                <w:shd w:fill="FFFFFF" w:val="clear"/>
              </w:rPr>
              <w:t>(5)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23.94</w:t>
            </w:r>
            <w:r>
              <w:rPr>
                <w:rFonts w:ascii="Times;serif" w:hAnsi="Times;serif"/>
                <w:color w:val="008000"/>
                <w:position w:val="7"/>
                <w:sz w:val="16"/>
                <w:sz w:val="20"/>
                <w:shd w:fill="FFFFFF" w:val="clear"/>
              </w:rPr>
              <w:t>(6)</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1,994,103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16,435</w:t>
            </w:r>
            <w:r>
              <w:rPr>
                <w:rFonts w:ascii="Times;serif" w:hAnsi="Times;serif"/>
                <w:color w:val="008000"/>
                <w:position w:val="7"/>
                <w:sz w:val="16"/>
                <w:sz w:val="20"/>
                <w:shd w:fill="FFFFFF" w:val="clear"/>
              </w:rPr>
              <w:t>(5)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24.98</w:t>
            </w:r>
            <w:r>
              <w:rPr>
                <w:rFonts w:ascii="Times;serif" w:hAnsi="Times;serif"/>
                <w:color w:val="008000"/>
                <w:position w:val="7"/>
                <w:sz w:val="16"/>
                <w:sz w:val="20"/>
                <w:shd w:fill="FFFFFF" w:val="clear"/>
              </w:rPr>
              <w:t>(7)</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1,977,668</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4,164</w:t>
            </w:r>
            <w:r>
              <w:rPr>
                <w:rFonts w:ascii="Times;serif" w:hAnsi="Times;serif"/>
                <w:color w:val="008000"/>
                <w:position w:val="7"/>
                <w:sz w:val="16"/>
                <w:sz w:val="20"/>
                <w:shd w:fill="FFFFFF" w:val="clear"/>
              </w:rPr>
              <w:t>(5)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25.78</w:t>
            </w:r>
            <w:r>
              <w:rPr>
                <w:rFonts w:ascii="Times;serif" w:hAnsi="Times;serif"/>
                <w:color w:val="008000"/>
                <w:position w:val="7"/>
                <w:sz w:val="16"/>
                <w:sz w:val="20"/>
                <w:shd w:fill="FFFFFF" w:val="clear"/>
              </w:rPr>
              <w:t>(8)</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1,973,504</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1,605,961</w:t>
            </w:r>
            <w:r>
              <w:rPr>
                <w:rFonts w:ascii="Times;serif" w:hAnsi="Times;serif"/>
                <w:color w:val="008000"/>
                <w:position w:val="7"/>
                <w:sz w:val="16"/>
                <w:sz w:val="20"/>
                <w:shd w:fill="FFFFFF" w:val="clear"/>
              </w:rPr>
              <w:t>(3)</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0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w:t>
            </w:r>
          </w:p>
        </w:tc>
      </w:tr>
      <w:tr>
        <w:trPr/>
        <w:tc>
          <w:tcPr>
            <w:tcW w:w="20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$28.60 to $29.13, inclusive. The reporting person undertakes to provide to the Issuer, any security holder of the Issuer, or the staff of the SEC, upon request, full information regarding the number of shares sold at each separate price within the ranges set forth in footnotes (2), (6), (7) and (8)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Amounts reflect the shift from direct to indirect ownership of 1,060 shares contributed by Mr. Bergman to the Per Artur Bergman Revocable Trust on March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was effected pursuant to a Rule 10b5-1 trading plan adopted by the reporting person on June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were sold by the Per Artur Bergman Revocable Trust, to which the reporting person contributed 31,687 shares of common stock of the Issuer in a transaction that resulted in a change in the form of beneficial ownership from direct to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$23.57 to $24.56,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$24.57 to $25.56,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$25.58 to $26.56,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1056</Words>
  <Characters>5511</Characters>
  <CharactersWithSpaces>6437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