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5">
                <wp:simplePos x="0" y="0"/>
                <wp:positionH relativeFrom="page">
                  <wp:posOffset>914400</wp:posOffset>
                </wp:positionH>
                <wp:positionV relativeFrom="page">
                  <wp:posOffset>5468620</wp:posOffset>
                </wp:positionV>
                <wp:extent cx="5943600" cy="194310"/>
                <wp:effectExtent l="0" t="0" r="0" b="0"/>
                <wp:wrapNone/>
                <wp:docPr id="1" name="Frame144"/>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430.6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page">
                  <wp:posOffset>4988560</wp:posOffset>
                </wp:positionV>
                <wp:extent cx="5943600" cy="194310"/>
                <wp:effectExtent l="0" t="0" r="0" b="0"/>
                <wp:wrapNone/>
                <wp:docPr id="2" name="Frame143"/>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392.8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color w:val="000000"/>
          <w:sz w:val="18"/>
        </w:rPr>
        <w:t>ANNUAL REPORT PURSUANT TO SECTION 13 OR 15(d) OF THE SECURITIES EXCHANGE ACT OF 1934</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0"/>
        <w:ind w:left="0" w:right="0" w:firstLine="36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001-38897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FASTLY,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tbl>
      <w:tblPr>
        <w:tblW w:w="4511"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528"/>
        <w:gridCol w:w="528"/>
        <w:gridCol w:w="75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27-5411834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475 Brannan Street, Suite 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San Francisco, CA 94107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(844) 432-7859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or former fiscal year,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631" w:type="dxa"/>
        <w:jc w:val="center"/>
        <w:tblInd w:w="0" w:type="dxa"/>
        <w:tblLayout w:type="fixed"/>
        <w:tblCellMar>
          <w:top w:w="28" w:type="dxa"/>
          <w:left w:w="28" w:type="dxa"/>
          <w:bottom w:w="28" w:type="dxa"/>
          <w:right w:w="28" w:type="dxa"/>
        </w:tblCellMar>
      </w:tblPr>
      <w:tblGrid>
        <w:gridCol w:w="1160"/>
        <w:gridCol w:w="1018"/>
        <w:gridCol w:w="1031"/>
        <w:gridCol w:w="109"/>
        <w:gridCol w:w="109"/>
        <w:gridCol w:w="109"/>
        <w:gridCol w:w="484"/>
        <w:gridCol w:w="484"/>
        <w:gridCol w:w="486"/>
        <w:gridCol w:w="109"/>
        <w:gridCol w:w="109"/>
        <w:gridCol w:w="109"/>
        <w:gridCol w:w="970"/>
        <w:gridCol w:w="970"/>
        <w:gridCol w:w="137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 $0.00002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FSLY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0" w:after="0"/>
        <w:jc w:val="center"/>
        <w:rPr/>
      </w:pPr>
      <w:r>
        <w:rPr/>
      </w:r>
    </w:p>
    <w:p>
      <w:pPr>
        <w:pStyle w:val="TextBody"/>
        <w:bidi w:val="0"/>
        <w:spacing w:lineRule="auto" w:line="417"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12(g) of the Act: None</w:t>
      </w:r>
    </w:p>
    <w:p>
      <w:pPr>
        <w:pStyle w:val="TextBody"/>
        <w:bidi w:val="0"/>
        <w:spacing w:lineRule="auto" w:line="417"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    Yes ☒     No  ☐</w:t>
      </w:r>
    </w:p>
    <w:p>
      <w:pPr>
        <w:pStyle w:val="TextBody"/>
        <w:bidi w:val="0"/>
        <w:spacing w:lineRule="auto" w:line="417"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15(d) of the Act.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80"/>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ind w:left="0" w:right="0" w:firstLine="36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40" w:after="283"/>
        <w:ind w:left="0" w:right="0" w:firstLine="85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voting and non-voting common equity held by non-affiliates of the registrant, based on the closing price of $7.06 for a share of the Registrant’s Class A Common Stock ("common stock") on June 30, 2025 (the last business day of the registrant's most recently completed second quarter), as reported by the New York Stock Exchange on such date, was approximately $1.0 billion.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 xml:space="preserve">As of February 13, 2026, 151.8 million shares of the registrant's common stock were outstanding.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relating to the 2026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9"/>
        <w:gridCol w:w="255"/>
        <w:gridCol w:w="256"/>
        <w:gridCol w:w="2956"/>
        <w:gridCol w:w="2948"/>
        <w:gridCol w:w="2987"/>
        <w:gridCol w:w="149"/>
        <w:gridCol w:w="149"/>
        <w:gridCol w:w="216"/>
      </w:tblGrid>
      <w:tr>
        <w:trPr/>
        <w:tc>
          <w:tcPr>
            <w:tcW w:w="2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6e9f40c2ee46e583276b9482eee5a5_16">
              <w:r>
                <w:rPr>
                  <w:rStyle w:val="InternetLink"/>
                  <w:rFonts w:ascii="Times New Roman;serif" w:hAnsi="Times New Roman;serif"/>
                  <w:b/>
                  <w:color w:val="0000FF"/>
                  <w:sz w:val="20"/>
                  <w:u w:val="single"/>
                </w:rPr>
                <w:t>Part I</w:t>
              </w:r>
            </w:hyperlink>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9">
              <w:r>
                <w:rPr>
                  <w:rStyle w:val="InternetLink"/>
                  <w:rFonts w:ascii="Times New Roman;serif" w:hAnsi="Times New Roman;serif"/>
                  <w:b w:val="false"/>
                  <w:color w:val="0000FF"/>
                  <w:sz w:val="20"/>
                  <w:u w:val="single"/>
                </w:rPr>
                <w:t>Item 1.</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9">
              <w:r>
                <w:rPr>
                  <w:rStyle w:val="InternetLink"/>
                  <w:rFonts w:ascii="Times New Roman;serif" w:hAnsi="Times New Roman;serif"/>
                  <w:b w:val="false"/>
                  <w:color w:val="0000FF"/>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9">
              <w:r>
                <w:rPr>
                  <w:rStyle w:val="InternetLink"/>
                  <w:rFonts w:ascii="Times New Roman;serif" w:hAnsi="Times New Roman;serif"/>
                  <w:b w:val="false"/>
                  <w:strike w:val="false"/>
                  <w:dstrike w:val="false"/>
                  <w:color w:val="0000FF"/>
                  <w:sz w:val="20"/>
                  <w:u w:val="none"/>
                  <w:effect w:val="none"/>
                </w:rPr>
                <w:t>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22">
              <w:r>
                <w:rPr>
                  <w:rStyle w:val="InternetLink"/>
                  <w:rFonts w:ascii="Times New Roman;serif" w:hAnsi="Times New Roman;serif"/>
                  <w:b w:val="false"/>
                  <w:color w:val="0000FF"/>
                  <w:sz w:val="20"/>
                  <w:u w:val="single"/>
                </w:rPr>
                <w:t>Item 1A.</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22">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22">
              <w:r>
                <w:rPr>
                  <w:rStyle w:val="InternetLink"/>
                  <w:rFonts w:ascii="Times New Roman;serif" w:hAnsi="Times New Roman;serif"/>
                  <w:b w:val="false"/>
                  <w:strike w:val="false"/>
                  <w:dstrike w:val="false"/>
                  <w:color w:val="0000FF"/>
                  <w:sz w:val="20"/>
                  <w:u w:val="none"/>
                  <w:effect w:val="none"/>
                </w:rPr>
                <w:t>25</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25">
              <w:r>
                <w:rPr>
                  <w:rStyle w:val="InternetLink"/>
                  <w:rFonts w:ascii="Times New Roman;serif" w:hAnsi="Times New Roman;serif"/>
                  <w:b w:val="false"/>
                  <w:color w:val="0000FF"/>
                  <w:sz w:val="20"/>
                  <w:u w:val="single"/>
                </w:rPr>
                <w:t>Item 1B.</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25">
              <w:r>
                <w:rPr>
                  <w:rStyle w:val="InternetLink"/>
                  <w:rFonts w:ascii="Times New Roman;serif" w:hAnsi="Times New Roman;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25">
              <w:r>
                <w:rPr>
                  <w:rStyle w:val="InternetLink"/>
                  <w:rFonts w:ascii="Times New Roman;serif" w:hAnsi="Times New Roman;serif"/>
                  <w:b w:val="false"/>
                  <w:strike w:val="false"/>
                  <w:dstrike w:val="false"/>
                  <w:color w:val="0000FF"/>
                  <w:sz w:val="20"/>
                  <w:u w:val="none"/>
                  <w:effect w:val="none"/>
                </w:rPr>
                <w:t>66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28">
              <w:r>
                <w:rPr>
                  <w:rStyle w:val="InternetLink"/>
                  <w:rFonts w:ascii="Times New Roman;serif" w:hAnsi="Times New Roman;serif"/>
                  <w:b w:val="false"/>
                  <w:color w:val="0000FF"/>
                  <w:sz w:val="20"/>
                  <w:u w:val="single"/>
                </w:rPr>
                <w:t>Item 1C.</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28">
              <w:r>
                <w:rPr>
                  <w:rStyle w:val="InternetLink"/>
                  <w:rFonts w:ascii="Times New Roman;serif" w:hAnsi="Times New Roman;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28">
              <w:r>
                <w:rPr>
                  <w:rStyle w:val="InternetLink"/>
                  <w:rFonts w:ascii="Times New Roman;serif" w:hAnsi="Times New Roman;serif"/>
                  <w:b w:val="false"/>
                  <w:strike w:val="false"/>
                  <w:dstrike w:val="false"/>
                  <w:color w:val="0000FF"/>
                  <w:sz w:val="20"/>
                  <w:u w:val="none"/>
                  <w:effect w:val="none"/>
                </w:rPr>
                <w:t>66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31">
              <w:r>
                <w:rPr>
                  <w:rStyle w:val="InternetLink"/>
                  <w:rFonts w:ascii="Times New Roman;serif" w:hAnsi="Times New Roman;serif"/>
                  <w:b w:val="false"/>
                  <w:color w:val="0000FF"/>
                  <w:sz w:val="20"/>
                  <w:u w:val="single"/>
                </w:rPr>
                <w:t>Item 2.</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31">
              <w:r>
                <w:rPr>
                  <w:rStyle w:val="InternetLink"/>
                  <w:rFonts w:ascii="Times New Roman;serif" w:hAnsi="Times New Roman;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31">
              <w:r>
                <w:rPr>
                  <w:rStyle w:val="InternetLink"/>
                  <w:rFonts w:ascii="Times New Roman;serif" w:hAnsi="Times New Roman;serif"/>
                  <w:b w:val="false"/>
                  <w:strike w:val="false"/>
                  <w:dstrike w:val="false"/>
                  <w:color w:val="0000FF"/>
                  <w:sz w:val="20"/>
                  <w:u w:val="none"/>
                  <w:effect w:val="none"/>
                </w:rPr>
                <w:t>67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34">
              <w:r>
                <w:rPr>
                  <w:rStyle w:val="InternetLink"/>
                  <w:rFonts w:ascii="Times New Roman;serif" w:hAnsi="Times New Roman;serif"/>
                  <w:b w:val="false"/>
                  <w:color w:val="0000FF"/>
                  <w:sz w:val="20"/>
                  <w:u w:val="single"/>
                </w:rPr>
                <w:t>Item 3.</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34">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34">
              <w:r>
                <w:rPr>
                  <w:rStyle w:val="InternetLink"/>
                  <w:rFonts w:ascii="Times New Roman;serif" w:hAnsi="Times New Roman;serif"/>
                  <w:b w:val="false"/>
                  <w:strike w:val="false"/>
                  <w:dstrike w:val="false"/>
                  <w:color w:val="0000FF"/>
                  <w:sz w:val="20"/>
                  <w:u w:val="none"/>
                  <w:effect w:val="none"/>
                </w:rPr>
                <w:t>67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37">
              <w:r>
                <w:rPr>
                  <w:rStyle w:val="InternetLink"/>
                  <w:rFonts w:ascii="Times New Roman;serif" w:hAnsi="Times New Roman;serif"/>
                  <w:b w:val="false"/>
                  <w:color w:val="0000FF"/>
                  <w:sz w:val="20"/>
                  <w:u w:val="single"/>
                </w:rPr>
                <w:t>Item 4.</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37">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37">
              <w:r>
                <w:rPr>
                  <w:rStyle w:val="InternetLink"/>
                  <w:rFonts w:ascii="Times New Roman;serif" w:hAnsi="Times New Roman;serif"/>
                  <w:b w:val="false"/>
                  <w:strike w:val="false"/>
                  <w:dstrike w:val="false"/>
                  <w:color w:val="0000FF"/>
                  <w:sz w:val="20"/>
                  <w:u w:val="none"/>
                  <w:effect w:val="none"/>
                </w:rPr>
                <w:t>68</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6e9f40c2ee46e583276b9482eee5a5_40">
              <w:r>
                <w:rPr>
                  <w:rStyle w:val="InternetLink"/>
                  <w:rFonts w:ascii="Times New Roman;serif" w:hAnsi="Times New Roman;serif"/>
                  <w:b/>
                  <w:color w:val="0000FF"/>
                  <w:sz w:val="20"/>
                  <w:u w:val="single"/>
                </w:rPr>
                <w:t>Part II</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43">
              <w:r>
                <w:rPr>
                  <w:rStyle w:val="InternetLink"/>
                  <w:rFonts w:ascii="Times New Roman;serif" w:hAnsi="Times New Roman;serif"/>
                  <w:b w:val="false"/>
                  <w:color w:val="0000FF"/>
                  <w:sz w:val="20"/>
                  <w:u w:val="single"/>
                </w:rPr>
                <w:t>Item 5.</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43">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43">
              <w:r>
                <w:rPr>
                  <w:rStyle w:val="InternetLink"/>
                  <w:rFonts w:ascii="Times New Roman;serif" w:hAnsi="Times New Roman;serif"/>
                  <w:b w:val="false"/>
                  <w:strike w:val="false"/>
                  <w:dstrike w:val="false"/>
                  <w:color w:val="0000FF"/>
                  <w:sz w:val="20"/>
                  <w:u w:val="none"/>
                  <w:effect w:val="none"/>
                </w:rPr>
                <w:t>69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46">
              <w:r>
                <w:rPr>
                  <w:rStyle w:val="InternetLink"/>
                  <w:rFonts w:ascii="Times New Roman;serif" w:hAnsi="Times New Roman;serif"/>
                  <w:b w:val="false"/>
                  <w:color w:val="0000FF"/>
                  <w:sz w:val="20"/>
                  <w:u w:val="single"/>
                </w:rPr>
                <w:t>Item 6.</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46">
              <w:r>
                <w:rPr>
                  <w:rStyle w:val="InternetLink"/>
                  <w:rFonts w:ascii="Times New Roman;serif" w:hAnsi="Times New Roman;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46">
              <w:r>
                <w:rPr>
                  <w:rStyle w:val="InternetLink"/>
                  <w:rFonts w:ascii="Times New Roman;serif" w:hAnsi="Times New Roman;serif"/>
                  <w:b w:val="false"/>
                  <w:strike w:val="false"/>
                  <w:dstrike w:val="false"/>
                  <w:color w:val="0000FF"/>
                  <w:sz w:val="20"/>
                  <w:u w:val="none"/>
                  <w:effect w:val="none"/>
                </w:rPr>
                <w:t>71</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49">
              <w:r>
                <w:rPr>
                  <w:rStyle w:val="InternetLink"/>
                  <w:rFonts w:ascii="Times New Roman;serif" w:hAnsi="Times New Roman;serif"/>
                  <w:b w:val="false"/>
                  <w:color w:val="0000FF"/>
                  <w:sz w:val="20"/>
                  <w:u w:val="single"/>
                </w:rPr>
                <w:t>Item 7.</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49">
              <w:r>
                <w:rPr>
                  <w:rStyle w:val="InternetLink"/>
                  <w:rFonts w:ascii="Times New Roman;serif" w:hAnsi="Times New Roman;serif"/>
                  <w:b w:val="false"/>
                  <w:strike w:val="false"/>
                  <w:dstrike w:val="false"/>
                  <w:color w:val="0000FF"/>
                  <w:sz w:val="20"/>
                  <w:u w:val="none"/>
                  <w:effect w:val="none"/>
                </w:rPr>
                <w:t>72</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76">
              <w:r>
                <w:rPr>
                  <w:rStyle w:val="InternetLink"/>
                  <w:rFonts w:ascii="Times New Roman;serif" w:hAnsi="Times New Roman;serif"/>
                  <w:b w:val="false"/>
                  <w:color w:val="0000FF"/>
                  <w:sz w:val="20"/>
                  <w:u w:val="single"/>
                </w:rPr>
                <w:t>Item 7A.</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76">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76">
              <w:r>
                <w:rPr>
                  <w:rStyle w:val="InternetLink"/>
                  <w:rFonts w:ascii="Times New Roman;serif" w:hAnsi="Times New Roman;serif"/>
                  <w:b w:val="false"/>
                  <w:strike w:val="false"/>
                  <w:dstrike w:val="false"/>
                  <w:color w:val="0000FF"/>
                  <w:sz w:val="20"/>
                  <w:u w:val="none"/>
                  <w:effect w:val="none"/>
                </w:rPr>
                <w:t>88</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79">
              <w:r>
                <w:rPr>
                  <w:rStyle w:val="InternetLink"/>
                  <w:rFonts w:ascii="Times New Roman;serif" w:hAnsi="Times New Roman;serif"/>
                  <w:b w:val="false"/>
                  <w:color w:val="0000FF"/>
                  <w:sz w:val="20"/>
                  <w:u w:val="single"/>
                </w:rPr>
                <w:t>Item 8.</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79">
              <w:r>
                <w:rPr>
                  <w:rStyle w:val="InternetLink"/>
                  <w:rFonts w:ascii="Times New Roman;serif" w:hAnsi="Times New Roman;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79">
              <w:r>
                <w:rPr>
                  <w:rStyle w:val="InternetLink"/>
                  <w:rFonts w:ascii="Times New Roman;serif" w:hAnsi="Times New Roman;serif"/>
                  <w:b w:val="false"/>
                  <w:strike w:val="false"/>
                  <w:dstrike w:val="false"/>
                  <w:color w:val="0000FF"/>
                  <w:sz w:val="20"/>
                  <w:u w:val="none"/>
                  <w:effect w:val="none"/>
                </w:rPr>
                <w:t>89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54">
              <w:r>
                <w:rPr>
                  <w:rStyle w:val="InternetLink"/>
                  <w:rFonts w:ascii="Times New Roman;serif" w:hAnsi="Times New Roman;serif"/>
                  <w:b w:val="false"/>
                  <w:color w:val="0000FF"/>
                  <w:sz w:val="20"/>
                  <w:u w:val="single"/>
                </w:rPr>
                <w:t>Item 9.</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54">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54">
              <w:r>
                <w:rPr>
                  <w:rStyle w:val="InternetLink"/>
                  <w:rFonts w:ascii="Times New Roman;serif" w:hAnsi="Times New Roman;serif"/>
                  <w:b w:val="false"/>
                  <w:strike w:val="false"/>
                  <w:dstrike w:val="false"/>
                  <w:color w:val="0000FF"/>
                  <w:sz w:val="20"/>
                  <w:u w:val="none"/>
                  <w:effect w:val="none"/>
                </w:rPr>
                <w:t>131</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57">
              <w:r>
                <w:rPr>
                  <w:rStyle w:val="InternetLink"/>
                  <w:rFonts w:ascii="Times New Roman;serif" w:hAnsi="Times New Roman;serif"/>
                  <w:b w:val="false"/>
                  <w:color w:val="0000FF"/>
                  <w:sz w:val="20"/>
                  <w:u w:val="single"/>
                </w:rPr>
                <w:t>Item 9A.</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57">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57">
              <w:r>
                <w:rPr>
                  <w:rStyle w:val="InternetLink"/>
                  <w:rFonts w:ascii="Times New Roman;serif" w:hAnsi="Times New Roman;serif"/>
                  <w:b w:val="false"/>
                  <w:strike w:val="false"/>
                  <w:dstrike w:val="false"/>
                  <w:color w:val="0000FF"/>
                  <w:sz w:val="20"/>
                  <w:u w:val="none"/>
                  <w:effect w:val="none"/>
                </w:rPr>
                <w:t>131</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63">
              <w:r>
                <w:rPr>
                  <w:rStyle w:val="InternetLink"/>
                  <w:rFonts w:ascii="Times New Roman;serif" w:hAnsi="Times New Roman;serif"/>
                  <w:b w:val="false"/>
                  <w:color w:val="0000FF"/>
                  <w:sz w:val="20"/>
                  <w:u w:val="single"/>
                </w:rPr>
                <w:t>Item 9B.</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63">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63">
              <w:r>
                <w:rPr>
                  <w:rStyle w:val="InternetLink"/>
                  <w:rFonts w:ascii="Times New Roman;serif" w:hAnsi="Times New Roman;serif"/>
                  <w:b w:val="false"/>
                  <w:strike w:val="false"/>
                  <w:dstrike w:val="false"/>
                  <w:color w:val="0000FF"/>
                  <w:sz w:val="20"/>
                  <w:u w:val="none"/>
                  <w:effect w:val="none"/>
                </w:rPr>
                <w:t>133</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69">
              <w:r>
                <w:rPr>
                  <w:rStyle w:val="InternetLink"/>
                  <w:rFonts w:ascii="Times New Roman;serif" w:hAnsi="Times New Roman;serif"/>
                  <w:b w:val="false"/>
                  <w:color w:val="0000FF"/>
                  <w:sz w:val="20"/>
                  <w:u w:val="single"/>
                </w:rPr>
                <w:t>Item 9C.</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69">
              <w:r>
                <w:rPr>
                  <w:rStyle w:val="InternetLink"/>
                  <w:rFonts w:ascii="Times New Roman;serif" w:hAnsi="Times New Roman;serif"/>
                  <w:b w:val="false"/>
                  <w:color w:val="0000FF"/>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63">
              <w:r>
                <w:rPr>
                  <w:rStyle w:val="InternetLink"/>
                  <w:rFonts w:ascii="Times New Roman;serif" w:hAnsi="Times New Roman;serif"/>
                  <w:b w:val="false"/>
                  <w:strike w:val="false"/>
                  <w:dstrike w:val="false"/>
                  <w:color w:val="0000FF"/>
                  <w:sz w:val="20"/>
                  <w:u w:val="none"/>
                  <w:effect w:val="none"/>
                </w:rPr>
                <w:t>133</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6e9f40c2ee46e583276b9482eee5a5_172">
              <w:r>
                <w:rPr>
                  <w:rStyle w:val="InternetLink"/>
                  <w:rFonts w:ascii="Times New Roman;serif" w:hAnsi="Times New Roman;serif"/>
                  <w:b/>
                  <w:color w:val="0000FF"/>
                  <w:sz w:val="20"/>
                  <w:u w:val="single"/>
                </w:rPr>
                <w:t>Part III</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75">
              <w:r>
                <w:rPr>
                  <w:rStyle w:val="InternetLink"/>
                  <w:rFonts w:ascii="Times New Roman;serif" w:hAnsi="Times New Roman;serif"/>
                  <w:b w:val="false"/>
                  <w:color w:val="0000FF"/>
                  <w:sz w:val="20"/>
                  <w:u w:val="single"/>
                </w:rPr>
                <w:t>Item 10.</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75">
              <w:r>
                <w:rPr>
                  <w:rStyle w:val="InternetLink"/>
                  <w:rFonts w:ascii="Times New Roman;serif" w:hAnsi="Times New Roman;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75">
              <w:r>
                <w:rPr>
                  <w:rStyle w:val="InternetLink"/>
                  <w:rFonts w:ascii="Times New Roman;serif" w:hAnsi="Times New Roman;serif"/>
                  <w:b w:val="false"/>
                  <w:strike w:val="false"/>
                  <w:dstrike w:val="false"/>
                  <w:color w:val="0000FF"/>
                  <w:sz w:val="20"/>
                  <w:u w:val="none"/>
                  <w:effect w:val="none"/>
                </w:rPr>
                <w:t>134</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78">
              <w:r>
                <w:rPr>
                  <w:rStyle w:val="InternetLink"/>
                  <w:rFonts w:ascii="Times New Roman;serif" w:hAnsi="Times New Roman;serif"/>
                  <w:b w:val="false"/>
                  <w:color w:val="0000FF"/>
                  <w:sz w:val="20"/>
                  <w:u w:val="single"/>
                </w:rPr>
                <w:t>Item 11.</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78">
              <w:r>
                <w:rPr>
                  <w:rStyle w:val="InternetLink"/>
                  <w:rFonts w:ascii="Times New Roman;serif" w:hAnsi="Times New Roman;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78">
              <w:r>
                <w:rPr>
                  <w:rStyle w:val="InternetLink"/>
                  <w:rFonts w:ascii="Times New Roman;serif" w:hAnsi="Times New Roman;serif"/>
                  <w:b w:val="false"/>
                  <w:strike w:val="false"/>
                  <w:dstrike w:val="false"/>
                  <w:color w:val="0000FF"/>
                  <w:sz w:val="20"/>
                  <w:u w:val="none"/>
                  <w:effect w:val="none"/>
                </w:rPr>
                <w:t>134</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81">
              <w:r>
                <w:rPr>
                  <w:rStyle w:val="InternetLink"/>
                  <w:rFonts w:ascii="Times New Roman;serif" w:hAnsi="Times New Roman;serif"/>
                  <w:b w:val="false"/>
                  <w:color w:val="0000FF"/>
                  <w:sz w:val="20"/>
                  <w:u w:val="single"/>
                </w:rPr>
                <w:t>Item 12.</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81">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81">
              <w:r>
                <w:rPr>
                  <w:rStyle w:val="InternetLink"/>
                  <w:rFonts w:ascii="Times New Roman;serif" w:hAnsi="Times New Roman;serif"/>
                  <w:b w:val="false"/>
                  <w:strike w:val="false"/>
                  <w:dstrike w:val="false"/>
                  <w:color w:val="0000FF"/>
                  <w:sz w:val="20"/>
                  <w:u w:val="none"/>
                  <w:effect w:val="none"/>
                </w:rPr>
                <w:t>134</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84">
              <w:r>
                <w:rPr>
                  <w:rStyle w:val="InternetLink"/>
                  <w:rFonts w:ascii="Times New Roman;serif" w:hAnsi="Times New Roman;serif"/>
                  <w:b w:val="false"/>
                  <w:color w:val="0000FF"/>
                  <w:sz w:val="20"/>
                  <w:u w:val="single"/>
                </w:rPr>
                <w:t>Item 13.</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84">
              <w:r>
                <w:rPr>
                  <w:rStyle w:val="InternetLink"/>
                  <w:rFonts w:ascii="Times New Roman;serif" w:hAnsi="Times New Roman;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84">
              <w:r>
                <w:rPr>
                  <w:rStyle w:val="InternetLink"/>
                  <w:rFonts w:ascii="Times New Roman;serif" w:hAnsi="Times New Roman;serif"/>
                  <w:b w:val="false"/>
                  <w:strike w:val="false"/>
                  <w:dstrike w:val="false"/>
                  <w:color w:val="0000FF"/>
                  <w:sz w:val="20"/>
                  <w:u w:val="none"/>
                  <w:effect w:val="none"/>
                </w:rPr>
                <w:t>134</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87">
              <w:r>
                <w:rPr>
                  <w:rStyle w:val="InternetLink"/>
                  <w:rFonts w:ascii="Times New Roman;serif" w:hAnsi="Times New Roman;serif"/>
                  <w:b w:val="false"/>
                  <w:color w:val="0000FF"/>
                  <w:sz w:val="20"/>
                  <w:u w:val="single"/>
                </w:rPr>
                <w:t>Item 14.</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87">
              <w:r>
                <w:rPr>
                  <w:rStyle w:val="InternetLink"/>
                  <w:rFonts w:ascii="Times New Roman;serif" w:hAnsi="Times New Roman;serif"/>
                  <w:b w:val="false"/>
                  <w:color w:val="0000FF"/>
                  <w:sz w:val="20"/>
                  <w:u w:val="single"/>
                </w:rPr>
                <w:t>Principal Accountant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87">
              <w:r>
                <w:rPr>
                  <w:rStyle w:val="InternetLink"/>
                  <w:rFonts w:ascii="Times New Roman;serif" w:hAnsi="Times New Roman;serif"/>
                  <w:b w:val="false"/>
                  <w:strike w:val="false"/>
                  <w:dstrike w:val="false"/>
                  <w:color w:val="0000FF"/>
                  <w:sz w:val="20"/>
                  <w:u w:val="none"/>
                  <w:effect w:val="none"/>
                </w:rPr>
                <w:t>134</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c6e9f40c2ee46e583276b9482eee5a5_190">
              <w:r>
                <w:rPr>
                  <w:rStyle w:val="InternetLink"/>
                  <w:rFonts w:ascii="Times New Roman;serif" w:hAnsi="Times New Roman;serif"/>
                  <w:b/>
                  <w:color w:val="0000FF"/>
                  <w:sz w:val="20"/>
                  <w:u w:val="single"/>
                </w:rPr>
                <w:t>Part IV</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93">
              <w:r>
                <w:rPr>
                  <w:rStyle w:val="InternetLink"/>
                  <w:rFonts w:ascii="Times New Roman;serif" w:hAnsi="Times New Roman;serif"/>
                  <w:b w:val="false"/>
                  <w:color w:val="0000FF"/>
                  <w:sz w:val="20"/>
                  <w:u w:val="single"/>
                </w:rPr>
                <w:t>Item 15.</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93">
              <w:r>
                <w:rPr>
                  <w:rStyle w:val="InternetLink"/>
                  <w:rFonts w:ascii="Times New Roman;serif" w:hAnsi="Times New Roman;serif"/>
                  <w:b w:val="false"/>
                  <w:color w:val="0000FF"/>
                  <w:sz w:val="20"/>
                  <w:u w:val="single"/>
                </w:rPr>
                <w:t>Exhibits,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93">
              <w:r>
                <w:rPr>
                  <w:rStyle w:val="InternetLink"/>
                  <w:rFonts w:ascii="Times New Roman;serif" w:hAnsi="Times New Roman;serif"/>
                  <w:b w:val="false"/>
                  <w:strike w:val="false"/>
                  <w:dstrike w:val="false"/>
                  <w:color w:val="0000FF"/>
                  <w:sz w:val="20"/>
                  <w:u w:val="none"/>
                  <w:effect w:val="none"/>
                </w:rPr>
                <w:t>135</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96">
              <w:r>
                <w:rPr>
                  <w:rStyle w:val="InternetLink"/>
                  <w:rFonts w:ascii="Times New Roman;serif" w:hAnsi="Times New Roman;serif"/>
                  <w:b w:val="false"/>
                  <w:color w:val="0000FF"/>
                  <w:sz w:val="20"/>
                  <w:u w:val="single"/>
                </w:rPr>
                <w:t>Item 16.</w:t>
              </w:r>
            </w:hyperlink>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96">
              <w:r>
                <w:rPr>
                  <w:rStyle w:val="InternetLink"/>
                  <w:rFonts w:ascii="Times New Roman;serif" w:hAnsi="Times New Roman;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96">
              <w:r>
                <w:rPr>
                  <w:rStyle w:val="InternetLink"/>
                  <w:rFonts w:ascii="Times New Roman;serif" w:hAnsi="Times New Roman;serif"/>
                  <w:b w:val="false"/>
                  <w:strike w:val="false"/>
                  <w:dstrike w:val="false"/>
                  <w:color w:val="0000FF"/>
                  <w:sz w:val="20"/>
                  <w:u w:val="none"/>
                  <w:effect w:val="none"/>
                </w:rPr>
                <w:t>138</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6e9f40c2ee46e583276b9482eee5a5_199">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6e9f40c2ee46e583276b9482eee5a5_199">
              <w:r>
                <w:rPr>
                  <w:rStyle w:val="InternetLink"/>
                  <w:rFonts w:ascii="Times New Roman;serif" w:hAnsi="Times New Roman;serif"/>
                  <w:b w:val="false"/>
                  <w:strike w:val="false"/>
                  <w:dstrike w:val="false"/>
                  <w:color w:val="0000FF"/>
                  <w:sz w:val="20"/>
                  <w:u w:val="none"/>
                  <w:effect w:val="none"/>
                </w:rPr>
                <w:t>139</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Annual Report on Form 10-K,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“target,“ or the negative of these terms or other similar expressions.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Annual Report on Form 10-K, regarding, amongst other things: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defects, interruptions, outages, delays in performance, or similar problems with our platform;</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attract new enterprise customers and to have existing enterprise customers continue and increase their use of our platform;</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the potential loss or significant reduction in usage by one or more of our major customers;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component delays, shortages, and price increases;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 xml:space="preserve">our history of operating losses; </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 xml:space="preserve">the potential that security measures, or those of third parties upon which we rely, are compromised, or the security, confidentiality, integrity, or availability of our information technology, software, services, networks, communications, or data is compromised, limited or fails; </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efficiently develop and sell new products and respond effectively to rapidly changing technology, evolving industry standards, changing regulations, and changing customer needs, requirements, or preferences;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forecast our revenue accurately and manage our expenditures;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effectively develop and expand our marketing and sales capabilities;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compete effectively with existing competitors and new market entrants;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maintain and enhance our brand;</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comply with evolving laws, regulations, industry standards, and other obligations;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identify and integrate acquisitions, strategic investments, partnerships, or alliances;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attract and retain qualified employees and key personnel;</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reliance on the performance of highly skilled personnel, including our senior management and other key employees, and the loss or transition of one or more of such personnel, or of a significant number of our team members;</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 xml:space="preserve">our involvement in class-action lawsuits and other litigation matters; </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 xml:space="preserve">our estimates or judgments relating to our critical accounting estimates may prove to be incorrect or impaired; </w:t>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our ability to maintain effective internal control over financial reporting;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240" w:after="283"/>
        <w:ind w:left="0" w:right="0" w:hanging="540"/>
        <w:jc w:val="both"/>
        <w:rPr/>
      </w:pPr>
      <w:r>
        <w:rPr>
          <w:color w:val="000000"/>
        </w:rPr>
        <w:t>•</w:t>
      </w:r>
      <w:r>
        <w:rPr>
          <w:rFonts w:ascii="Times New Roman;serif" w:hAnsi="Times New Roman;serif"/>
          <w:b w:val="false"/>
          <w:color w:val="000000"/>
          <w:sz w:val="20"/>
        </w:rPr>
        <w:t>stock price volatility, and the potential decline in the value of our common stock.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Annual Report on Form 10-K.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sections of this Annual Report on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Annual Report on Form 10-K or to conform these statements to actual results or to changes in our expectations. 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filing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may announce material business and financial information to our investors using our investor relations website (www.fastly.com/investors), our filings with the Securities and Exchange Commission, our corporate X (formerly known as Twitter) account (@Fastly), our blog (www.fastly.com/blog), our corporate LinkedIn account (www.linkedin.com/company/fastly), webcasts, press releases, and conference calls. We use these mediums, including our website, to communicate with investors and the general public about us, our products, and other issues. It is possible that the information that we make available on these mediums may be deemed to be material information. We therefore encourage investors and others interested in us to review the information that we make available through these channels. However, some information we disclose (whether in this report or other mediums) is informed by third-party frameworks and the expectations of various stakeholders and, therefore, is not necessarily material for purposes of our securities filings, even if we use words such as “material” or “materiality.” Particularly in the environmental, social, and governance matters context, information often uses definitions of materiality that differ from (and are more expansive than) the definition under U.S. federal securities laws.</w:t>
      </w:r>
    </w:p>
    <w:p>
      <w:pPr>
        <w:pStyle w:val="TextBody"/>
        <w:bidi w:val="0"/>
        <w:spacing w:before="240" w:after="283"/>
        <w:jc w:val="both"/>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Annual Report on Form 10-K. If any of the following risks actually occur (or if any of those listed elsewhere in this Annual Report on Form 10-K occurs),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our platform fails to perform properly due to defects, interruptions, outages, delays in performance, or similar problems, and if we fail to develop enhancements to resolve any defect, interruption, delay, or other problems, we could lose customers, become subject to service performance or warranty claims or incur significant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are unable to attract new customers, in particular, enterprise customers, and to have existing enterprise customers continue and increase their use of our platform, our business will likely be harmed.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receive a substantial portion of our revenues from a limited number of customers within a limited number of industries, and the loss of, or a significant reduction in usage by, one or more of our major customers would result in lower revenues and could harm our business.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Component delays, shortages, or price increases could interrupt our ability to complete the construction of our servers or POPs and to meet the usage needs of our customers. Our operating results could be materially harmed if we are unable to adequately manage our infrastructure needs.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history of operating losses makes it difficult to evaluate our current business and prospects and may increase the risks associated with your investment.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our IT Systems or data, or those of third parties upon which we rely, are compromised now, or in the future, or the security, confidentiality, integrity, or availability of our information technology, software, services, networks, communications or data is compromised, limited or fails, our business could experience materially adverse consequences, including but not limited to regulatory investigations or actions, litigation, fines and penalties, disruptions of our business operations, loss of revenue or profits, loss of customers or sales, reputational harm, and other adverse consequences.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efficiently develop and sell new products and respond effectively to rapidly changing technology, evolving industry standards, changing regulations, and changing customer needs, requirements, or preferences, our products may become less competitive.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forecast our revenue accurately, or if we fail to manage our expenditures, our operating results could be adversely affected.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Failure to effectively develop and expand our marketing and sales capabilities could harm our ability to increase our customer base and achieve broader market acceptance of our platform.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markets in which we participate are competitive, and if we do not compete effectively, our business will be harmed.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maintain and enhance our brand, our ability to expand our customer base will be impaired and our business, results of operations and financial condition may suffer.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are subject, or may become subject, to stringent and evolving U.S. and foreign laws, governmental regulations and rules, contractual obligations, industry standards, policies and other obligations related to privacy, infrastructure, artificial intelligence, and data security.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Acquisitions, strategic investments, partnerships, or alliances could be difficult to identify and integrate, divert the attention of management, disrupt our business, and dilute stockholder value.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failure to attract and retain qualified personnel could prevent us from executing our business strategy.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rely on the performance of highly skilled personnel, including our senior management and other key employees, and the loss or transition of one or more of such personnel, or of a significant number of our team members,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are, and may in the future be, involved in class-action lawsuits and other litigation matters that are expensive and time-consuming. If resolved adversely, lawsuits and other litigation matters could seriously harm our business</w:t>
      </w:r>
      <w:r>
        <w:rPr>
          <w:rFonts w:ascii="Arial;sans-serif" w:hAnsi="Arial;sans-serif"/>
          <w:b w:val="false"/>
          <w:color w:val="000000"/>
          <w:sz w:val="24"/>
        </w:rPr>
        <w: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our estimates or judgments relating to our critical accounting estimates prove to be incorrect, our results of operations could be adversely affected.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are unable to maintain effective internal control over financial reporting in the future, investors may lose confidence in the accuracy and completeness of our financial reports, and the market price of our common stock may be seriously harmed.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stock price is volatile, and the value of our common stock may decline.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1.         Business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Organizations around the world are more dependent on the quality of digital experiences they provide than ever before. As the internet approaches an inflection point where automated, artificial intelligence (“AI”)-driven traffic increases demands on infrastructure, Fastly is the essential platform to deliver resilient, highly performant, always-on software and services at global scale.</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edge cloud is a category of Infrastructure as a Service (“IaaS”) that enables software engineers to build, secure, and deliver digital experiences at the edge of the Internet. Our platform represents the convergence of the Content Delivery Network (“CDN”) with functionality that has traditionally been delivered by hardware-centric appliances such as Application Delivery Controllers (“ADC”), Web Application Firewalls (“WAF”), API Management, Bot Detection, Distributed Denial of Service (“DDoS”), Web Application and API Protection (“WAAP”), and infrastructure protection.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Processing at the edge is an ideal way to handle highly dynamic and time-sensitive data, especially when performance matters. Organizations of all sizes, including Fortune 500 companies that run 24/7 operations, leverage our edge cloud platform for a diverse range of critical functions that benefit from processing at the edge, including enhancing user experience, scaling agentic AI workloads, and powering core commerce capabilities to drive conversion and customer success. The edge cloud complements data center, central cloud, and hybrid solutions, and is critical for responsive, safe, and secure AI-centric experiences.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Fastly focuses holistically on the edge cloud from developer creation to end-user experience, with our global footprint and integrated security core to our platform. Our platform is poised to capitalize on the rise of agentic AI, where autonomous agent consumption is driving the bulk of internet traffic. Fastly is uniquely positioned – and has laid the groundwork – to lead the intelligence fabric that helps enterprises adapt to this shift. We are capturing this opportunity by supporting edge workloads and AI traffic management, allowing organizations to optimize AI-driven services alongside human interactions. We play a unique role in helping enterprises optimize and accelerate interactions with authorized AI agents and blocking abuse, powering their differentiation and AI-fueled innovation.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Organizations must keep up with a complex and ever-evolving landscape. We’ve built a powerful unified edge platform designed from the ground up to be programmable and support agile software development, and we continuously drive innovation to meet the ever changing needs of our customers. We believe that our platform gives our customers a significant competitive advantage – whether they were born into the AI-centric digital age or are just embarking on their transformation journey.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 xml:space="preserve">Products &amp; Services </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Fastly Platform</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Fastly’s platform has evolved over the years to meet changing technology demands and the needs of a growing customer base. Built on the core principles of performance, resilience, and programmability, it was originally designed to accelerate applications and services at global scale. Over time, the platform expanded to also encompass edge computing, cloud-native architectures, unified application security, and emerging AI workloads.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Today, Fastly’s platform is designed to address the requirements of the always-on digital economy by providing essential infrastructure and application solutions for customers across a broad range of industries. We serve organizations across ecommerce, streaming media, gaming, digital publishing, and high tech to financial services and more. Our platform supports diverse use cases, from edge distribution and delivery, to cloud-native applications, serverless development, web application and API protection, and edge computing.</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A Modern Platform</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taken advantage of modern network design to build a platform optimized for performance, resilience and scale. Our platform is built to accelerate a wide range of content, including dynamic content, allowing customers to deliver faster, more personalized web and mobile experiences. It is also designed to scale rapidly and intelligently, while being resilient, to reliably support peak traffic events like live streaming events, flash sales, and major gaming releases. </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Cloud-Native</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cloud-native solutions have become more mainstream for building and running applications, we are also well suited to support these environments. We offer an API-driven, developer-friendly platform that integrates smoothly with modern stacks, continuous integration/continuous deployment pipelines and cloud infrastructures. Our platform acts as an intelligent edge layer in front of customers’ single or multi-cloud environments. By accelerating, protecting, and optimizing API traffic, intelligently routing requests, and reducing load on origin servers, we improve application performance, security, and reliability. These benefits extend beyond enhancing centralized cloud applications to also supporting larger deployments in virtual private clouds and globally distributed, edge-native applications.</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Edge Computing</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application architectures have evolved, with latency-sensitive functionality moving closer to end users, we have expanded our platform to support programmable edge computing. Built on WebAssembly (“WASM”) to support microsecond code execution times, our compute environment enables customers to run layers of intelligent logic, including AI, in front of their applications and services, all while maintaining performance. This allows customers to optimize their workflows for higher conversion rates, increased revenue generation, and faster developer innovation. With built-in isolation technology, the platform is also secure by design, enabling customers to run business-critical workloads while minimizing the potential for vulnerabilities or unauthorized access. Some common edge compute use cases include fast, scalable personalization; security and authentication enforcement; and on-the-fly image or video optimization. Being part of core application workflows, these compute use cases can drive even deeper usage of Fastly’s platform.</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Unified Application Security</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response to growing customer demand for consolidated application security, we offer a suite of security solutions to minimize the impact of attacks on and abuse against applications, APIs, and software services. By design, our powerful platform is ideally suited to adapt to and sustain resilience against massive traffic swells, whether network-layer DDoS attacks or global-scale real-time media events. Our AI-driven Adaptive Threat Engine enables real-time detection and mitigation of evolving attacks through traffic pattern analysis across our network, which we also apply to our customers’ individual services through our DDoS Protection product. We layer software products on top of our resilient platform, empowering customers with tailorable protection that lets them block, deceive, redirect, and otherwise manage attack, abuse, and other unwanted traffic. Our integrated web application firewall and bot management capabilities leverage our platform’s evidence-based, context-aware detection capabilities so customers can proactively address unwanted activity. Our platform provides real-time visibility into security events, attack traffic, and rule performance, enabling faster identification and remediation of potential risks to minimize the business impact of security incidents. Our built-in deception and mitigation techniques allow customers to detect and block attack attempts while obfuscating successful defense from attackers, slowing down attackers’ ability to evolve their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AI-Ready</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AI becomes an essential part of modern applications, we are pursuing a dual opportunity: enabling AI workloads for our customers and leveraging AI to enhance our platform’s usability and capabilities. Our platform offers semantic caching and edge data stores to speed up AI workloads, while support for real-time messaging and pre-processing of visual data for AI models reduces latency and improves efficiency for AI applications. Fastly’s platform also includes capabilities for managing agentic AI and AI bot traffic, and controlling services through natural language interfaces. </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Platform Differentiators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evolution of Fastly’s platform is powered by a set of core differentiators. These differentiators have allowed us to rapidly adapt to changing market needs.</w:t>
      </w:r>
    </w:p>
    <w:p>
      <w:pPr>
        <w:pStyle w:val="TextBody"/>
        <w:bidi w:val="0"/>
        <w:spacing w:lineRule="auto" w:line="268" w:before="0" w:after="240"/>
        <w:jc w:val="left"/>
        <w:rPr/>
      </w:pPr>
      <w:r>
        <w:rPr>
          <w:rFonts w:ascii="Times New Roman;serif" w:hAnsi="Times New Roman;serif"/>
          <w:b w:val="false"/>
          <w:i/>
          <w:color w:val="000000"/>
          <w:sz w:val="20"/>
        </w:rPr>
        <w:t xml:space="preserve">Robust architecture: </w:t>
      </w:r>
      <w:r>
        <w:rPr>
          <w:rFonts w:ascii="Times New Roman;serif" w:hAnsi="Times New Roman;serif"/>
          <w:b w:val="false"/>
          <w:color w:val="000000"/>
          <w:sz w:val="20"/>
        </w:rPr>
        <w:t xml:space="preserve">Our network is comprised of robust, high-density POPs (points of presence) designed to minimize footprint and colocation costs while delivering content closer to end users. Strategically located near major cloud providers and peered with Internet exchanges worldwide, our POPs are designed to achieve optimal performance with fewer nodes than traditional architectures. </w:t>
      </w:r>
    </w:p>
    <w:p>
      <w:pPr>
        <w:pStyle w:val="TextBody"/>
        <w:bidi w:val="0"/>
        <w:spacing w:lineRule="auto" w:line="268" w:before="0" w:after="240"/>
        <w:jc w:val="left"/>
        <w:rPr/>
      </w:pPr>
      <w:r>
        <w:rPr>
          <w:rFonts w:ascii="Times New Roman;serif" w:hAnsi="Times New Roman;serif"/>
          <w:b w:val="false"/>
          <w:i/>
          <w:color w:val="000000"/>
          <w:sz w:val="20"/>
        </w:rPr>
        <w:t>Software-controlled:</w:t>
      </w:r>
      <w:r>
        <w:rPr>
          <w:color w:val="000000"/>
        </w:rPr>
        <w:t xml:space="preserve"> </w:t>
      </w:r>
      <w:r>
        <w:rPr>
          <w:rFonts w:ascii="Times New Roman;serif" w:hAnsi="Times New Roman;serif"/>
          <w:b w:val="false"/>
          <w:color w:val="000000"/>
          <w:sz w:val="20"/>
        </w:rPr>
        <w:t>We built a smarter network using fast switches and server-layer routing intelligence, allowing us to deliver real-time responses by optimally routing customer traffic. Our network also supports origin health checks for CDN and Compute services, which are designed to monitor and direct traffic away from unhealthy backends to maintain service reliability.</w:t>
      </w:r>
    </w:p>
    <w:p>
      <w:pPr>
        <w:pStyle w:val="TextBody"/>
        <w:bidi w:val="0"/>
        <w:spacing w:lineRule="auto" w:line="268" w:before="0" w:after="240"/>
        <w:jc w:val="left"/>
        <w:rPr/>
      </w:pPr>
      <w:r>
        <w:rPr>
          <w:rFonts w:ascii="Times New Roman;serif" w:hAnsi="Times New Roman;serif"/>
          <w:b w:val="false"/>
          <w:i/>
          <w:color w:val="000000"/>
          <w:sz w:val="20"/>
        </w:rPr>
        <w:t xml:space="preserve">Resilient by design: </w:t>
      </w:r>
      <w:r>
        <w:rPr>
          <w:rFonts w:ascii="Times New Roman;serif" w:hAnsi="Times New Roman;serif"/>
          <w:b w:val="false"/>
          <w:color w:val="000000"/>
          <w:sz w:val="20"/>
        </w:rPr>
        <w:t>Our network is designed to withstand common performance degradation and connectivity issues with internet transit providers. Fast Path Failover provides automatic detection and rerouting of underperforming edge connections at the transport layer. Precision Path monitors origin connections and reroutes traffic in real time to the best available path. Autopilot, our automated egress traffic engineering solution, allows us to reliably manage high-traffic events without manual intervention. When it comes to protecting against DDoS attacks, our Adaptive Threat Engine is designed to enhance platform resilience by automatically detecting and mitigating attacks in real time, using advanced behavior modeling and traffic analysis to stop threats even when attackers rotate IPs.</w:t>
      </w:r>
    </w:p>
    <w:p>
      <w:pPr>
        <w:pStyle w:val="TextBody"/>
        <w:bidi w:val="0"/>
        <w:spacing w:lineRule="auto" w:line="268" w:before="0" w:after="240"/>
        <w:jc w:val="left"/>
        <w:rPr/>
      </w:pPr>
      <w:r>
        <w:rPr>
          <w:rFonts w:ascii="Times New Roman;serif" w:hAnsi="Times New Roman;serif"/>
          <w:b w:val="false"/>
          <w:i/>
          <w:color w:val="000000"/>
          <w:sz w:val="20"/>
        </w:rPr>
        <w:t xml:space="preserve">Fully programmable: </w:t>
      </w:r>
      <w:r>
        <w:rPr>
          <w:rFonts w:ascii="Times New Roman;serif" w:hAnsi="Times New Roman;serif"/>
          <w:b w:val="false"/>
          <w:color w:val="000000"/>
          <w:sz w:val="20"/>
        </w:rPr>
        <w:t>We have built a fully programmable platform that gives customers comprehensive control over how their content is cached and how it responds to end-user requests. Using our flexible APIs, customers can make configuration changes themselves, rather than relying on professional services. This results in faster end-user experiences and cost savings for our customers, while unlocking developer innovation.</w:t>
      </w:r>
    </w:p>
    <w:p>
      <w:pPr>
        <w:pStyle w:val="TextBody"/>
        <w:bidi w:val="0"/>
        <w:spacing w:lineRule="auto" w:line="268" w:before="0" w:after="240"/>
        <w:jc w:val="left"/>
        <w:rPr/>
      </w:pPr>
      <w:r>
        <w:rPr>
          <w:rFonts w:ascii="Times New Roman;serif" w:hAnsi="Times New Roman;serif"/>
          <w:b w:val="false"/>
          <w:i/>
          <w:color w:val="000000"/>
          <w:sz w:val="20"/>
        </w:rPr>
        <w:t xml:space="preserve">Granular visibility: </w:t>
      </w:r>
      <w:r>
        <w:rPr>
          <w:rFonts w:ascii="Times New Roman;serif" w:hAnsi="Times New Roman;serif"/>
          <w:b w:val="false"/>
          <w:color w:val="000000"/>
          <w:sz w:val="20"/>
        </w:rPr>
        <w:t xml:space="preserve">Customers need continuous insight into the status of their apps and services. Across our product lines, we provide real-time logging, rich metrics, alerts and dashboards enabling faster, data-driven decision making. Software engineers can monitor performance, detect anomalies, and troubleshoot issues faster using these tools, maximizing availability and performance for their apps and services. Fastly’s granular visibility enables customers to iterate quickly on new releases, bringing innovations to market faster so they can stay ahead of competitors. </w:t>
      </w:r>
    </w:p>
    <w:p>
      <w:pPr>
        <w:pStyle w:val="TextBody"/>
        <w:bidi w:val="0"/>
        <w:spacing w:lineRule="auto" w:line="268" w:before="0" w:after="240"/>
        <w:jc w:val="left"/>
        <w:rPr/>
      </w:pPr>
      <w:r>
        <w:rPr>
          <w:rFonts w:ascii="Times New Roman;serif" w:hAnsi="Times New Roman;serif"/>
          <w:b w:val="false"/>
          <w:i/>
          <w:color w:val="000000"/>
          <w:sz w:val="20"/>
        </w:rPr>
        <w:t xml:space="preserve">DevOps-friendly: </w:t>
      </w:r>
      <w:r>
        <w:rPr>
          <w:rFonts w:ascii="Times New Roman;serif" w:hAnsi="Times New Roman;serif"/>
          <w:b w:val="false"/>
          <w:color w:val="000000"/>
          <w:sz w:val="20"/>
        </w:rPr>
        <w:t xml:space="preserve">We make it easy for customers to integrate Fastly into their DevOps workflows through rich APIs and support for platforms like Terraform, Amazon S3, and Google Cloud Storage. Combined with our configurability and visibility, these integrations enable developers to include Fastly in their continuous integration and deployment processes, accelerating and optimizing software and feature releases to enable their business goals. </w:t>
      </w:r>
    </w:p>
    <w:p>
      <w:pPr>
        <w:pStyle w:val="TextBody"/>
        <w:bidi w:val="0"/>
        <w:spacing w:lineRule="auto" w:line="268" w:before="0" w:after="240"/>
        <w:jc w:val="left"/>
        <w:rPr/>
      </w:pPr>
      <w:r>
        <w:rPr>
          <w:rFonts w:ascii="Times New Roman;serif" w:hAnsi="Times New Roman;serif"/>
          <w:b w:val="false"/>
          <w:i/>
          <w:color w:val="000000"/>
          <w:sz w:val="20"/>
        </w:rPr>
        <w:t>Powerful Compute environment:</w:t>
      </w:r>
      <w:r>
        <w:rPr>
          <w:color w:val="000000"/>
        </w:rPr>
        <w:t xml:space="preserve"> </w:t>
      </w:r>
      <w:r>
        <w:rPr>
          <w:rFonts w:ascii="Times New Roman;serif" w:hAnsi="Times New Roman;serif"/>
          <w:b w:val="false"/>
          <w:color w:val="000000"/>
          <w:sz w:val="20"/>
        </w:rPr>
        <w:t>Our platform provides a serverless compute environment that enables developers to run business-critical workloads at the edge with high performance, resilience, and minimal maintenance. Using WASM, code compiles to native machine code and executes in secure, isolated sandboxes across all our edge service delivery points. Our compute environment enables enterprises to deliver low-latency, reliable, and secure workloads and applications that serve business-critical use cases spanning new revenue opportunities, differentiation, and AI innovation.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Network Services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Fastly is an extension of our customers’ infrastructure. Our Network Services are designed to speed up and optimize the delivery of web and application traffic while ensuring developers and engineers do not lose visibility or control. Whether customers are looking to deliver engaging web and streaming experiences to their users, move apps to the cloud, or scale their DevOps practices, our Network Services provide the speed, security, and flexibility customers need.</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Content Delivery Network</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Dynamic Site Acceleration. </w:t>
      </w:r>
      <w:r>
        <w:rPr>
          <w:rFonts w:ascii="Times New Roman;serif" w:hAnsi="Times New Roman;serif"/>
          <w:b w:val="false"/>
          <w:color w:val="000000"/>
          <w:sz w:val="20"/>
        </w:rPr>
        <w:t>Speeds up requests and responses between cache nodes in our Points of Presence (“POPs”) and customers’ origin servers to serve their dynamic web and mobile content faster.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Origin Shield.</w:t>
      </w:r>
      <w:r>
        <w:rPr>
          <w:color w:val="000000"/>
        </w:rPr>
        <w:t xml:space="preserve"> </w:t>
      </w:r>
      <w:r>
        <w:rPr>
          <w:rFonts w:ascii="Times New Roman;serif" w:hAnsi="Times New Roman;serif"/>
          <w:b w:val="false"/>
          <w:color w:val="000000"/>
          <w:sz w:val="20"/>
        </w:rPr>
        <w:t>Allows us to designate a specific POP to serve as a shield for a customer’s origin servers. When web content is refreshed and multiple end users request the new content simultaneously, a deluge of requests can hit a customer’s origin server. This can result in poor web or application performance. With Origin Shield, we collapse all these content requests into a single request and hold it in queue at the Origin Shield POP. That allows us to retrieve the new content from the customer’s origin server only once, and then serve it to all end users who requested it. This approach reduces costs for our customers, while improving performance for their end users.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Instant Purge</w:t>
      </w:r>
      <w:r>
        <w:rPr>
          <w:rFonts w:ascii="Times New Roman;serif" w:hAnsi="Times New Roman;serif"/>
          <w:b w:val="false"/>
          <w:color w:val="000000"/>
          <w:sz w:val="20"/>
        </w:rPr>
        <w:t>. Allows customers to clear the cached copy of their content globally in milliseconds, not seconds. We allow customers to send a command to our platform that invalidates an old version of their content throughout our global edge infrastructure. This causes a new version of content to be retrieved from the application server the next time it is requested. This feature enables our customers to serve highly dynamic content at the edge faster, facilitating delightful application experiences. Rapidly changing content like shopping cart items, flight search results, sports scores, or current weather conditions in any given location can all be served faster from the network edge.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Surrogate Keys. </w:t>
      </w:r>
      <w:r>
        <w:rPr>
          <w:rFonts w:ascii="Times New Roman;serif" w:hAnsi="Times New Roman;serif"/>
          <w:b w:val="false"/>
          <w:color w:val="000000"/>
          <w:sz w:val="20"/>
        </w:rPr>
        <w:t>Allows customers to fine-tune purging by tagging related objects across their site with a key name and description, then purging by that key. Customers can purge their entire site of a given object or set of objects all at once, without impacting performance. For example, customers could purge any images and content related to discontinued sale items, discounted products, or outdated news across their site all at once.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Programmatic Control.</w:t>
      </w:r>
      <w:r>
        <w:rPr>
          <w:color w:val="000000"/>
        </w:rPr>
        <w:t xml:space="preserve"> </w:t>
      </w:r>
      <w:r>
        <w:rPr>
          <w:rFonts w:ascii="Times New Roman;serif" w:hAnsi="Times New Roman;serif"/>
          <w:b w:val="false"/>
          <w:color w:val="000000"/>
          <w:sz w:val="20"/>
        </w:rPr>
        <w:t>Provides direct programmatic control of edge delivery services to our customers, allowing them to precisely control what content is cached, for how long and when it should be refreshed. Combined with comprehensive APIs, this allows our customers to build, test and deploy custom logic, using their own development, test and deployment environment, for even the most complex digital experiences.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Content Compression. </w:t>
      </w:r>
      <w:r>
        <w:rPr>
          <w:rFonts w:ascii="Times New Roman;serif" w:hAnsi="Times New Roman;serif"/>
          <w:b w:val="false"/>
          <w:color w:val="000000"/>
          <w:sz w:val="20"/>
        </w:rPr>
        <w:t>Compresses content with technologies like Gzip and Brotli, providing direct performance improvements and a more responsive web experience for end users.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Reliability Features</w:t>
      </w:r>
      <w:r>
        <w:rPr>
          <w:rFonts w:ascii="Times New Roman;serif" w:hAnsi="Times New Roman;serif"/>
          <w:b w:val="false"/>
          <w:color w:val="000000"/>
          <w:sz w:val="20"/>
        </w:rPr>
        <w:t>. Support the availability of customer content with features including origin health checks, a ‘grace mode’ feature that will continue serving content even when customer origin(s) fail, Multipath TCP, and real time error dashboards and API feeds that are backed by a 100% uptime Service Level Agreement (</w:t>
      </w:r>
      <w:r>
        <w:rPr>
          <w:color w:val="000000"/>
        </w:rPr>
        <w:t>“</w:t>
      </w:r>
      <w:r>
        <w:rPr>
          <w:rFonts w:ascii="Times New Roman;serif" w:hAnsi="Times New Roman;serif"/>
          <w:b w:val="false"/>
          <w:color w:val="000000"/>
          <w:sz w:val="20"/>
        </w:rPr>
        <w:t>SLA”).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Fanout</w:t>
      </w:r>
      <w:r>
        <w:rPr>
          <w:rFonts w:ascii="Times New Roman;serif" w:hAnsi="Times New Roman;serif"/>
          <w:b w:val="false"/>
          <w:color w:val="000000"/>
          <w:sz w:val="20"/>
        </w:rPr>
        <w:t>. Enables customers to push data in real time to many users, such as synchronous communication of messages in a chatroom, server updates to Internet of Things (“IoT”) devices and other types of data between devices. Real-time messaging is used in a wide range of data streaming applications, including IoT, live commenting, end-user notifications, chat and more.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Domainr</w:t>
      </w:r>
      <w:r>
        <w:rPr>
          <w:rFonts w:ascii="Times New Roman;serif" w:hAnsi="Times New Roman;serif"/>
          <w:b w:val="false"/>
          <w:color w:val="000000"/>
          <w:sz w:val="20"/>
        </w:rPr>
        <w:t>. Provides customers with a real-time and programmatic means for checking domain availability. A programmatic solution for verifying trust for domains is especially useful for platform customers. Using Domainr's APIs, customers can embed these functions directly into their workflows.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Modern Protocols and Performance.</w:t>
      </w:r>
      <w:r>
        <w:rPr>
          <w:color w:val="000000"/>
        </w:rPr>
        <w:t xml:space="preserve"> </w:t>
      </w:r>
      <w:r>
        <w:rPr>
          <w:rFonts w:ascii="Times New Roman;serif" w:hAnsi="Times New Roman;serif"/>
          <w:b w:val="false"/>
          <w:color w:val="000000"/>
          <w:sz w:val="20"/>
        </w:rPr>
        <w:t>Helps our customers, and the Internet in general, receive the best possible performance regardless of user device, connectivity or location though supporting the development of next generation web technologies and protocols such as HTTP/3, QUIC, client hints and HTTP prioritization.</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 xml:space="preserve">Staging Environment. </w:t>
      </w:r>
      <w:r>
        <w:rPr>
          <w:rFonts w:ascii="Times New Roman;serif" w:hAnsi="Times New Roman;serif"/>
          <w:b w:val="false"/>
          <w:color w:val="000000"/>
          <w:sz w:val="20"/>
        </w:rPr>
        <w:t>Allows customers to test changes to their CDN or Compute service configurations in a staging environment before deploying them to the production network. This helps identify and resolve potential issues earlier in the development process. Staging features are automatically enabled for use in the Fastly API, command line interface, and via Terraform.</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Video / Streaming</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 xml:space="preserve">Live Streaming. </w:t>
      </w:r>
      <w:r>
        <w:rPr>
          <w:rFonts w:ascii="Times New Roman;serif" w:hAnsi="Times New Roman;serif"/>
          <w:b w:val="false"/>
          <w:color w:val="000000"/>
          <w:sz w:val="20"/>
        </w:rPr>
        <w:t>Delivers millions of concurrent high-quality live streams. It can deliver online content using major HTTP streaming formats while providing real-time feedback to optimize viewer experiences. In addition, we partner with multiple video platform vendors to improve the flexibility and scale of live-streaming workflows and reduce the total cost of ownership for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Video on Demand. </w:t>
      </w:r>
      <w:r>
        <w:rPr>
          <w:rFonts w:ascii="Times New Roman;serif" w:hAnsi="Times New Roman;serif"/>
          <w:b w:val="false"/>
          <w:color w:val="000000"/>
          <w:sz w:val="20"/>
        </w:rPr>
        <w:t>Reduces the load on origin servers and accelerates time-to-first-frame by caching and rapidly delivering Video on Demand content. Our on-the-fly-packaging feature optimizes streaming media on demand and facilitates immediate playback, thus enhancing viewer experiences across regions, devices, and platforms.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Media Shield. </w:t>
      </w:r>
      <w:r>
        <w:rPr>
          <w:rFonts w:ascii="Times New Roman;serif" w:hAnsi="Times New Roman;serif"/>
          <w:b w:val="false"/>
          <w:color w:val="000000"/>
          <w:sz w:val="20"/>
        </w:rPr>
        <w:t>Large streaming customers typically use multiple CDNs for media delivery for redundancy and protection. Our Media Shield product supports these efforts and can reduce the total cost of ownership while also regaining lost visibility and improving performance. By collapsing multiple origin requests for identical content across several CDNs, content can be streamed faster, more efficiently, and with a significantly smaller infrastructure burden.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Cache Reservation. </w:t>
      </w:r>
      <w:r>
        <w:rPr>
          <w:rFonts w:ascii="Times New Roman;serif" w:hAnsi="Times New Roman;serif"/>
          <w:b w:val="false"/>
          <w:color w:val="000000"/>
          <w:sz w:val="20"/>
        </w:rPr>
        <w:t xml:space="preserve">Allows large streaming customers to reserve cache space at Fastly’s edge for high traffic events. By prioritizing a customer’s content cache storage, Cache Reservation allows that content to stay in cache for longer, minimizing content eviction in multi-tenant environments. It also helps reduce cloud egress costs by optimizing origin offload from any CDN, including Fastly.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Live Event Monitoring. </w:t>
      </w:r>
      <w:r>
        <w:rPr>
          <w:rFonts w:ascii="Times New Roman;serif" w:hAnsi="Times New Roman;serif"/>
          <w:b w:val="false"/>
          <w:color w:val="000000"/>
          <w:sz w:val="20"/>
        </w:rPr>
        <w:t>With real-time monitoring, streaming delivery, request collapsing, capacity planning, and flexible deployment, Fastly Live Event Monitoring gives customers insights into their live streaming performance and the ability to troubleshoot immediately, all while reducing costs.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Object Storage</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Object Storage.</w:t>
      </w:r>
      <w:r>
        <w:rPr>
          <w:color w:val="000000"/>
        </w:rPr>
        <w:t xml:space="preserve"> </w:t>
      </w:r>
      <w:r>
        <w:rPr>
          <w:rFonts w:ascii="Times New Roman;serif" w:hAnsi="Times New Roman;serif"/>
          <w:b w:val="false"/>
          <w:color w:val="000000"/>
          <w:sz w:val="20"/>
        </w:rPr>
        <w:t xml:space="preserve">Fastly Object Storage is an Amazon S3-compatible large object storage solution that works seamlessly with both our CDN and Compute services. Customers can store large file sizes, improving latency, increasing cache hit ratios, and reducing egress charges. Objects stored in Object Storage are accessible via an S3-compatible interface. Our on-demand migration feature enables customers to only migrate their required working set of data, reducing egress charges from their source provider.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Load Balancing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Load Balancer.</w:t>
      </w:r>
      <w:r>
        <w:rPr>
          <w:color w:val="000000"/>
        </w:rPr>
        <w:t xml:space="preserve"> </w:t>
      </w:r>
      <w:r>
        <w:rPr>
          <w:rFonts w:ascii="Times New Roman;serif" w:hAnsi="Times New Roman;serif"/>
          <w:b w:val="false"/>
          <w:color w:val="000000"/>
          <w:sz w:val="20"/>
        </w:rPr>
        <w:t>Manages HTTP/HTTPS requests to a customer’s origin using granular content-aware routing decisions. We allow customers to manage traffic across multiple IaaS providers, data centers, and hybrid clouds. We also provide improved performance and cost savings over ADCs, especially during a spike or surge in traffic.</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Image Optimization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Image Optimizer. </w:t>
      </w:r>
      <w:r>
        <w:rPr>
          <w:rFonts w:ascii="Times New Roman;serif" w:hAnsi="Times New Roman;serif"/>
          <w:b w:val="false"/>
          <w:color w:val="000000"/>
          <w:sz w:val="20"/>
        </w:rPr>
        <w:t xml:space="preserve">We offer a real-time image manipulation and delivery service and store transformations at the edge. When an image is requested, we resize it, adjust quality, crop/trim, change orientations, convert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formats, and more, all on demand. Transforming images at the edge eliminates latency and reduces traffic to origin servers, allowing customers to save on infrastructure and egress costs.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Origin Connect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Origin Connect.</w:t>
      </w:r>
      <w:r>
        <w:rPr>
          <w:color w:val="000000"/>
        </w:rPr>
        <w:t xml:space="preserve"> </w:t>
      </w:r>
      <w:r>
        <w:rPr>
          <w:rFonts w:ascii="Times New Roman;serif" w:hAnsi="Times New Roman;serif"/>
          <w:b w:val="false"/>
          <w:color w:val="000000"/>
          <w:sz w:val="20"/>
        </w:rPr>
        <w:t>Ideal for companies moving more than one gigabyte of data per second, such as media, video, and streaming companies, Origin Connect provides a direct private network connection between an organization’s origin server and an Origin Shield POP. This is an effective way to lower transit costs, reduce engineering complexity, and improve reliability for high-volume streaming content.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Security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Customers across multiple industries rely on Fastly to help rapidly secure their business-critical websites, apps, and APIs. Our modern approach to application security provides the accuracy, flexibility, and ease-of-use that our customers value and expect. Fastly provides a suite of security solutions focused on protecting websites, apps, and APIs from unwanted activity, including DDoS attacks, application layer attacks, and abusive behavior from automated software such as AI crawlers. This solution suite is designed to be real-time, scalable, and customizable, offering customers the ability to tailor and adapt their security to their unique and evolving business needs. </w:t>
      </w:r>
    </w:p>
    <w:p>
      <w:pPr>
        <w:pStyle w:val="TextBody"/>
        <w:bidi w:val="0"/>
        <w:spacing w:lineRule="auto" w:line="276" w:before="0" w:after="240"/>
        <w:jc w:val="left"/>
        <w:rPr/>
      </w:pPr>
      <w:r>
        <w:rPr>
          <w:rFonts w:ascii="Times New Roman;serif" w:hAnsi="Times New Roman;serif"/>
          <w:b/>
          <w:color w:val="000000"/>
          <w:sz w:val="20"/>
        </w:rPr>
        <w:t>Next-Gen WAF</w:t>
      </w:r>
      <w:r>
        <w:rPr>
          <w:rFonts w:ascii="Times New Roman;serif" w:hAnsi="Times New Roman;serif"/>
          <w:b w:val="false"/>
          <w:color w:val="000000"/>
          <w:sz w:val="20"/>
        </w:rPr>
        <w:t>. Our next-generation Web Application Firewall protects applications from malicious attacks that seek to compromise apps and APIs. Our context-aware solution requires no tuning, reducing our customers’ time to deploy software changes, and is more accurate than the traditional rule or signature-based approaches. Our WAF can be installed in any infrastructure: cloud, virtual private cloud, container, on-premise data center or hybrid environments or at the edge. Key features include:</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 xml:space="preserve">Bot Management. </w:t>
      </w:r>
      <w:r>
        <w:rPr>
          <w:rFonts w:ascii="Times New Roman;serif" w:hAnsi="Times New Roman;serif"/>
          <w:b w:val="false"/>
          <w:color w:val="000000"/>
          <w:sz w:val="20"/>
        </w:rPr>
        <w:t>Bad bots can perform content scraping, tie up system resources, perform account brute forcing and other harmful actions. Our solution (available as part of our Next-Gen WAF) monitors web application and API traffic for automated bot activity, allowing customers to automatically block malicious bot-generated web requests, while providing access for wanted or verified bots. Additional advanced bot management features are available in our separate Bot Management product, described below.</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API Protection.</w:t>
      </w:r>
      <w:r>
        <w:rPr>
          <w:color w:val="000000"/>
        </w:rPr>
        <w:t xml:space="preserve"> </w:t>
      </w:r>
      <w:r>
        <w:rPr>
          <w:rFonts w:ascii="Times New Roman;serif" w:hAnsi="Times New Roman;serif"/>
          <w:b w:val="false"/>
          <w:color w:val="000000"/>
          <w:sz w:val="20"/>
        </w:rPr>
        <w:t>Attackers often target sensitive APIs with malicious activity like attempting to validate stolen credit cards, perform ecommerce gift card fraud or obtain patient healthcare records. We help customers stop API abuse by enabling them to monitor for unexpected values and parameters submitted to API endpoints, and block unauthorized requests.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Account Takeover Protection.</w:t>
      </w:r>
      <w:r>
        <w:rPr>
          <w:color w:val="000000"/>
        </w:rPr>
        <w:t xml:space="preserve"> </w:t>
      </w:r>
      <w:r>
        <w:rPr>
          <w:rFonts w:ascii="Times New Roman;serif" w:hAnsi="Times New Roman;serif"/>
          <w:b w:val="false"/>
          <w:color w:val="000000"/>
          <w:sz w:val="20"/>
        </w:rPr>
        <w:t>Account takeover occurs when attackers use authentication credentials to take over legitimate user accounts. Attackers test stolen credentials in an automated manner called “credential stuffing.” Our Account Takeover Protection empowers customers to automatically block and alert on credential stuffing attacks.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Deception.</w:t>
      </w:r>
      <w:r>
        <w:rPr>
          <w:color w:val="000000"/>
        </w:rPr>
        <w:t xml:space="preserve"> </w:t>
      </w:r>
      <w:r>
        <w:rPr>
          <w:rFonts w:ascii="Times New Roman;serif" w:hAnsi="Times New Roman;serif"/>
          <w:b w:val="false"/>
          <w:color w:val="000000"/>
          <w:sz w:val="20"/>
        </w:rPr>
        <w:t>Our advanced deception feature blocks malicious login attempts while also misleading attackers with fake “invalid username/password” responses. Attackers are left frustrated, thinking their credentials are bad and retrying them without realizing they have been detected. This feature is currently available for our Next-Gen WAF, and our goal is to embed deception into both new and existing security products to create end-to-end attacker tracing across customer’s production environments.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Advanced Rate Limiting.</w:t>
      </w:r>
      <w:r>
        <w:rPr>
          <w:color w:val="000000"/>
        </w:rPr>
        <w:t xml:space="preserve"> </w:t>
      </w:r>
      <w:r>
        <w:rPr>
          <w:rFonts w:ascii="Times New Roman;serif" w:hAnsi="Times New Roman;serif"/>
          <w:b w:val="false"/>
          <w:color w:val="000000"/>
          <w:sz w:val="20"/>
        </w:rPr>
        <w:t xml:space="preserve">Advanced Rate Limiting enables customers to stop malicious and anomalous high volume web requests and reduce resource consumption while allowing legitimate traffic through to application and API endpoints—doing so means companies can provide a superior customer experience that scales to meet increasing demand. </w:t>
      </w:r>
    </w:p>
    <w:p>
      <w:pPr>
        <w:pStyle w:val="TextBody"/>
        <w:bidi w:val="0"/>
        <w:spacing w:lineRule="auto" w:line="276" w:before="0" w:after="240"/>
        <w:jc w:val="left"/>
        <w:rPr/>
      </w:pPr>
      <w:r>
        <w:rPr>
          <w:rFonts w:ascii="Times New Roman;serif" w:hAnsi="Times New Roman;serif"/>
          <w:b/>
          <w:color w:val="000000"/>
          <w:sz w:val="20"/>
        </w:rPr>
        <w:t xml:space="preserve">Bot Management. </w:t>
      </w:r>
      <w:r>
        <w:rPr>
          <w:rFonts w:ascii="Times New Roman;serif" w:hAnsi="Times New Roman;serif"/>
          <w:b w:val="false"/>
          <w:color w:val="000000"/>
          <w:sz w:val="20"/>
        </w:rPr>
        <w:t xml:space="preserve">Fastly Bot Management is an add-on service that provides customers with visibility into bot traffic, allowing them to differentiate between good and bad bots. They can then enforce rulesets and policies in the Fastly Next-Gen WAF control panel. Key features include AI Bot Management for controlling AI bot access, advanced client-side detection of sophisticated automated attacks, and support for dynamic challenges with Private Access Tokens (“PATs”), which allows for verification of legitimate users without relying on CAPTCHAs. Rather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blocking all bots, our approach supports customers’ business goals by giving them granular control to block malicious bots while allowing legitimate automated traffic, such as search engine crawlers or monitoring tools, to access their services.</w:t>
      </w:r>
    </w:p>
    <w:p>
      <w:pPr>
        <w:pStyle w:val="TextBody"/>
        <w:bidi w:val="0"/>
        <w:spacing w:lineRule="auto" w:line="276" w:before="0" w:after="240"/>
        <w:jc w:val="left"/>
        <w:rPr/>
      </w:pPr>
      <w:r>
        <w:rPr>
          <w:rFonts w:ascii="Times New Roman;serif" w:hAnsi="Times New Roman;serif"/>
          <w:b/>
          <w:color w:val="000000"/>
          <w:sz w:val="20"/>
        </w:rPr>
        <w:t xml:space="preserve">API Security. </w:t>
      </w:r>
      <w:r>
        <w:rPr>
          <w:rFonts w:ascii="Times New Roman;serif" w:hAnsi="Times New Roman;serif"/>
          <w:b w:val="false"/>
          <w:color w:val="000000"/>
          <w:sz w:val="20"/>
        </w:rPr>
        <w:t>Fastly has a set of capabilities designed to help customers better protect their APIs. API Discovery automatically and continuously finds, collects and organizes customer API traffic across their Fastly services into one manageable interface. API Inventory allows customers to save and customize an accurate, detailed, and continuously-updated API inventory from the latest traffic surfaced in API Discovery. Being able to review and set aside APIs that are behaving as expected allows customers to more easily identify APIs which need security attention.</w:t>
      </w:r>
    </w:p>
    <w:p>
      <w:pPr>
        <w:pStyle w:val="TextBody"/>
        <w:bidi w:val="0"/>
        <w:spacing w:lineRule="auto" w:line="276" w:before="0" w:after="240"/>
        <w:jc w:val="left"/>
        <w:rPr/>
      </w:pPr>
      <w:r>
        <w:rPr>
          <w:rFonts w:ascii="Times New Roman;serif" w:hAnsi="Times New Roman;serif"/>
          <w:b/>
          <w:color w:val="000000"/>
          <w:sz w:val="20"/>
        </w:rPr>
        <w:t xml:space="preserve">Client-Side Protection. </w:t>
      </w:r>
      <w:r>
        <w:rPr>
          <w:rFonts w:ascii="Times New Roman;serif" w:hAnsi="Times New Roman;serif"/>
          <w:b w:val="false"/>
          <w:color w:val="000000"/>
          <w:sz w:val="20"/>
        </w:rPr>
        <w:t>Fastly Client-Side Protection helps our customers meet PCI-DSS compliance requirements. It provides real-time monitoring and protection against unauthorized modifications to client-side scripts and response headers, helping businesses secure sensitive customer data and maintain compliance.</w:t>
      </w:r>
    </w:p>
    <w:p>
      <w:pPr>
        <w:pStyle w:val="TextBody"/>
        <w:bidi w:val="0"/>
        <w:spacing w:lineRule="auto" w:line="276" w:before="0" w:after="240"/>
        <w:jc w:val="left"/>
        <w:rPr/>
      </w:pPr>
      <w:r>
        <w:rPr>
          <w:rFonts w:ascii="Times New Roman;serif" w:hAnsi="Times New Roman;serif"/>
          <w:b/>
          <w:color w:val="000000"/>
          <w:sz w:val="20"/>
        </w:rPr>
        <w:t xml:space="preserve">Fastly DDoS Protection. </w:t>
      </w:r>
      <w:r>
        <w:rPr>
          <w:rFonts w:ascii="Times New Roman;serif" w:hAnsi="Times New Roman;serif"/>
          <w:b w:val="false"/>
          <w:color w:val="000000"/>
          <w:sz w:val="20"/>
        </w:rPr>
        <w:t>Fastly’s DDoS Protection provides enhanced application-layer defense against DDoS attacks without requiring any upfront tuning. When unexpected volumetric events occur, our proprietary Adaptive Threat Engine leverages advanced, automated pattern analysis—including machine-learning–style behavior modeling—to determine legitimacy. If an attack is detected, it analyzes a comprehensive set of traffic characteristics to identify the attacker and quickly mitigate their attacks, even if IPs are rotated. Fastly DDoS Protection also features a zero-attack-fee billing model, ensuring customers are never charged for attack traffic.</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TLS Encryption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Transport Layer Security (“TLS”).</w:t>
      </w:r>
      <w:r>
        <w:rPr>
          <w:color w:val="000000"/>
        </w:rPr>
        <w:t xml:space="preserve"> </w:t>
      </w:r>
      <w:r>
        <w:rPr>
          <w:rFonts w:ascii="Times New Roman;serif" w:hAnsi="Times New Roman;serif"/>
          <w:b w:val="false"/>
          <w:color w:val="000000"/>
          <w:sz w:val="20"/>
        </w:rPr>
        <w:t>As part of our standard product, our platform terminates HTTPS connections at our network edge, offloading encrypted traffic from our customers’ web servers for better performance. Predefined roles allow customers to more precisely manage TLS access without having to grant unnecessarily broad permissions. We also provide a number of different certificate procurement and hosting options.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Platform TLS.</w:t>
      </w:r>
      <w:r>
        <w:rPr>
          <w:color w:val="000000"/>
        </w:rPr>
        <w:t xml:space="preserve"> </w:t>
      </w:r>
      <w:r>
        <w:rPr>
          <w:rFonts w:ascii="Times New Roman;serif" w:hAnsi="Times New Roman;serif"/>
          <w:b w:val="false"/>
          <w:color w:val="000000"/>
          <w:sz w:val="20"/>
        </w:rPr>
        <w:t>Our Platform TLS offering is designed to allow customers with multiple web properties to manage TLS certificates at scale, while enabling a fast, secure experience for their end users. It supports delivery and management of hundreds of thousands of certificates, supported by our worldwide TLS termination and acceleration solution.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Certainly.</w:t>
      </w:r>
      <w:r>
        <w:rPr>
          <w:color w:val="000000"/>
        </w:rPr>
        <w:t xml:space="preserve"> </w:t>
      </w:r>
      <w:r>
        <w:rPr>
          <w:rFonts w:ascii="Times New Roman;serif" w:hAnsi="Times New Roman;serif"/>
          <w:b w:val="false"/>
          <w:color w:val="000000"/>
          <w:sz w:val="20"/>
        </w:rPr>
        <w:t>Certainly is our own publicly-trusted TLS Certification Authority. Fastly customers can use a certificate issued by Certainly to secure any website or API endpoint served by our CDN.</w:t>
      </w:r>
    </w:p>
    <w:p>
      <w:pPr>
        <w:pStyle w:val="TextBody"/>
        <w:bidi w:val="0"/>
        <w:spacing w:lineRule="auto" w:line="276" w:before="0" w:after="240"/>
        <w:jc w:val="left"/>
        <w:rPr/>
      </w:pPr>
      <w:r>
        <w:rPr>
          <w:rFonts w:ascii="Times New Roman;serif" w:hAnsi="Times New Roman;serif"/>
          <w:b/>
          <w:color w:val="000000"/>
          <w:sz w:val="20"/>
        </w:rPr>
        <w:t xml:space="preserve">Privacy. </w:t>
      </w:r>
      <w:r>
        <w:rPr>
          <w:rFonts w:ascii="Times New Roman;serif" w:hAnsi="Times New Roman;serif"/>
          <w:b w:val="false"/>
          <w:color w:val="000000"/>
          <w:sz w:val="20"/>
        </w:rPr>
        <w:t>Fastly offers several privacy enablement capabilities. Our OHTTP Relay solution provides fast, reliable separation and isolation of end user data, while passing along non-identifying requests to the business server. Fastly’s OHTTP Relay is designed to enhance online privacy for users of several of the largest internet vendors. Fastly has worked with others to develop and standardize the technology behind PATs. As an alternative to CAPTCHAs, PATs provide better user privacy by helping ensure there is no leakage of non-essential data.</w:t>
      </w:r>
    </w:p>
    <w:p>
      <w:pPr>
        <w:pStyle w:val="TextBody"/>
        <w:bidi w:val="0"/>
        <w:spacing w:lineRule="auto" w:line="288" w:before="0" w:after="240"/>
        <w:jc w:val="left"/>
        <w:rPr/>
      </w:pPr>
      <w:r>
        <w:rPr>
          <w:rFonts w:ascii="Times New Roman;serif" w:hAnsi="Times New Roman;serif"/>
          <w:b/>
          <w:color w:val="000000"/>
          <w:sz w:val="20"/>
        </w:rPr>
        <w:t xml:space="preserve">Compliance. </w:t>
      </w:r>
      <w:r>
        <w:rPr>
          <w:rFonts w:ascii="Times New Roman;serif" w:hAnsi="Times New Roman;serif"/>
          <w:b w:val="false"/>
          <w:color w:val="000000"/>
          <w:sz w:val="20"/>
        </w:rPr>
        <w:t xml:space="preserve">Our caching and delivery services are designed and measured against key audit and regulatory standards to help customers manage their compliance, including the Health Insurance Portability and Accountability Act (“HIPAA”), the European Union's General Data Protection Regulation (“EU GDPR”), the United Kingdom’s GDPR (“U.K. GDPR”), and industry standards like the PCI Data Security Standard and SSAE-18. Fastly is also certified to the ISO/IEC 27001:2022 standard for its Information Security Management System, and our Next-Gen WAF is FIPS 140-3 compliant for organizations that process sensitive government information or operate in regulated sectors.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Compute</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Fastly Compute enables developers to build edge-native applications, APIs, authentication layers, and mission-critical edge functions on our programmable edge platform. These workloads run without requiring developers to manage the underlying infrastructure. Like all our offerings, Compute is built to be secure, performant and scalable.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Compute supports a multitude of use cases, including:</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Enhancing Search Engine Optimization ranking by managing redirects and content rewrites at the edge to improve site performance and gain real-time visibility;</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 xml:space="preserve">Building high-volume data pipelines for telemetry, user monitoring, IoT sensor arrays, and more; </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Lowering infrastructure costs while delivering faster personalized experiences by handling user authentication and token management for application APIs at the edge; and</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Enabling low latency ad personalization by allowing our customers to serve ads quickly from the edge based on user data.</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Key features of Compute include:</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 xml:space="preserve">Serverless execution environment. </w:t>
      </w:r>
      <w:r>
        <w:rPr>
          <w:rFonts w:ascii="Times New Roman;serif" w:hAnsi="Times New Roman;serif"/>
          <w:b w:val="false"/>
          <w:color w:val="000000"/>
          <w:sz w:val="20"/>
        </w:rPr>
        <w:t>Compute offers a fast, secure serverless code execution engine. It allows customers to deploy code across Fastly’s global edge cloud platform, and execute the code close to the user for low latency. Compute also leverages the power of Fastly’s global platform via a set of powerful developer APIs for fine grained programmatic control (e.g. Cache API’s).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Language support.</w:t>
      </w:r>
      <w:r>
        <w:rPr>
          <w:color w:val="000000"/>
        </w:rPr>
        <w:t xml:space="preserve"> </w:t>
      </w:r>
      <w:r>
        <w:rPr>
          <w:rFonts w:ascii="Times New Roman;serif" w:hAnsi="Times New Roman;serif"/>
          <w:b w:val="false"/>
          <w:color w:val="000000"/>
          <w:sz w:val="20"/>
        </w:rPr>
        <w:t>Compute works with any WASM-supported languages, including JavaScript, C++, Rust, Go, and a growing list of additional languages. Customers also have the ability to create their own language Software Development Kits. Support for languages that developers already know and want to code in is key for adoption and we will continue to add more over time.</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Storage and Data</w:t>
      </w:r>
      <w:r>
        <w:rPr>
          <w:rFonts w:ascii="Times New Roman;serif" w:hAnsi="Times New Roman;serif"/>
          <w:b w:val="false"/>
          <w:color w:val="000000"/>
          <w:sz w:val="20"/>
        </w:rPr>
        <w:t>. Compute has a number of features that makes it easier and faster to access data at the edge instead of having to go back to the central cloud. This helps developers innovate faster and unlocks more latency-sensitive use cases at the edge.</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Key Value (“KV”) Store.</w:t>
      </w:r>
      <w:r>
        <w:rPr>
          <w:color w:val="000000"/>
        </w:rPr>
        <w:t xml:space="preserve"> </w:t>
      </w:r>
      <w:r>
        <w:rPr>
          <w:rFonts w:ascii="Times New Roman;serif" w:hAnsi="Times New Roman;serif"/>
          <w:b w:val="false"/>
          <w:color w:val="000000"/>
          <w:sz w:val="20"/>
        </w:rPr>
        <w:t>KV Store offers global, durable storage for compute functions at the edge. With fast reads and writes from both the edge or via API, customers can store, control, or cache their data to reduce origin dependency and unlock new use cases.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 xml:space="preserve">Config Store. </w:t>
      </w:r>
      <w:r>
        <w:rPr>
          <w:rFonts w:ascii="Times New Roman;serif" w:hAnsi="Times New Roman;serif"/>
          <w:b w:val="false"/>
          <w:color w:val="000000"/>
          <w:sz w:val="20"/>
        </w:rPr>
        <w:t>Developers want to iterate fast when developing applications. Config Store supports this by allowing them to store multiple common code configurations at the edge, which they can then deploy instantly, instead of having to push new code for every single configuration change.</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Secret Store.</w:t>
      </w:r>
      <w:r>
        <w:rPr>
          <w:color w:val="000000"/>
        </w:rPr>
        <w:t xml:space="preserve"> </w:t>
      </w:r>
      <w:r>
        <w:rPr>
          <w:rFonts w:ascii="Times New Roman;serif" w:hAnsi="Times New Roman;serif"/>
          <w:b w:val="false"/>
          <w:color w:val="000000"/>
          <w:sz w:val="20"/>
        </w:rPr>
        <w:t>Secret Store is a secure and performant storage system for Compute customers' most sensitive data like API keys, passwords, certificates, and other credentials. It leverages the Hashicorp vault to centrally store, access, and manage secrets across Fastly's cloud infrastructure.</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 xml:space="preserve">Object Storage. </w:t>
      </w:r>
      <w:r>
        <w:rPr>
          <w:rFonts w:ascii="Times New Roman;serif" w:hAnsi="Times New Roman;serif"/>
          <w:b w:val="false"/>
          <w:color w:val="000000"/>
          <w:sz w:val="20"/>
        </w:rPr>
        <w:t xml:space="preserve">Fastly Object Storage is an Amazon S3-compatible large object storage solution that works seamlessly with Fastly’s Compute and CDN services. </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Developer Experience.</w:t>
      </w:r>
      <w:r>
        <w:rPr>
          <w:color w:val="000000"/>
        </w:rPr>
        <w:t xml:space="preserve"> </w:t>
      </w:r>
      <w:r>
        <w:rPr>
          <w:rFonts w:ascii="Times New Roman;serif" w:hAnsi="Times New Roman;serif"/>
          <w:b w:val="false"/>
          <w:color w:val="000000"/>
          <w:sz w:val="20"/>
        </w:rPr>
        <w:t>Our products are designed to empower developers, from their first interaction with Fastly to serving billions of requests daily. Our award-winning Developer Experience team guides developers with training materials, events and tooling aimed at building a deeper understanding of our products. We maintain code samples, published to Fastly’s Developer Hub, and build testing tools like Fastly Fiddle, in order to accelerate customer testing and adoption. Many customers integrate our products directly into their DevOps tools and internal developer platforms. Beyond traditional debugging, we also facilitate advanced diagnostics on our platform through rapid global deploy times, live logs and additional observability tools.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Fast Forward and Open Source Ecosystem.</w:t>
      </w:r>
      <w:r>
        <w:rPr>
          <w:color w:val="000000"/>
        </w:rPr>
        <w:t xml:space="preserve"> </w:t>
      </w:r>
      <w:r>
        <w:rPr>
          <w:rFonts w:ascii="Times New Roman;serif" w:hAnsi="Times New Roman;serif"/>
          <w:b w:val="false"/>
          <w:color w:val="000000"/>
          <w:sz w:val="20"/>
        </w:rPr>
        <w:t xml:space="preserve">Our Fast Forward program is designed to empower and support developers, open source projects, and nonprofits that share our vision of an internet that is free, open, and safe for all. Any eligible open source project or nonprofit can apply to receive free Fastly products, including our CDN, security, compute, and observability products. From empowering millions of developers with open source tools, to providing consumers with accessible information, education, and relief services, Fast Forward members leverage Fastly to deliver impact at global scale.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Language ecosystems.</w:t>
      </w:r>
      <w:r>
        <w:rPr>
          <w:color w:val="000000"/>
        </w:rPr>
        <w:t xml:space="preserve"> </w:t>
      </w:r>
      <w:r>
        <w:rPr>
          <w:rFonts w:ascii="Times New Roman;serif" w:hAnsi="Times New Roman;serif"/>
          <w:b w:val="false"/>
          <w:color w:val="000000"/>
          <w:sz w:val="20"/>
        </w:rPr>
        <w:t xml:space="preserve">Rust Foundation, Python Software Foundation, Ruby Central, Perl (MetaCPAN), OpenJS Foundation. </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Open Source governance organizations.</w:t>
      </w:r>
      <w:r>
        <w:rPr>
          <w:color w:val="000000"/>
        </w:rPr>
        <w:t xml:space="preserve"> </w:t>
      </w:r>
      <w:r>
        <w:rPr>
          <w:rFonts w:ascii="Times New Roman;serif" w:hAnsi="Times New Roman;serif"/>
          <w:b w:val="false"/>
          <w:color w:val="000000"/>
          <w:sz w:val="20"/>
        </w:rPr>
        <w:t xml:space="preserve">Linux Foundation, Apache Foundation, Drupal Association. </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Open Source projects.</w:t>
      </w:r>
      <w:r>
        <w:rPr>
          <w:color w:val="000000"/>
        </w:rPr>
        <w:t xml:space="preserve"> </w:t>
      </w:r>
      <w:r>
        <w:rPr>
          <w:rFonts w:ascii="Times New Roman;serif" w:hAnsi="Times New Roman;serif"/>
          <w:b w:val="false"/>
          <w:color w:val="000000"/>
          <w:sz w:val="20"/>
        </w:rPr>
        <w:t xml:space="preserve">Linux kernel, cURL project, Kubernetes, OpenStreetMap. </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Nonprofit organizations.</w:t>
      </w:r>
      <w:r>
        <w:rPr>
          <w:color w:val="000000"/>
        </w:rPr>
        <w:t xml:space="preserve"> </w:t>
      </w:r>
      <w:r>
        <w:rPr>
          <w:rFonts w:ascii="Times New Roman;serif" w:hAnsi="Times New Roman;serif"/>
          <w:b w:val="false"/>
          <w:color w:val="000000"/>
          <w:sz w:val="20"/>
        </w:rPr>
        <w:t>Khan Academy, Scratch, Watchduty, ArXiv, EFF, Kiva, MercyCorps, Reporters sans Frontières.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Observability</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customers, the ability to continuously monitor the status of their websites, products, and services is essential. Across all our Network Services, Compute and Security product lines, we provide customers with real-time insights for better decision making. Software engineers can quickly identify potential issues, investigate anomalies, improve performance, and uptime and iterate faster on new releases.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Real-time Logging. </w:t>
      </w:r>
      <w:r>
        <w:rPr>
          <w:rFonts w:ascii="Times New Roman;serif" w:hAnsi="Times New Roman;serif"/>
          <w:b w:val="false"/>
          <w:color w:val="000000"/>
          <w:sz w:val="20"/>
        </w:rPr>
        <w:t>To help tune the performance of Fastly services, we support real-time log streaming of customer data that passes through Fastly. We support a number of protocols that allow our customers to stream logs to a variety of locations, including third-party services, for storage and analysis.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Logging Insights.</w:t>
      </w:r>
      <w:r>
        <w:rPr>
          <w:color w:val="000000"/>
        </w:rPr>
        <w:t xml:space="preserve"> </w:t>
      </w:r>
      <w:r>
        <w:rPr>
          <w:rFonts w:ascii="Times New Roman;serif" w:hAnsi="Times New Roman;serif"/>
          <w:b w:val="false"/>
          <w:color w:val="000000"/>
          <w:sz w:val="20"/>
        </w:rPr>
        <w:t>Fastly Logging Insights is a professional services package that provides actionable intelligence that can be used to diagnose and troubleshoot issues for optimal performance and user experience. Our expert consultants implement a guided customization of preconfigured dashboards tailored to a customer’s specific goals.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Regional Log Aggregation. </w:t>
      </w:r>
      <w:r>
        <w:rPr>
          <w:rFonts w:ascii="Times New Roman;serif" w:hAnsi="Times New Roman;serif"/>
          <w:b w:val="false"/>
          <w:color w:val="000000"/>
          <w:sz w:val="20"/>
        </w:rPr>
        <w:t>Beta release that allows customers to control where their Fastly log data is processed and delivered, helping support stringent data residency requirements while also enhancing log data security. We currently support log processing within the EU and the US.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Metrics. </w:t>
      </w:r>
      <w:r>
        <w:rPr>
          <w:rFonts w:ascii="Times New Roman;serif" w:hAnsi="Times New Roman;serif"/>
          <w:b w:val="false"/>
          <w:color w:val="000000"/>
          <w:sz w:val="20"/>
        </w:rPr>
        <w:t>We offer customers a variety of ways to report on the performance and activity of their services. Our metrics, APIs and dashboards provide real-time, per-second visibility and historical reporting.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Edge Observer.</w:t>
      </w:r>
      <w:r>
        <w:rPr>
          <w:color w:val="000000"/>
        </w:rPr>
        <w:t xml:space="preserve"> </w:t>
      </w:r>
      <w:r>
        <w:rPr>
          <w:rFonts w:ascii="Times New Roman;serif" w:hAnsi="Times New Roman;serif"/>
          <w:b w:val="false"/>
          <w:color w:val="000000"/>
          <w:sz w:val="20"/>
        </w:rPr>
        <w:t>Provides per-second visibility and historical reporting on the performance and activity of multiple Fastly services in a single pane of glass. Metrics and logs along with every part of the request path are available for consumption in real-time without adding latency.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Alerts.</w:t>
      </w:r>
      <w:r>
        <w:rPr>
          <w:color w:val="000000"/>
        </w:rPr>
        <w:t xml:space="preserve"> </w:t>
      </w:r>
      <w:r>
        <w:rPr>
          <w:rFonts w:ascii="Times New Roman;serif" w:hAnsi="Times New Roman;serif"/>
          <w:b w:val="false"/>
          <w:color w:val="000000"/>
          <w:sz w:val="20"/>
        </w:rPr>
        <w:t>Provides in-platform alerts for Fastly services, origins, domains, and compute apps. Alerts are driven by real-time metrics and are fully customizable. They can be shared through Slack, email, or integrations with existing escalation workflow tools, for faster detection and response times.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Sustainability dashboard.</w:t>
      </w:r>
      <w:r>
        <w:rPr>
          <w:color w:val="000000"/>
        </w:rPr>
        <w:t xml:space="preserve"> </w:t>
      </w:r>
      <w:r>
        <w:rPr>
          <w:rFonts w:ascii="Times New Roman;serif" w:hAnsi="Times New Roman;serif"/>
          <w:b w:val="false"/>
          <w:color w:val="000000"/>
          <w:sz w:val="20"/>
        </w:rPr>
        <w:t>Offers self-service access, an API, and downloadable data to track electricity consumption and electricity-related greenhouse gas emissions resulting from customer usage of the Fastly platform, based on our published carbon calculation methodology.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offer a number of add-on Observability services which support our Network Services and Compute product lines: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Log Explorer &amp; Insights.</w:t>
      </w:r>
      <w:r>
        <w:rPr>
          <w:color w:val="000000"/>
        </w:rPr>
        <w:t xml:space="preserve"> </w:t>
      </w:r>
      <w:r>
        <w:rPr>
          <w:rFonts w:ascii="Times New Roman;serif" w:hAnsi="Times New Roman;serif"/>
          <w:b w:val="false"/>
          <w:color w:val="000000"/>
          <w:sz w:val="20"/>
        </w:rPr>
        <w:t>This feature allows customers to store, inspect and monitor their log data directly on our platform, eliminating the need for third-party tools to view and analyze logs. Using the Insights dashboard, customers get a variety of views of their logging data so they can visualize and identify trends. Log Explorer facilitates troubleshooting by allowing customers to view, filter, and analyze logs using the Fastly control panel and API.</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Origin Inspector. </w:t>
      </w:r>
      <w:r>
        <w:rPr>
          <w:rFonts w:ascii="Times New Roman;serif" w:hAnsi="Times New Roman;serif"/>
          <w:b w:val="false"/>
          <w:color w:val="000000"/>
          <w:sz w:val="20"/>
        </w:rPr>
        <w:t xml:space="preserve">Customers can simplify their data pipeline and easily monitor every origin response, byte, status code, and more without needing a third party data collector. They can report on egress data within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Fastly web interface with interactive dashboards. Customers can also verify the success of their Fastly services, especially with shielding or multi-CDN environments.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Domain Inspector. </w:t>
      </w:r>
      <w:r>
        <w:rPr>
          <w:rFonts w:ascii="Times New Roman;serif" w:hAnsi="Times New Roman;serif"/>
          <w:b w:val="false"/>
          <w:color w:val="000000"/>
          <w:sz w:val="20"/>
        </w:rPr>
        <w:t>Customers can easily monitor traffic for a single fully qualified domain name or multiple domains within a Fastly service. They can account for every domain request, byte, and status code or quickly determine edge or origin issues with our combined edge and aggregated origin metrics, all without needing to send log data to a third-party data collector.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add-on Observability tools are designed to support our Compute product line, empowering developers to monitor and program in real-time: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Log Tailing. </w:t>
      </w:r>
      <w:r>
        <w:rPr>
          <w:rFonts w:ascii="Times New Roman;serif" w:hAnsi="Times New Roman;serif"/>
          <w:b w:val="false"/>
          <w:color w:val="000000"/>
          <w:sz w:val="20"/>
        </w:rPr>
        <w:t>We give customers visibility into log messages from their applications so they can quickly identify bugs, all within their terminal of choice with Fastly Command Line Interface. This helps avoid difficult third-party log management and debugging challenges.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Tracing.</w:t>
      </w:r>
      <w:r>
        <w:rPr>
          <w:color w:val="000000"/>
        </w:rPr>
        <w:t xml:space="preserve"> </w:t>
      </w:r>
      <w:r>
        <w:rPr>
          <w:rFonts w:ascii="Times New Roman;serif" w:hAnsi="Times New Roman;serif"/>
          <w:b w:val="false"/>
          <w:color w:val="000000"/>
          <w:sz w:val="20"/>
        </w:rPr>
        <w:t>For customers building apps with Compute, we tag individual end-user requests with unique identifiers and maintain request tracing parameters by tracking when users enter and exit our serverless platform. This feature allows developers to more easily track the performance of application functions post-deployment.</w:t>
      </w:r>
    </w:p>
    <w:p>
      <w:pPr>
        <w:pStyle w:val="TextBody"/>
        <w:bidi w:val="0"/>
        <w:spacing w:lineRule="auto" w:line="266" w:before="0" w:after="240"/>
        <w:jc w:val="left"/>
        <w:rPr>
          <w:rFonts w:ascii="Times New Roman;serif" w:hAnsi="Times New Roman;serif"/>
          <w:b/>
          <w:i/>
          <w:color w:val="000000"/>
          <w:sz w:val="20"/>
        </w:rPr>
      </w:pPr>
      <w:r>
        <w:rPr>
          <w:rFonts w:ascii="Times New Roman;serif" w:hAnsi="Times New Roman;serif"/>
          <w:b/>
          <w:i/>
          <w:color w:val="000000"/>
          <w:sz w:val="20"/>
        </w:rPr>
        <w:t xml:space="preserve">AI Capabilities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AI is becoming an increasingly important part of modern application development. We have extended our powerful, programmable platform to include new products and feature enhancements that help customers accelerate, protect, and optimize their AI-driven workloads. </w:t>
      </w:r>
    </w:p>
    <w:p>
      <w:pPr>
        <w:pStyle w:val="TextBody"/>
        <w:bidi w:val="0"/>
        <w:spacing w:lineRule="auto" w:line="276" w:before="0" w:after="240"/>
        <w:jc w:val="left"/>
        <w:rPr/>
      </w:pPr>
      <w:r>
        <w:rPr>
          <w:rFonts w:ascii="Times New Roman;serif" w:hAnsi="Times New Roman;serif"/>
          <w:b/>
          <w:color w:val="000000"/>
          <w:sz w:val="20"/>
        </w:rPr>
        <w:t>AI Bot Management</w:t>
      </w:r>
      <w:r>
        <w:rPr>
          <w:rFonts w:ascii="Times New Roman;serif" w:hAnsi="Times New Roman;serif"/>
          <w:b w:val="false"/>
          <w:color w:val="000000"/>
          <w:sz w:val="20"/>
        </w:rPr>
        <w:t>. Fastly AI Bot Management is a feature within our Bot Management offering. It provides visibility and control over automated traffic by using behavioral analysis and threat intelligence to identify and classify AI bots. Customers can gain insight into how AI bots access and scrape their content, enabling them to evaluate whether this activity aligns with their business goals—such as generative engine optimization—or constitutes unauthorized use. They can then take targeted actions, including blocking, rate-limiting, or allowing this AI bot traffic. AI Bot Management is also integrated with Tollbit and other monetization vendors, to monetize AI bot scraping of customer content. The Tollbit integration allows customers to redirect AI bots to a paywall for token verification. AI bots with valid tokens are granted access to content, while AI bots without valid tokens are required to pay for access.</w:t>
      </w:r>
    </w:p>
    <w:p>
      <w:pPr>
        <w:pStyle w:val="TextBody"/>
        <w:bidi w:val="0"/>
        <w:spacing w:lineRule="auto" w:line="276" w:before="0" w:after="240"/>
        <w:jc w:val="left"/>
        <w:rPr/>
      </w:pPr>
      <w:r>
        <w:rPr>
          <w:rFonts w:ascii="Times New Roman;serif" w:hAnsi="Times New Roman;serif"/>
          <w:b/>
          <w:color w:val="000000"/>
          <w:sz w:val="20"/>
        </w:rPr>
        <w:t xml:space="preserve">Edge Data Storage. </w:t>
      </w:r>
      <w:r>
        <w:rPr>
          <w:rFonts w:ascii="Times New Roman;serif" w:hAnsi="Times New Roman;serif"/>
          <w:b w:val="false"/>
          <w:color w:val="000000"/>
          <w:sz w:val="20"/>
        </w:rPr>
        <w:t xml:space="preserve">Fastly Key-Value Store and Object Storage are edge data storage solutions which can help optimize AI workloads. Key-Value Store supports semantic caching of large language model (“LLM”) responses, allowing applications to instantly serve relevant results while reducing calls to expensive, high-latency model APIs. Object Storage supports AI workloads by providing a cost-effective way to store and serve large datasets for LLM training, enabling organizations to scale AI model training while reducing storage costs. </w:t>
      </w:r>
    </w:p>
    <w:p>
      <w:pPr>
        <w:pStyle w:val="TextBody"/>
        <w:bidi w:val="0"/>
        <w:spacing w:lineRule="auto" w:line="276" w:before="0" w:after="240"/>
        <w:jc w:val="left"/>
        <w:rPr/>
      </w:pPr>
      <w:r>
        <w:rPr>
          <w:rFonts w:ascii="Times New Roman;serif" w:hAnsi="Times New Roman;serif"/>
          <w:b/>
          <w:color w:val="000000"/>
          <w:sz w:val="20"/>
        </w:rPr>
        <w:t>Fanout</w:t>
      </w:r>
      <w:r>
        <w:rPr>
          <w:rFonts w:ascii="Times New Roman;serif" w:hAnsi="Times New Roman;serif"/>
          <w:b w:val="false"/>
          <w:color w:val="000000"/>
          <w:sz w:val="20"/>
        </w:rPr>
        <w:t xml:space="preserve">. Fastly Fanout simplifies the delivery of real-time workloads by managing complex, persistent client-server communications at the edge. It supports a broad range of use cases by enabling AI agents to autonomously connect fragmented steps into automated workflows. Its flexible architecture provides a framework for enabling pub/sub, IoT and other real-time communication options for agentic handoffs. </w:t>
      </w:r>
    </w:p>
    <w:p>
      <w:pPr>
        <w:pStyle w:val="TextBody"/>
        <w:bidi w:val="0"/>
        <w:spacing w:lineRule="auto" w:line="276" w:before="0" w:after="240"/>
        <w:jc w:val="left"/>
        <w:rPr/>
      </w:pPr>
      <w:r>
        <w:rPr>
          <w:rFonts w:ascii="Times New Roman;serif" w:hAnsi="Times New Roman;serif"/>
          <w:b/>
          <w:color w:val="000000"/>
          <w:sz w:val="20"/>
        </w:rPr>
        <w:t xml:space="preserve">Image Optimizer. </w:t>
      </w:r>
      <w:r>
        <w:rPr>
          <w:rFonts w:ascii="Times New Roman;serif" w:hAnsi="Times New Roman;serif"/>
          <w:b w:val="false"/>
          <w:color w:val="000000"/>
          <w:sz w:val="20"/>
        </w:rPr>
        <w:t>Fastly</w:t>
      </w:r>
      <w:r>
        <w:rPr>
          <w:color w:val="000000"/>
        </w:rPr>
        <w:t xml:space="preserve"> </w:t>
      </w:r>
      <w:r>
        <w:rPr>
          <w:rFonts w:ascii="Times New Roman;serif" w:hAnsi="Times New Roman;serif"/>
          <w:b w:val="false"/>
          <w:color w:val="000000"/>
          <w:sz w:val="20"/>
        </w:rPr>
        <w:t>Image Optimizer integrates into AI workflows as an intelligent preprocessing layer that refines images before they are processed by AI models. Using our smart crop feature, it preserves and optimizes the most relevant regions of an image, reducing unnecessary data sent into the AI pipeline. This helps improve model performance, lower compute and egress costs, and reduce workload latency.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Fastly also provides AI solutions designed to simplify the management of our services.</w:t>
      </w:r>
    </w:p>
    <w:p>
      <w:pPr>
        <w:pStyle w:val="TextBody"/>
        <w:bidi w:val="0"/>
        <w:spacing w:lineRule="auto" w:line="276" w:before="0" w:after="240"/>
        <w:jc w:val="left"/>
        <w:rPr/>
      </w:pPr>
      <w:r>
        <w:rPr>
          <w:rFonts w:ascii="Times New Roman;serif" w:hAnsi="Times New Roman;serif"/>
          <w:b/>
          <w:color w:val="000000"/>
          <w:sz w:val="20"/>
        </w:rPr>
        <w:t xml:space="preserve">Model Content Protocol (“MCP”) Server. </w:t>
      </w:r>
      <w:r>
        <w:rPr>
          <w:rFonts w:ascii="Times New Roman;serif" w:hAnsi="Times New Roman;serif"/>
          <w:b w:val="false"/>
          <w:color w:val="000000"/>
          <w:sz w:val="20"/>
        </w:rPr>
        <w:t xml:space="preserve">Fastly MCP Server is an open-source tool that enables AI assistants—including Claude, Claude Code, Gemini, OpenAI, Cursor, and others—to interact with and manage Fastly services using natural language. Customers can perform tasks like purging caches, viewing traffic patterns, or updating configurations, through simple conversational commands. MCP Server also streamlines security workflows, making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easier to automate and manage CDN services, Compute applications, and security settings. Beyond basic operations, it supports advanced advisory interactions, such as analyzing service configurations, suggesting optimizations, or reviewing WAF rules.</w:t>
      </w:r>
    </w:p>
    <w:p>
      <w:pPr>
        <w:pStyle w:val="TextBody"/>
        <w:bidi w:val="0"/>
        <w:spacing w:lineRule="auto" w:line="276" w:before="0" w:after="240"/>
        <w:jc w:val="left"/>
        <w:rPr/>
      </w:pPr>
      <w:r>
        <w:rPr>
          <w:rFonts w:ascii="Times New Roman;serif" w:hAnsi="Times New Roman;serif"/>
          <w:b/>
          <w:color w:val="000000"/>
          <w:sz w:val="20"/>
        </w:rPr>
        <w:t xml:space="preserve">AI Assistant. </w:t>
      </w:r>
      <w:r>
        <w:rPr>
          <w:rFonts w:ascii="Times New Roman;serif" w:hAnsi="Times New Roman;serif"/>
          <w:b w:val="false"/>
          <w:color w:val="000000"/>
          <w:sz w:val="20"/>
        </w:rPr>
        <w:t>Fastly</w:t>
      </w:r>
      <w:r>
        <w:rPr>
          <w:color w:val="000000"/>
        </w:rPr>
        <w:t xml:space="preserve"> </w:t>
      </w:r>
      <w:r>
        <w:rPr>
          <w:rFonts w:ascii="Times New Roman;serif" w:hAnsi="Times New Roman;serif"/>
          <w:b w:val="false"/>
          <w:color w:val="000000"/>
          <w:sz w:val="20"/>
        </w:rPr>
        <w:t>AI Assistant is an in-console AI helper released in beta that provides users with contextual, real-time answers about Fastly’s products and services. By surfacing relevant information with citation links directly within the control panel, AI Assistant improves the user experience and helps customers explore and configure Fastly more efficiently. This helps to simplify onboarding and configuration for both new and existing users.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Services</w:t>
      </w:r>
    </w:p>
    <w:p>
      <w:pPr>
        <w:pStyle w:val="TextBody"/>
        <w:bidi w:val="0"/>
        <w:spacing w:lineRule="auto" w:line="276" w:before="0" w:after="240"/>
        <w:jc w:val="left"/>
        <w:rPr/>
      </w:pPr>
      <w:r>
        <w:rPr>
          <w:rFonts w:ascii="Times New Roman;serif" w:hAnsi="Times New Roman;serif"/>
          <w:b/>
          <w:color w:val="000000"/>
          <w:sz w:val="20"/>
        </w:rPr>
        <w:t xml:space="preserve">Professional Services. </w:t>
      </w:r>
      <w:r>
        <w:rPr>
          <w:rFonts w:ascii="Times New Roman;serif" w:hAnsi="Times New Roman;serif"/>
          <w:b w:val="false"/>
          <w:color w:val="000000"/>
          <w:sz w:val="20"/>
        </w:rPr>
        <w:t>Fastly offers the following professional services: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 xml:space="preserve">Network Services. </w:t>
      </w:r>
      <w:r>
        <w:rPr>
          <w:rFonts w:ascii="Times New Roman;serif" w:hAnsi="Times New Roman;serif"/>
          <w:b w:val="false"/>
          <w:color w:val="000000"/>
          <w:sz w:val="20"/>
        </w:rPr>
        <w:t>Distributed systems can be complex, but regardless of a customer’s skill level, Fastly technical experts are available to guide and optimize the customer's cloud strategy. We offer various levels of engagements, from a light helping hand, to acting as an extension of developer teams, with global support and flexible professional services hours.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shd w:fill="FFFFFF" w:val="clear"/>
        </w:rPr>
        <w:t xml:space="preserve">Response Security. </w:t>
      </w:r>
      <w:r>
        <w:rPr>
          <w:rFonts w:ascii="Times New Roman;serif" w:hAnsi="Times New Roman;serif"/>
          <w:b w:val="false"/>
          <w:color w:val="000000"/>
          <w:sz w:val="20"/>
          <w:shd w:fill="FFFFFF" w:val="clear"/>
        </w:rPr>
        <w:t>This service offers rapid, expert intervention when customers need it the most. With an industry-leading SLA, our Customer Security Operations Center (CSOC) helps mitigate application and API attacks 24/7/365, to minimize impact and facilitate quick recovery.</w:t>
      </w:r>
    </w:p>
    <w:p>
      <w:pPr>
        <w:pStyle w:val="TextBody"/>
        <w:bidi w:val="0"/>
        <w:spacing w:lineRule="auto" w:line="276" w:before="0" w:after="240"/>
        <w:ind w:left="0" w:right="0" w:hanging="360"/>
        <w:jc w:val="left"/>
        <w:rPr/>
      </w:pPr>
      <w:r>
        <w:rPr>
          <w:color w:val="000000"/>
          <w:shd w:fill="FFFFFF" w:val="clear"/>
        </w:rPr>
        <w:t>•</w:t>
      </w:r>
      <w:r>
        <w:rPr>
          <w:rFonts w:ascii="Times New Roman;serif" w:hAnsi="Times New Roman;serif"/>
          <w:b w:val="false"/>
          <w:i/>
          <w:color w:val="000000"/>
          <w:sz w:val="20"/>
          <w:shd w:fill="FFFFFF" w:val="clear"/>
        </w:rPr>
        <w:t>Managed Security Professional</w:t>
      </w:r>
      <w:r>
        <w:rPr>
          <w:rFonts w:ascii="Times New Roman;serif" w:hAnsi="Times New Roman;serif"/>
          <w:b w:val="false"/>
          <w:color w:val="000000"/>
          <w:sz w:val="20"/>
          <w:shd w:fill="FFFFFF" w:val="clear"/>
        </w:rPr>
        <w:t>. This service offers proactive protection for customers' most critical apps and APIs. It includes expert 24/7/365 monitoring and mitigation from Fastly’s CSOC across all Fastly security products, quarterly reporting, and an industry-leading SLA.</w:t>
      </w:r>
    </w:p>
    <w:p>
      <w:pPr>
        <w:pStyle w:val="TextBody"/>
        <w:bidi w:val="0"/>
        <w:spacing w:lineRule="auto" w:line="276" w:before="0" w:after="240"/>
        <w:ind w:left="0" w:right="0" w:hanging="360"/>
        <w:jc w:val="left"/>
        <w:rPr/>
      </w:pPr>
      <w:r>
        <w:rPr>
          <w:color w:val="000000"/>
          <w:shd w:fill="FFFFFF" w:val="clear"/>
        </w:rPr>
        <w:t>•</w:t>
      </w:r>
      <w:r>
        <w:rPr>
          <w:rFonts w:ascii="Times New Roman;serif" w:hAnsi="Times New Roman;serif"/>
          <w:b w:val="false"/>
          <w:i/>
          <w:color w:val="000000"/>
          <w:sz w:val="20"/>
          <w:shd w:fill="FFFFFF" w:val="clear"/>
        </w:rPr>
        <w:t>Managed Security Enterprise</w:t>
      </w:r>
      <w:r>
        <w:rPr>
          <w:rFonts w:ascii="Times New Roman;serif" w:hAnsi="Times New Roman;serif"/>
          <w:b w:val="false"/>
          <w:color w:val="000000"/>
          <w:sz w:val="20"/>
          <w:shd w:fill="FFFFFF" w:val="clear"/>
        </w:rPr>
        <w:t>. This service offers comprehensive, white-glove defense for customers’ applications and APIs. It includes expert 24/7/365 proactive monitoring and mitigation by Fastly’s CSOC across all Fastly security products, multiple industry-leading SLAs, proactive threat hunting, monthly reporting, and strategic analysis.</w:t>
      </w:r>
      <w:r>
        <w:rPr>
          <w:color w:val="000000"/>
        </w:rPr>
        <w:t xml:space="preserve"> </w:t>
      </w:r>
    </w:p>
    <w:p>
      <w:pPr>
        <w:pStyle w:val="TextBody"/>
        <w:bidi w:val="0"/>
        <w:spacing w:lineRule="auto" w:line="288" w:before="0" w:after="240"/>
        <w:jc w:val="left"/>
        <w:rPr/>
      </w:pPr>
      <w:r>
        <w:rPr>
          <w:rFonts w:ascii="Times New Roman;serif" w:hAnsi="Times New Roman;serif"/>
          <w:b/>
          <w:color w:val="000000"/>
          <w:sz w:val="20"/>
        </w:rPr>
        <w:t>Managed CDN.</w:t>
      </w:r>
      <w:r>
        <w:rPr>
          <w:color w:val="000000"/>
        </w:rPr>
        <w:t xml:space="preserve"> </w:t>
      </w:r>
      <w:r>
        <w:rPr>
          <w:rFonts w:ascii="Times New Roman;serif" w:hAnsi="Times New Roman;serif"/>
          <w:b w:val="false"/>
          <w:color w:val="000000"/>
          <w:sz w:val="20"/>
        </w:rPr>
        <w:t>Fastly’s Managed CDN provides maximum control and flexibility. We deploy our edge cloud network on dedicated POPs within a customer’s private network at locations of their choosing. Our service can be used exclusively, or as part of a hybrid, multi-CDN strategy.</w:t>
      </w:r>
    </w:p>
    <w:p>
      <w:pPr>
        <w:pStyle w:val="TextBody"/>
        <w:bidi w:val="0"/>
        <w:spacing w:lineRule="auto" w:line="288" w:before="0" w:after="240"/>
        <w:jc w:val="left"/>
        <w:rPr/>
      </w:pPr>
      <w:r>
        <w:rPr>
          <w:rFonts w:ascii="Times New Roman;serif" w:hAnsi="Times New Roman;serif"/>
          <w:b/>
          <w:color w:val="000000"/>
          <w:sz w:val="20"/>
        </w:rPr>
        <w:t xml:space="preserve">Support Plans. </w:t>
      </w:r>
      <w:r>
        <w:rPr>
          <w:rFonts w:ascii="Times New Roman;serif" w:hAnsi="Times New Roman;serif"/>
          <w:b w:val="false"/>
          <w:color w:val="000000"/>
          <w:sz w:val="20"/>
        </w:rPr>
        <w:t>Fastly offers three levels of support plans and available technical support add-ons with dedicated technical specialists and account managers that provide extended security expertise.</w:t>
      </w:r>
    </w:p>
    <w:p>
      <w:pPr>
        <w:pStyle w:val="TextBody"/>
        <w:bidi w:val="0"/>
        <w:spacing w:lineRule="auto" w:line="276" w:before="0" w:after="240"/>
        <w:ind w:left="0" w:right="0" w:hanging="360"/>
        <w:jc w:val="left"/>
        <w:rPr/>
      </w:pPr>
      <w:r>
        <w:rPr>
          <w:color w:val="000000"/>
          <w:shd w:fill="FFFFFF" w:val="clear"/>
        </w:rPr>
        <w:t>•</w:t>
      </w:r>
      <w:r>
        <w:rPr>
          <w:rFonts w:ascii="Times New Roman;serif" w:hAnsi="Times New Roman;serif"/>
          <w:b w:val="false"/>
          <w:i/>
          <w:color w:val="000000"/>
          <w:sz w:val="20"/>
        </w:rPr>
        <w:t>Standard</w:t>
      </w:r>
      <w:r>
        <w:rPr>
          <w:rFonts w:ascii="Times New Roman;serif" w:hAnsi="Times New Roman;serif"/>
          <w:b w:val="false"/>
          <w:color w:val="000000"/>
          <w:sz w:val="20"/>
        </w:rPr>
        <w:t>. The Standard support plan gives every Fastly customer immediate access to our Community Forum and extensive documentation. Customer support is available via email during business hours.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Gold</w:t>
      </w:r>
      <w:r>
        <w:rPr>
          <w:rFonts w:ascii="Times New Roman;serif" w:hAnsi="Times New Roman;serif"/>
          <w:b w:val="false"/>
          <w:color w:val="000000"/>
          <w:sz w:val="20"/>
        </w:rPr>
        <w:t>. The Gold support plan offers enhanced product support, priority routing for support cases, and expedited 24/7 incident response times.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Enterprise</w:t>
      </w:r>
      <w:r>
        <w:rPr>
          <w:rFonts w:ascii="Times New Roman;serif" w:hAnsi="Times New Roman;serif"/>
          <w:b w:val="false"/>
          <w:color w:val="000000"/>
          <w:sz w:val="20"/>
        </w:rPr>
        <w:t>. Enterprise level support equips customers with 24/7 online support for incidents and general inquiries, 15-minute escalation response times, phone support, access to a private Slack channel, and a team of technical experts to help optimize a customer’s Fastly service, including compliance support.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Our Growth Strategy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growth strategy focuses on making our edge cloud platform accessible to a broader base of customers through enhancing our product experience, investments in technology and infrastructure, attracting new business, growing partnerships, and vertical expansion. Key elements of our growth strategy include the following:</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Product strategy.</w:t>
      </w:r>
      <w:r>
        <w:rPr>
          <w:color w:val="000000"/>
        </w:rPr>
        <w:t xml:space="preserve"> </w:t>
      </w:r>
      <w:r>
        <w:rPr>
          <w:rFonts w:ascii="Times New Roman;serif" w:hAnsi="Times New Roman;serif"/>
          <w:b w:val="false"/>
          <w:color w:val="000000"/>
          <w:sz w:val="20"/>
        </w:rPr>
        <w:t>Built upon a strategy of durable innovation, our programmable edge cloud platform creates a consistent and predictable pipeline of innovation. We plan to expand existing product lines like Network Services and Security, and expect to further incubate newer products for future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With the goal of making it easier for customers to do business with us, we continue to build out a single, unified platform where they can access and manage all their Fastly services in one place. Our security products - DDoS Protection, Next-Gen WAF, Bot Management, Client-side Protection, and API Security - are available on one platform, and easily accessible through the Fastly Control Panel. We have also taken steps to further simplify customer onboarding and service usage, through easy access to self-training information from within the Fastly app, and more code samples and support. </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Expansion into additional vertical markets.</w:t>
      </w:r>
      <w:r>
        <w:rPr>
          <w:color w:val="000000"/>
        </w:rPr>
        <w:t xml:space="preserve"> </w:t>
      </w:r>
      <w:r>
        <w:rPr>
          <w:rFonts w:ascii="Times New Roman;serif" w:hAnsi="Times New Roman;serif"/>
          <w:b w:val="false"/>
          <w:color w:val="000000"/>
          <w:sz w:val="20"/>
        </w:rPr>
        <w:t>Our platform offers a broad range of capabilities. Our differentiated high performance and low-latency delivery network and edge compute platform, as well as enhanced security capabilities, allows us to serve the needs of our existing customers and continue to add customers from a diverse set of industries.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Expand existing customer relationships.</w:t>
      </w:r>
      <w:r>
        <w:rPr>
          <w:color w:val="000000"/>
        </w:rPr>
        <w:t xml:space="preserve"> </w:t>
      </w:r>
      <w:r>
        <w:rPr>
          <w:rFonts w:ascii="Times New Roman;serif" w:hAnsi="Times New Roman;serif"/>
          <w:b w:val="false"/>
          <w:color w:val="000000"/>
          <w:sz w:val="20"/>
        </w:rPr>
        <w:t>Over time, our customers have expanded their use of our platform. In more technically savvy organizations, software engineering leaders have championed our solution, paving the way for us to engage with business decision makers. For more traditional organizations, we are often brought in to initially help facilitate a move to the cloud and from there we extend our product to support many other use cases. We plan to continually increase wallet-share over time for existing customers as we build out new products and features, and as customers continue to fully recognize the value of our platform.</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Grow our technical partner ecosystem.</w:t>
      </w:r>
      <w:r>
        <w:rPr>
          <w:color w:val="000000"/>
        </w:rPr>
        <w:t xml:space="preserve"> </w:t>
      </w:r>
      <w:r>
        <w:rPr>
          <w:rFonts w:ascii="Times New Roman;serif" w:hAnsi="Times New Roman;serif"/>
          <w:b w:val="false"/>
          <w:color w:val="000000"/>
          <w:sz w:val="20"/>
        </w:rPr>
        <w:t>We operate between and complement the “big 3” origin cloud platforms, Amazon Web Services (“AWS”), Microsoft (Azure), and Google Cloud Platform, and a growing community of companies that provide big data, AI, and security solutions. In this sense, we act as the unifying layer for a growing number of cloud services. As customers consume more cloud and software as a service (“SaaS”) offerings, we can create additional value and grow with these partners.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Attract new customers.</w:t>
      </w:r>
      <w:r>
        <w:rPr>
          <w:color w:val="000000"/>
        </w:rPr>
        <w:t xml:space="preserve"> </w:t>
      </w:r>
      <w:r>
        <w:rPr>
          <w:rFonts w:ascii="Times New Roman;serif" w:hAnsi="Times New Roman;serif"/>
          <w:b w:val="false"/>
          <w:color w:val="000000"/>
          <w:sz w:val="20"/>
        </w:rPr>
        <w:t>With new product innovations, additional vertical focus areas, growing partners, and an optimized go-to-market engine, we plan to attract new business and continue to grow. In addition, we can help new customers accelerate, protect, and optimize their AI-driven workloads, AI-generated software, and traditional applications that increasingly experience agentic interactions.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International expansion.</w:t>
      </w:r>
      <w:r>
        <w:rPr>
          <w:color w:val="000000"/>
        </w:rPr>
        <w:t xml:space="preserve"> </w:t>
      </w:r>
      <w:r>
        <w:rPr>
          <w:rFonts w:ascii="Times New Roman;serif" w:hAnsi="Times New Roman;serif"/>
          <w:b w:val="false"/>
          <w:color w:val="000000"/>
          <w:sz w:val="20"/>
        </w:rPr>
        <w:t>As our customer base grows, we plan to scale our network to bring edge computing closer to where our customers are. We believe significant opportunities exist for international growth.</w:t>
      </w:r>
    </w:p>
    <w:p>
      <w:pPr>
        <w:pStyle w:val="TextBody"/>
        <w:bidi w:val="0"/>
        <w:spacing w:lineRule="auto" w:line="288" w:before="0" w:after="240"/>
        <w:jc w:val="left"/>
        <w:rPr/>
      </w:pPr>
      <w:r>
        <w:rPr>
          <w:rFonts w:ascii="Times New Roman;serif" w:hAnsi="Times New Roman;serif"/>
          <w:b/>
          <w:color w:val="000000"/>
          <w:sz w:val="20"/>
        </w:rPr>
        <w:t>Partner Ecosystem</w:t>
      </w:r>
      <w:r>
        <w:rPr>
          <w:color w:val="000000"/>
        </w:rPr>
        <w:t xml:space="preserve">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Partners are one of the ways Fastly creates new value for customers, reaches new markets, and builds things we couldn’t do alone. Our strategy is to create economic, reputational, and technical value with our partners and to be the engine that powers their revenue and growth. To achieve this, we partner with a number of global channel partners who offer our performant and secure solutions on top of their own value-added services. We work with top cloud service providers to combine our complementary products and services and to offer streamlined procurement through cloud marketplaces. We also partner with a number of third-party technical partners to extend our capabilities across new markets and use-cases. Ultimately, partners help our customers by:</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Providing a complete suite of value-added services and solutions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Offering flexible and efficient engagement and purchasing models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Acting as a single point of contact; and</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Extending geographic coverage and support.</w:t>
      </w:r>
    </w:p>
    <w:p>
      <w:pPr>
        <w:pStyle w:val="TextBody"/>
        <w:bidi w:val="0"/>
        <w:spacing w:lineRule="auto" w:line="276" w:before="0" w:after="240"/>
        <w:jc w:val="left"/>
        <w:rPr/>
      </w:pPr>
      <w:r>
        <w:rPr>
          <w:rFonts w:ascii="Times New Roman;serif" w:hAnsi="Times New Roman;serif"/>
          <w:b/>
          <w:color w:val="000000"/>
          <w:sz w:val="20"/>
        </w:rPr>
        <w:t xml:space="preserve">Channel Partners. </w:t>
      </w:r>
      <w:r>
        <w:rPr>
          <w:rFonts w:ascii="Times New Roman;serif" w:hAnsi="Times New Roman;serif"/>
          <w:b w:val="false"/>
          <w:color w:val="000000"/>
          <w:sz w:val="20"/>
        </w:rPr>
        <w:t>Fastly’s partners take full advantage of our powerful, open, and programmable edge cloud platform to build and deliver high-margin services and value-added offerings for end customers. Our partner program operates like a flywheel to innovate, market, sell, and deliver solutions jointly with our partners. The three primary channel partner types we work with are:</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Referral partners:</w:t>
      </w:r>
      <w:r>
        <w:rPr>
          <w:color w:val="000000"/>
        </w:rPr>
        <w:t xml:space="preserve"> </w:t>
      </w:r>
      <w:r>
        <w:rPr>
          <w:rFonts w:ascii="Times New Roman;serif" w:hAnsi="Times New Roman;serif"/>
          <w:b w:val="false"/>
          <w:color w:val="000000"/>
          <w:sz w:val="20"/>
        </w:rPr>
        <w:t>Recommend Fastly products to their customers for a commission and include partners like agencies and consultants.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 xml:space="preserve">Reseller partners: </w:t>
      </w:r>
      <w:r>
        <w:rPr>
          <w:rFonts w:ascii="Times New Roman;serif" w:hAnsi="Times New Roman;serif"/>
          <w:b w:val="false"/>
          <w:color w:val="000000"/>
          <w:sz w:val="20"/>
        </w:rPr>
        <w:t>Act as a reseller to offer additional value on top of Fastly’s products and services and include partners like value-added resellers, system integrators, and more.</w:t>
      </w:r>
    </w:p>
    <w:p>
      <w:pPr>
        <w:pStyle w:val="TextBody"/>
        <w:bidi w:val="0"/>
        <w:spacing w:lineRule="auto" w:line="268" w:before="0" w:after="240"/>
        <w:ind w:left="0" w:right="0" w:hanging="360"/>
        <w:jc w:val="left"/>
        <w:rPr/>
      </w:pPr>
      <w:r>
        <w:rPr>
          <w:color w:val="000000"/>
        </w:rPr>
        <w:t>•</w:t>
      </w:r>
      <w:r>
        <w:rPr>
          <w:rFonts w:ascii="Times New Roman;serif" w:hAnsi="Times New Roman;serif"/>
          <w:b w:val="false"/>
          <w:i/>
          <w:color w:val="000000"/>
          <w:sz w:val="20"/>
        </w:rPr>
        <w:t>MSP and MSSP partners:</w:t>
      </w:r>
      <w:r>
        <w:rPr>
          <w:color w:val="000000"/>
        </w:rPr>
        <w:t xml:space="preserve"> </w:t>
      </w:r>
      <w:r>
        <w:rPr>
          <w:rFonts w:ascii="Times New Roman;serif" w:hAnsi="Times New Roman;serif"/>
          <w:b w:val="false"/>
          <w:color w:val="000000"/>
          <w:sz w:val="20"/>
        </w:rPr>
        <w:t xml:space="preserve">Managed Service Providers (MSP) and Managed Security Service Providers (MSSP) can earn technical certifications to provide certified implementation services and/or embed Fastly technology to enhance their SaaS or Platform as a Service offerings. </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Partners work with Fastly’s sales and presales teams to scale sales cycle support. This helps expand our worldwide network of partners dedicated to protecting and delivering customers’ content. We have expanded the reach and breadth of these partners to include cross-selling delivery and security products. We have made significant investments in this area by adding additional channel sales and marketing resources, technical training and enablement, partner discounts, and an elevated partner program to offer partners even more benefits.</w:t>
      </w:r>
    </w:p>
    <w:p>
      <w:pPr>
        <w:pStyle w:val="TextBody"/>
        <w:bidi w:val="0"/>
        <w:spacing w:lineRule="auto" w:line="288" w:before="0" w:after="240"/>
        <w:jc w:val="left"/>
        <w:rPr/>
      </w:pPr>
      <w:r>
        <w:rPr>
          <w:rFonts w:ascii="Times New Roman;serif" w:hAnsi="Times New Roman;serif"/>
          <w:b/>
          <w:color w:val="000000"/>
          <w:sz w:val="20"/>
        </w:rPr>
        <w:t>Cloud Partners</w:t>
      </w:r>
      <w:r>
        <w:rPr>
          <w:rFonts w:ascii="Times New Roman;serif" w:hAnsi="Times New Roman;serif"/>
          <w:b/>
          <w:i/>
          <w:color w:val="000000"/>
          <w:sz w:val="20"/>
        </w:rPr>
        <w:t xml:space="preserve">. </w:t>
      </w:r>
      <w:r>
        <w:rPr>
          <w:rFonts w:ascii="Times New Roman;serif" w:hAnsi="Times New Roman;serif"/>
          <w:b w:val="false"/>
          <w:color w:val="000000"/>
          <w:sz w:val="20"/>
        </w:rPr>
        <w:t>We integrate with major cloud providers to enhance their services and create solutions that are powerful, scalable, and secure. We have exclusive Private Network Interconnects (PNIs) and peering arrangements with key cloud providers such as Google Cloud Platform, AWS, and others to eliminate or minimize egress fees, enhance security, and improve overall performance. We are also available for purchase on the Google Cloud Marketplace and AWS Marketplace which can help eliminate the need for customers to have separate billing arrangements and makes Fastly services eligible for Google Cloud and AWS committed spends. We have strong go-to-market relationships with our cloud partners which allow us to access the benefits of their partner programs like joint business planning, co-selling, account support, added marketing funding, and more.</w:t>
      </w:r>
    </w:p>
    <w:p>
      <w:pPr>
        <w:pStyle w:val="TextBody"/>
        <w:bidi w:val="0"/>
        <w:spacing w:lineRule="auto" w:line="288" w:before="0" w:after="240"/>
        <w:jc w:val="left"/>
        <w:rPr/>
      </w:pPr>
      <w:r>
        <w:rPr>
          <w:rFonts w:ascii="Times New Roman;serif" w:hAnsi="Times New Roman;serif"/>
          <w:b/>
          <w:color w:val="000000"/>
          <w:sz w:val="20"/>
        </w:rPr>
        <w:t>Integration Partners.</w:t>
      </w:r>
      <w:r>
        <w:rPr>
          <w:color w:val="000000"/>
        </w:rPr>
        <w:t xml:space="preserve"> </w:t>
      </w:r>
      <w:r>
        <w:rPr>
          <w:rFonts w:ascii="Times New Roman;serif" w:hAnsi="Times New Roman;serif"/>
          <w:b w:val="false"/>
          <w:color w:val="000000"/>
          <w:sz w:val="20"/>
        </w:rPr>
        <w:t>We integrate with a number of third-party partners who offer complementary technology across a number of strategic use-cases and industries. These partners help expand our reach into new markets by offering customers a solution that seamlessly integrates with their existing technology stack making our technology even stickier. Here are some examples: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 xml:space="preserve">Security: </w:t>
      </w:r>
      <w:r>
        <w:rPr>
          <w:rFonts w:ascii="Times New Roman;serif" w:hAnsi="Times New Roman;serif"/>
          <w:b w:val="false"/>
          <w:color w:val="000000"/>
          <w:sz w:val="20"/>
        </w:rPr>
        <w:t>Our Next-Gen WAF integrates seamlessly with a broad ecosystem of third-party tools, enabling customers to streamline workflows, strengthen DevOps processes, enhance security visibility, and improve operational efficiencies. Our Next-Gen WAF supports Kubernetes and service mesh and API gateway technologies such as Envoy, Istio, and Ambassador to accommodate modern microservices architectures. It is also compatible with major cloud and platform providers, including Amazon Web Services, Microsoft Azure, Heroku, and VMware Tanzu.</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The Fastly Next-Gen WAF is also integrated with A10 Networks ADC appliances enabling optional application security controls for their customers. This partnership expands our reach to new customer segments, including organizations that primarily operate in private data centers, maintain a smaller public cloud footprint, or are located in different geographic regions where Fastly has had more limited historical penetration.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Logging &amp; Analytics:</w:t>
      </w:r>
      <w:r>
        <w:rPr>
          <w:color w:val="000000"/>
        </w:rPr>
        <w:t xml:space="preserve"> </w:t>
      </w:r>
      <w:r>
        <w:rPr>
          <w:rFonts w:ascii="Times New Roman;serif" w:hAnsi="Times New Roman;serif"/>
          <w:b w:val="false"/>
          <w:color w:val="000000"/>
          <w:sz w:val="20"/>
        </w:rPr>
        <w:t xml:space="preserve">Our real-time logging feature integrates with more than 20 logging endpoint partners to allow customers to customize and visualize their edge data for better monitoring of performance and security anomalies. Examples include DataDog, Looker (Google Cloud), SumoLogic, Logentries, Google Cloud Platform (GCP), Microsoft (Azure Blob Storage), and more.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Compute: </w:t>
      </w:r>
      <w:r>
        <w:rPr>
          <w:rFonts w:ascii="Times New Roman;serif" w:hAnsi="Times New Roman;serif"/>
          <w:b w:val="false"/>
          <w:color w:val="000000"/>
          <w:sz w:val="20"/>
        </w:rPr>
        <w:t xml:space="preserve">We work with a growing ecosystem of partners who are tapping into our powerful Compute serverless technology to extend their solutions across a variety of different use-cases. </w:t>
      </w:r>
    </w:p>
    <w:p>
      <w:pPr>
        <w:pStyle w:val="TextBody"/>
        <w:bidi w:val="0"/>
        <w:spacing w:lineRule="auto" w:line="276" w:before="0" w:after="240"/>
        <w:ind w:left="0" w:right="0" w:hanging="360"/>
        <w:jc w:val="left"/>
        <w:rPr/>
      </w:pPr>
      <w:r>
        <w:rPr>
          <w:color w:val="000000"/>
        </w:rPr>
        <w:t>•</w:t>
      </w:r>
      <w:r>
        <w:rPr>
          <w:rFonts w:ascii="Times New Roman;serif" w:hAnsi="Times New Roman;serif"/>
          <w:b w:val="false"/>
          <w:i/>
          <w:color w:val="000000"/>
          <w:sz w:val="20"/>
        </w:rPr>
        <w:t xml:space="preserve">Media &amp; Entertainment: </w:t>
      </w:r>
      <w:r>
        <w:rPr>
          <w:rFonts w:ascii="Times New Roman;serif" w:hAnsi="Times New Roman;serif"/>
          <w:b w:val="false"/>
          <w:color w:val="000000"/>
          <w:sz w:val="20"/>
        </w:rPr>
        <w:t>We have partnerships across a number of technology providers in the media and entertainment industry to enhance our edge platform’s performance features, modern security offerings, and real-time metrics.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platform spans several markets from cloud computing and cloud security to CDNs. We segment the competitive landscape into six key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Legacy CDN platform solutions like Akamai;</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Application and API security vendors like Akamai, Cloudflare, F5, and Thales (Imperva);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Point CDN players like Bunny CDN, CDNetworks, CDN77, and Qwilt;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CDN providers that also offer serverless edge compute functionality like Akamai and Cloudflare;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Public cloud providers that have added CDN and WAF capabilities like Amazon Web Services (AWS), Google Cloud Platform (GCP), and Microsoft (Azure);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Traditional on-premise, data center appliance vendors for load balancing, WAF, and/or DDoS like F5, Thales (Imperva), and Radware.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principal competitive factors in our market include: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platform functionality, scalability, performance, ease of use, ease of integration and programmability, reliability, security availability, and cost effectiveness;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global network coverage and availability;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ability to support modern application development processes and utilize new and proprietary technologies to offer services and features previously not available in the marketplace;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ability to identify new markets, applications, and technologies;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ability to attract and retain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brand, reputation, and trustworthiness;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credibility with developers;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quality of customer support;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ability to recruit software engineers and sales and marketing personnel;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ability to develop and protect intellectual property;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ability to identify opportunities for acquisitions and strategic relationships and successfully execute on them.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we generally compete favorably with our competitors on the basis of these factors. Our edge cloud platform integrates many of the point products offered by our competitors which is a key differentiator. However, many of our competitors have substantially greater financial and technical resources in addition to larger sales and marketing budgets, broader market distribution, and more mature intellectual property portfolios.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Culture and Human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Values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has the potential to make a radically positive impact on the world, and we aspire to improve human lives through our work. We were founded on strong ethical principles, and have intentionally grown values-first, scaling our workforce, services, customer portfolio, and investment partners purposefully. Our values guide our hiring practices as well as the ethics we are committed to upholding as we scale. We believe that as a result of our values, we have been able to identify, attract, engage and retain great people. We want to serve the very best of the Internet. We choose to work with customers that we believe have integrity, are trustworthy, and do not promote violence or hate. Our eight core values define who we are and how we choose to grow, hire, train, work, communicate, make decisions, support each other, and serve our customers.</w:t>
      </w:r>
    </w:p>
    <w:p>
      <w:pPr>
        <w:pStyle w:val="TextBody"/>
        <w:bidi w:val="0"/>
        <w:spacing w:before="0" w:after="240"/>
        <w:jc w:val="center"/>
        <w:rPr/>
      </w:pPr>
      <w:r>
        <w:rPr/>
        <w:drawing>
          <wp:inline distT="0" distB="0" distL="0" distR="0">
            <wp:extent cx="6515100" cy="3124200"/>
            <wp:effectExtent l="0" t="0" r="0" b="0"/>
            <wp:docPr id="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 descr=""/>
                    <pic:cNvPicPr>
                      <a:picLocks noChangeAspect="1" noChangeArrowheads="1"/>
                    </pic:cNvPicPr>
                  </pic:nvPicPr>
                  <pic:blipFill>
                    <a:blip r:embed="rId2"/>
                    <a:stretch>
                      <a:fillRect/>
                    </a:stretch>
                  </pic:blipFill>
                  <pic:spPr bwMode="auto">
                    <a:xfrm>
                      <a:off x="0" y="0"/>
                      <a:ext cx="6515100" cy="3124200"/>
                    </a:xfrm>
                    <a:prstGeom prst="rect">
                      <a:avLst/>
                    </a:prstGeom>
                  </pic:spPr>
                </pic:pic>
              </a:graphicData>
            </a:graphic>
          </wp:inline>
        </w:drawing>
      </w:r>
      <w:bookmarkStart w:id="0" w:name="i-1"/>
      <w:bookmarkEnd w:id="0"/>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Hiring Strategy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Fastly, our ability to innovate and compete in the edge compute, delivery, security, and observability markets is directly tied to our ability to attract and retain specialized technical talent. We view our workforce as a strategic extension of our platform architecture: distributed, resilient, and high-performing.</w:t>
      </w:r>
    </w:p>
    <w:p>
      <w:pPr>
        <w:pStyle w:val="TextBody"/>
        <w:bidi w:val="0"/>
        <w:spacing w:lineRule="auto" w:line="276" w:before="0" w:after="240"/>
        <w:ind w:left="0" w:right="0" w:firstLine="720"/>
        <w:jc w:val="left"/>
        <w:rPr/>
      </w:pPr>
      <w:r>
        <w:rPr>
          <w:rFonts w:ascii="Times New Roman;serif" w:hAnsi="Times New Roman;serif"/>
          <w:b/>
          <w:color w:val="000000"/>
          <w:sz w:val="20"/>
        </w:rPr>
        <w:t xml:space="preserve">Cultivating Technical Excellence and Belonging </w:t>
      </w:r>
      <w:r>
        <w:rPr>
          <w:rFonts w:ascii="Times New Roman;serif" w:hAnsi="Times New Roman;serif"/>
          <w:b w:val="false"/>
          <w:color w:val="000000"/>
          <w:sz w:val="20"/>
        </w:rPr>
        <w:t>We are committed to building a workforce comprised of highly qualified individuals who reflect our core values. Our engineering recruitment focuses on attracting world-class experts in the foundational technologies of the internet, including Rust, WASM, and high-scale network security to foster our edge computing innovation.</w:t>
      </w:r>
    </w:p>
    <w:p>
      <w:pPr>
        <w:pStyle w:val="TextBody"/>
        <w:bidi w:val="0"/>
        <w:spacing w:lineRule="auto" w:line="288" w:before="0" w:after="240"/>
        <w:ind w:left="0" w:right="0" w:firstLine="720"/>
        <w:jc w:val="left"/>
        <w:rPr/>
      </w:pPr>
      <w:r>
        <w:rPr>
          <w:rFonts w:ascii="Times New Roman;serif" w:hAnsi="Times New Roman;serif"/>
          <w:b/>
          <w:color w:val="000000"/>
          <w:sz w:val="20"/>
        </w:rPr>
        <w:t xml:space="preserve">Strategic Talent Pipelines and Development </w:t>
      </w:r>
      <w:r>
        <w:rPr>
          <w:rFonts w:ascii="Times New Roman;serif" w:hAnsi="Times New Roman;serif"/>
          <w:b w:val="false"/>
          <w:color w:val="000000"/>
          <w:sz w:val="20"/>
        </w:rPr>
        <w:t>To maintain a competitive edge and a service-oriented culture, we leverage non-traditional talent pipelines. A key component of our strategy is our internal mobility program, which identifies high-potential talent from various backgrounds and technical training programs for our support organizations. These individuals often transition into broader roles across the company, infusing our product and engineering teams with a deep, customer-centric mindset and practical operational experience.</w:t>
      </w:r>
    </w:p>
    <w:p>
      <w:pPr>
        <w:pStyle w:val="TextBody"/>
        <w:bidi w:val="0"/>
        <w:spacing w:lineRule="auto" w:line="288" w:before="0" w:after="240"/>
        <w:ind w:left="0" w:right="0" w:firstLine="720"/>
        <w:jc w:val="left"/>
        <w:rPr/>
      </w:pPr>
      <w:r>
        <w:rPr>
          <w:rFonts w:ascii="Times New Roman;serif" w:hAnsi="Times New Roman;serif"/>
          <w:b/>
          <w:color w:val="000000"/>
          <w:sz w:val="20"/>
        </w:rPr>
        <w:t xml:space="preserve">Total Rewards and Retention </w:t>
      </w:r>
      <w:r>
        <w:rPr>
          <w:rFonts w:ascii="Times New Roman;serif" w:hAnsi="Times New Roman;serif"/>
          <w:b w:val="false"/>
          <w:color w:val="000000"/>
          <w:sz w:val="20"/>
        </w:rPr>
        <w:t>To attract and retain our highly qualified employees and executive team, we offer a competitive compensation program designed to align employee interests with long-term company success. This program includes a combination of competitive base salaries, performance-based incentives, comprehensive benefits, and a robust equity compensation component intended to motivate and reward long-term commitment and innovation.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building a global workforce and an inclusive culture that empowers and supports our employees and customers, regardless of background. We onboard all new employees with training programs on our values, our business, and important policies, including our Safe, Welcoming, and Productive Work Environment Policy. Annually thereafter we provide employees with code of conduct and security awareness training, a learning reimbursement program and performance evaluations. Our employee engagement efforts currently include company-wide newsletters and all-hands meetings, through which we aim to keep our employees well-informed and increase transparency. Our Employee Resource Groups are open to all employees and focus on making Fastly a better place where all employees are included, valued and engaged. We also use employee engagement surveys to collect employee feedback and assess the effectiveness of our culture, our strategy, and various health and well-being programs.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Employees</w:t>
      </w:r>
    </w:p>
    <w:p>
      <w:pPr>
        <w:pStyle w:val="TextBody"/>
        <w:bidi w:val="0"/>
        <w:spacing w:lineRule="auto" w:line="276" w:before="0" w:after="240"/>
        <w:ind w:left="0" w:right="0" w:firstLine="720"/>
        <w:jc w:val="left"/>
        <w:rPr/>
      </w:pPr>
      <w:r>
        <w:rPr>
          <w:rFonts w:ascii="Times New Roman;serif" w:hAnsi="Times New Roman;serif"/>
          <w:b w:val="false"/>
          <w:color w:val="000000"/>
          <w:sz w:val="20"/>
        </w:rPr>
        <w:t>As of December 31, 2025, we had a total of 1,140 employees worldwide and 258 employees located outside of the United States; 47% of our employees resided within 50 miles of a Fastly office and 53% of</w:t>
      </w:r>
      <w:r>
        <w:rPr>
          <w:color w:val="000000"/>
          <w:shd w:fill="FFFFFF" w:val="clear"/>
        </w:rPr>
        <w:t xml:space="preserve"> </w:t>
      </w: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ur employees worldwide were considered remote, which means they resided more than 50 miles from a Fastly office or in locations where we do not have a Fastly office. We will continue to search for the best possible talent for every role and cultivate best-in-class in-office and remote employee experiences.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Organization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&amp; Marketing</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work closely to attract new customers and expand the adoption of our platform to help customers drive business outcomes.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building a go-to-market engine that scales, becomes increasingly more efficient, and is nimble enough to continue to grow our business in four dimensions: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Customer logo acquisition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Expansion into additional vertical markets and within existing customers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Partner ecosystem leverage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International expansion</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Fastly’s marketing efforts have a significant impact on new logo acquisition, demand generation, and brand awareness. We are focused on optimizing the return on our marketing investment to drive demand across our portfolio and regions.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sales and marketing organizations collaborate to cultivate customer relationships with developers and business leaders at enterprises and technology-savvy organizations to drive revenue growth. We have geographically-based sales teams that continue to enhance our value-based selling methodology. Our land and expand sales strategy for enterprise customers has successfully demonstrated our platform’s capabilities, and our customer support enables broad adoption of our technology within an organization.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Customer Support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designed our products and platform to be self-service and require minimal customer support. Customers are automatically covered by our Standard support plan as soon as they sign up with us. They can file a ticket with the support team, and access documentation including online FAQs, API references, and configuration guidelines. Our support approach is unique and built with developers in mind. Our first-line support employee typically has an engineering background and is highly technical.</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provide several options for premier, hands-on support from a team of highly-technical senior support engineers and technical account managers. They act as a single point of contact for our support, product, and engineering teams. Our support model is global, with 24/7 coverage and support offices located in North America, EMEA, and APAC.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&amp; Development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team members are responsible for the design, development, and reliability of all aspects of our edge cloud platform. Continuous improvement and innovation are core to our DNA, and these efforts are baked directly into our service life cycle. Scale, performance, security, and reliability are core functional requirements of everything we build into our platform to serve our customers.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philosophy of customer empowerment guides our research processes. Our product managers regularly engage with customers and developers, DevOps and site reliability engineering communities, as well as our internal stakeholders and subject matter experts, in order to understand customer needs. Our engineering team includes experts with deep experience who intimately understand customers’ technical challenges and build solutions that deliver outcomes our customers value the most.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Throughout the strategic design and build phases of our product life cycle, our development organization works closely with our product, infrastructure, operations, and compliance teams to design, develop, test, and launch any given solution. We strive for a balance of rapid iteration without compromise on the core functional requirements that our customers expect: scale, performance, security, and reliability.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415 employees in our research and development group. Our research and development expenses were $162.7 million for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Infrastructure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infrastructure team is responsible for the design, deployment, and maintenance of the servers and network hardware that form the foundation of our mission critical edge cloud environment. We invest in research into global Internet geography to identify optimal colocation site selection, network partner identification, and network-to-network interconnection opportunities. These activities allow us to connect in close proximity to core Internet backbones and Internet service providers, thereby enhancing network performance. We carefully evaluate and test hardware from leading server, network, and component manufacturers to assess their compliance with our workload performance, system efficiency, and mean time-to-repair standards. In our process, we evaluate commodity server and network platforms to avoid vendor lock-in, while optimizing the mix of components in an effort to improve efficiency and optimize our capital expenditures. We intend to grow the number of data center colocation sites as traffic on our network grows and as demand for new markets justify investment.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Trust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security, compliance and data governance teams, as well as other departments across the company, continually iterate on our trust programs to better meet growing customer needs, updated regulatory requirements, and the evolving security threat landscape. To help validate the controls that safeguard our platform and the data moving through it, we have expanded our portfolio of security and compliance-related assessments and certifications over time.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pStyle w:val="TextBody"/>
        <w:bidi w:val="0"/>
        <w:spacing w:lineRule="auto" w:line="26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in the United States, we had 112 issued or allowed patents, which expire between August 2033 and March 2043, 5 patent applications pending for examination. As of such date, we also had 22 issued patents and one patent application published or pending for examination in foreign jurisdictions, all of which are related to U.S. patents and patent applications. In addition, as of December 31, 2025, we had 18 registered trademarks and no pending trademarks in the United States. As of such date, we also had 35 registered trademarks in foreign jurisdictions.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seek to protect our intellectual property rights by requiring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our efforts to protect our technology and proprietary rights through intellectual property rights, licenses, and other contractual protections, unauthorized parties may still copy or otherwise obtain and use our software and other technology. In addition, we intend to continue to expand our international operations, and effective intellectual property, copyright, trademark, and trade secret protection may be unavailable or limited in foreign countries. Any significant impairment of our intellectual property rights could harm our business or our ability to compete. Further, companies in the communications and technology industries own large numbers of patents, copyrights, and trademarks and frequently threaten litigation, or file suit based on allegations of infringement or other violations of intellectual property rights. We are currently subject to, and expect to face in the future, allegations that we have infringed the intellectual property rights of third parties. From time to time, we also receive demands for indemnification from our customers under the terms of our contracts with them for infringement of a third-party’s intellectual property rights.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have been and will continue to be subject to legal proceedings and claims, including proceedings and claims relating to employment, intellectual property, and commercial disputes. We are not presently a party to any legal proceedings that, if determined adversely to us, would individually or taken together have a material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Please refer to Note 9—Commitments and Contingencies for discussion around our legal proceedings.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Regulatory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a number of U.S. federal and state and foreign laws and regulations that involve matters central to our business. These laws and regulations may involve privacy and data security, intellectual property, competition, consumer protection, critical infrastructure or other subjects. Many of the laws and regulations to which we are subject are still evolving and being tested in courts and could be interpreted in ways that could harm our business. In addition, the application and interpretation of these laws and regulations often are uncertain, particularly in the new and rapidly evolving industry in which we operate. Because global laws and regulations have continued to develop and evolve rapidly, it is possible that we may not be, or may not have been, compliant with each such applicable law or regulation. For a description of the risks we face related to regulatory matters, refer to “Item 1A.—Risk Factors” in this Annual Report on Form 10-K.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were initially incorporated under the laws of the State of Delaware in March 2011 under the name SkyCache, Inc. We changed our name to Fastly, Inc. in May 2012. Our principal executive offices are located at 475 Brannan Street, Suite 300, San Francisco, California 94107. Our telephone number is 1-844-432-7859. Our website address is www.fastly.com. The information contained on, or that can be accessed through, our website does not constitute part of this Annual Report on Form 10-K.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file annual reports on Form 10-K, quarterly reports on Form 10-Q, current reports on Form 8-K, and amendments to reports filed or furnished pursuant to Sections 13(a), 14 and 15(d) of the Exchange Act. The SEC maintains a website at https://www.sec.gov that contains reports, and other information regarding us and other companies that file materials with the SEC electronically. Copies of our reports on Forms 10-K, Forms 10-Q, and Forms 8-K, may be obtained, free of charge, electronically through our investor relations website at www.fastly.com/investors as soon as reasonably practicable after we file such material with, or furnish such material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0"/>
        <w:ind w:left="0" w:right="0" w:firstLine="540"/>
        <w:jc w:val="left"/>
        <w:rPr/>
      </w:pPr>
      <w:r>
        <w:rPr>
          <w:rFonts w:ascii="Times New Roman;serif" w:hAnsi="Times New Roman;serif"/>
          <w:b w:val="false"/>
          <w:i/>
          <w:color w:val="000000"/>
          <w:sz w:val="20"/>
        </w:rPr>
        <w:t xml:space="preserve">Investing in our common stock involves a high degree of risk. Investors should carefully consider the risks and uncertainties described below, together with all of the other information contained in this Annual Report on Form 10-K, including the section titled </w:t>
      </w:r>
      <w:r>
        <w:rPr>
          <w:color w:val="000000"/>
        </w:rPr>
        <w:t>“</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i/>
          <w:color w:val="000000"/>
          <w:sz w:val="20"/>
        </w:rPr>
        <w:t>and our consolidated financial statements and related notes, before deciding to invest in our common stock. Unless otherwise indicated, references to our business being harmed in these risk factors will include harm to our business, reputation, customer growth, results of operations, financial condition, or prospects. Any of these events could cause the trading price of our common stock to decline, which would cause our stockholders to lose all or part of their investment. Our business, results of operations, financial condition, or prospects could also be harmed by risks and uncertainties not currently known to us or that we currently do not believe are material.</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Business, Industry and Technology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platform fails to perform properly due to defects, interruptions, outages, delays in performance, or similar problems, and if we fail to develop enhancements to resolve any defect, interruption, delay, or other problems, we could lose customers, become subject to service performance or warranty claims, or incur significant costs.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are dependent upon our ability to prevent system interruption. The applications underlying our edge cloud computing platform are inherently complex and may contain material defects or errors, which may cause disruptions in availability or other performance problems. We have from time to time found defects and errors in our platform and may discover additional defects or errors in the future that could result in data unavailability, unauthorized access to, loss, corruption, or other harm to our customers’ data. These defects or errors could also be found in third-party applications or open source software on which we rely. We may not be able to detect and correct defects or errors before implementing our products. Consequently, we or our customers may discover defects or errors after our products have been deployed.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serve our customers from our POPs located around the world. Our customers need to be able to access our platform at any time, without interruption or degradation of performance. However, we have not developed redundancies for all aspects of our platform. We depend, in part, on our third-party facility providers’ ability to protect these facilities against damage or interruption from natural disasters, extreme weather events, power or telecommunications failures, criminal acts, armed conflict, public health issues, such as a pandemic or epidemic, and similar events. In some cases, third-party cloud providers run their own platforms that we access, and we are, therefore, vulnerable to their service interruptions. In the event that there are any defects or errors in software, failures of hardware, damages to a facility, or misconfigurations of any of our services, we may have to divert resources away from other planned work, could experience lengthy interruptions in our platform, and also incur delays and additional expenses in arranging new facilities and services. Our customers may choose to divert their traffic away from our platform as a result of interruptions or delays. Business continuity arrangements, including the existence of redundant data centers that are designed to become active during certain lapses of service, may not function as intended, and any disruptions to our service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design our system infrastructure and procure and own or lease the computer hardware used for our platform. Design and mechanical errors, spikes in usage volume, and failure to follow system protocols and procedures could cause our systems to fail, resulting in interruptions on our platform. Moreover, we have experienced and may in the future experience system failures or interruptions in our platform as a result of human error. These outages have resulted and may in the future result in service level agreement claims. Any interruptions or delays in our platform, whether caused by our products or our data centers, third-party error, our own error, natural disasters (such as drought, flooding, wildfires, and storms), or security breaches, whether accidental or willful, could harm our relationships with customers, reduce customers’ usage of our platform, cause our revenue to decrease and our expenses to increase, and divert resources away from product development. Climate change and other environmental or social pressures are expected to increase the frequency and severity of certain events, as well as contribute to chronic changes (such as changes in meteorological and hydrological patterns) that may also result in similar or additional risks. Also, in the event of damage or interruption, our insurance policies may not adequately compensate us for any losses that we may incur. These factors in turn could further reduce our revenue, subject us to liability and cause us to issue service credits or cause customers to fail to renew their customer contracts, any of which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any defects, errors, disruptions in service, failures involving redundant data centers, or other performance problems, interruptions, or delays with our platform, whether in connection with the day-to-day operations or otherwise, could result 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loss of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reduced customer usage of our platforms;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lost or delayed market acceptance and sales of our products, or the failure to launch products or features on anticipated timelines;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delays in payment to us by our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injury to our reputation and brand;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governmental inquiry or oversight;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legal claims, including warranty and service level agreement claims, against us;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diversion of our resources, including through increased service and warranty expenses or financial concessions, and increased insurance costs.</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costs incurred in correcting any material defects, errors, or other performance problems in our platform may be substantial and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in particular, enterprise customers, and to have existing enterprise customers continue and increase their use of our platform, our business will likely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grow our business, we must continue to attract new customers, in particular, enterprise customers, and generate revenue from those new customers. To do so, we must successfully convince potential customers of the benefits and the value of our platform. This may require significant and costly sales efforts that are targeted at larger enterprises and senior management of these potential customers. Sales to enterprise customers may involve longer sales cycles as a result of customers requiring considerable time to evaluate our platform, requiring participation in a competitive purchasing process, having more formal processes for approval of purchases, and more complex requirements. These factors significantly impact our ability to add new customers and increase the time, resources, and sophistication required to do so. In addition, numerous other factors, some of which are out of our control, may now or in the future impact our ability to acquire new customers, including potential customers’ commitments to other providers, real or perceived costs of switching to our platform, our failure to expand, retain, and motivate our sales and marketing personnel, our failure to develop or expand relationships with potential customers and channel partners, failure by us to help our customers to successfully deploy our platform, negative media or industry or financial analyst commentary regarding us or our solutions, litigation, and deteriorating general economic conditions. If we fail to attract new customers, particularly enterprise customers, as a result of these and other factors our business will likely be harmed.</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ability to grow and generate incremental revenue depends on our ability to maintain and grow our relationships with our existing enterprise customers so that they continue and increase their usage of our platform. If these customers do not maintain and increase their usage of our platform, our revenue may decline and our results of operations will likely be harmed.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some of our products, we charge our customers based on their usage of our platform. Most of our customers, including some of our largest enterprise customers, do not have long-term contractual financial commitments to us. Some of our customers, who generally do not include our enterprise customers, enter into “click-through” agreements with us via our self-service model, and agree to a minimum monthly fee by signing up online with a credit card, and can easily terminate their subscriptions, or switch to a less expensive plan, at will with little advance notice. In addition, most of our current customer contracts are only one year in duration and these customers may not use our platform in a subsequent year. In order for us to maintain or improve our results of operations, it is important that our customers, in particular, our enterprise customers, use our platform in excess of their commitment levels, if any, and continue to use our platform on the same or more favorable terms. Our ability to retain our largest customers and expand their usage could be impaired for a variety of reasons, including customer budget constraints, customer satisfaction, changes in our customers’ underlying businesses, changes in the type and size of our customers, pricing changes, competitive conditions (including customers building their own CDNs), the acquisition of our customers by other companies, governmental actions, or the possibility thereof, and general economic conditions. Because many of our largest customers’ minimum usage commitments for our platform are relatively low compared to their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usage, it can be easy for certain customers to quickly reallocate usage or switch from our platform to an alternative platform altogether. In addition, certain customers may reduce or cease their use of our products at any time without penalty or termination charges, even after they have expanded usage in prior periods.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base our decisions about expense levels and investments on estimates of our future revenue and anticipated rate of growth. Many of our expenses are fixed cost in nature for some minimum amount of time, such as colocation and bandwidth, so if we do experience slower usage growth on our platform it may not be possible to reduce costs in a timely manner or without the payment of fees to exit certain obligations early. If any of these events were to occur, our business may be harmed.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many of our customers have negotiated and may continue to negotiate lower rates in exchange for an agreement to renew, expand their usage in the future, or adopt new products. As a result, in certain cases, even though customers have not reduced their usage of our platform, the revenue we derive from that usage has decreased. If our platform usage or revenue fall significantly below the expectations of the public market, securities analysts, or investors, our business would be harmed, which could cause our stock price to decline.</w:t>
      </w:r>
    </w:p>
    <w:p>
      <w:pPr>
        <w:pStyle w:val="TextBody"/>
        <w:bidi w:val="0"/>
        <w:spacing w:lineRule="auto" w:line="288" w:before="0" w:after="24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Our future success also depends in part on our ability to expand our existing customer relationships, in particular, with enterprise customers, by increasing their usage of our platform, selling them additional products and upgrading their existing products. The rate at which our customers increase their usage of our platform and purchase products from us depends on a number of factors, including our ability to grow our platform and maintain the security and availability of it, develop and deliver new features and products, maintain customer satisfaction, general economic conditions and pricing and services offered by our competitors. If our efforts to increase usage of our platform by, or sell new and additional products to, our enterprise customers are not successful, our business would be harmed. In addition, even if our largest customers increase their usage of our platform, we cannot guarantee that they will maintain those usage levels for any meaningful period of time. In addition, because many of our products endeavor to deliver increased efficiency and functionality, the successful sale of a new or additional product to an existing customer could result in a reduction of the customer’s overall usage of our platform.</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receive a substantial portion of our revenues from a limited number of customers within a limited number of industries, and the loss of, or a significant reduction in usage by, one or more of our major customers would result in lower revenues and could harm our business.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success depends on establishing and maintaining successful relationships with a diverse set of customers. We currently receive a substantial portion of our revenues from a limited number of customers and within a limited number of industries, such as media and entertainment. Our 10 largest customers generated an aggregate of 32% and 33% of our revenue in the trailing 12 months ended December 31, 2025 and 2024, respectively. Affiliated customers that are business units of a single company generated an aggregate of 10% of the Company’s revenue for the year ended December 31, 2025. No affiliated customers that are business units of a single company generated more than 10% of our revenue for the year ended December 31, 2024. In addition, in April 2024, the former administration signed into law a bill that would effectively ban TikTok in the United States if ByteDance, its China-based parent company, did not sell its stake in TikTok within a set time frame. Following a series of executive orders in 2025 that suspended enforcement of this law, on January 22, 2026, ByteDance announced the establishment of TikTok USDS Joint Venture LLC in compliance with the law to secure United States user data, apps, and the algorithm through data privacy and cybersecurity measures. TikTok was one of our largest customers for the year ended December 31, 2025 and remains a customer of ours. We do not know how the restructuring may impact our traffic levels. It is likely that we will continue to be dependent upon a limited number of customers for a significant portion of our revenues for the foreseeable future and, in some cases, the portion of our revenues attributable to individual customers may increase in the future. In addition, changes to our customers’ businesses may contribute to further customer concentration, including any impact from acquisition activities, internal business reorganizations leading to operational and decision making changes, and corporate structure changes such as subsidiary consolidation and reorganization that may arise in the future. The loss of one or more key customers or a reduction in usage by any major customers would reduce our revenues. If we fail to maintain existing customers or develop relationships with new customers and across different industries, our business would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Component delays, shortages, or price increases could interrupt our ability to complete the construction of our servers or POPs and to meet the usage needs of our customers. Our operating results could be materially harmed if we are unable to adequately manage our infrastructure needs.</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the timely supply of certain parts and components to construct our servers or POPs. We rely on a limited number of suppliers for several components of the equipment we use to operate our network and provide products to our customers. Our reliance on these suppliers exposes us to risks including reduced control over production costs and constraints based on the then current availability, terms, and pricing of these components, including pricing changes as a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of inflationary pressures. Moreover, international trade disputes may disrupt or delay our supply chain for these components or lead to pricing increases. For example, the United States has imposed or indicated an intention to impose tariffs on certain countries which may lead to retaliatory actions such as counter-tariffs and increase production costs and disruptions in our supply chain. The United States and other jurisdictions have also leveraged various trade and value chain requirements, including on environmental and social criteria, which may make sourcing more costly, require us to change suppliers, or otherwise adversely impact our operations. Further, it is possible that government policy changes, including policy changes made with little to no advance notice, and related uncertainty about policy changes could increase market volatility. If our supply of certain components is further disrupted or delayed, there can be no assurance that we will be able to obtain adequate replacements for the existing components or that supplies will be available on terms and prices that are favorable to us, if at all. Any disruption or delay in the supply of our hardware components has in the past and may in the future limit capacity expansion or replacement of defective or obsolete equipment or cause other constraints on our operations that could damage our customer relationships and harm our business.</w:t>
      </w:r>
    </w:p>
    <w:p>
      <w:pPr>
        <w:pStyle w:val="TextBody"/>
        <w:bidi w:val="0"/>
        <w:spacing w:before="0" w:after="0"/>
        <w:ind w:left="0" w:right="0" w:firstLine="540"/>
        <w:jc w:val="left"/>
        <w:rPr/>
      </w:pPr>
      <w:r>
        <w:rPr/>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ensure adequate supply of parts and components, we must forecast server needs and expenses and place orders sufficiently in advance with our suppliers based on estimates of future demand for network capacity. As we continue to experience growth, we may face challenges managing adequate server capacity due to potential component delays, shortages, price increases, hardware efficiencies gained through internal development, or any potential changes in server architecture including due to technological advances or obsolescence. We may incur charges in future periods related to server management or incorrectly forecast our network capacity needs in future periods. If we have excess server capacity, we have in the past needed to, and may in the future need to, write-down or write-off server assets, which may materially harm our operating results. For example, in the year ended December 31, 2025, we recognized certain equipment, internal-use software project and right-of-use asset related write-off charges of $0.4 million. Conversely, if we underestimate network capacity needs, we may in future periods be unable to meet demand and be required to incur higher costs to secure necessary parts and components of our servers, which could adversely affect our customer relationships and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history of operating losses makes it difficult to evaluate our current business and prospects and may increase the risks associated with your investment.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were founded in 2011 and have experienced net losses since inception. We have encountered and will continue to encounter risks and difficulties frequently experienced by growth companies in constantly evolving industries, including companies in the technology sector, including the risks described in this Annual Report on Form 10-K. If we do not address these risks successfully, our business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generated a net loss of $121.7 million for the year ended December 31, 2025 and we had an accumulated deficit of $1,114.5 million. We will need to generate and sustain increased revenue levels and manage costs in future periods in order to become profitable; even if we achieve profitability, we may not be able to maintain or increase our level of profitability. We intend to continue to expend significant funds to support further growth and further develop our platform, including expanding the functionality of our platform, expanding our technology infrastructure and business systems to meet the needs of our customers, expanding our direct sales force and partner ecosystem, increasing our marketing activities, and growing our international operations. We have in the past faced, and will continue to face, increased compliance costs associated with growth and expansion of our customer base.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achieve and sustain profitability, our business may be harmed.</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If our IT Systems or data, or those of third parties upon which we rely, are compromised, limited, or fail, our business could experience materially adverse consequences, including but not limited to regulatory investigations or actions, litigation, fines and penalties, disruptions of our business operations, loss of revenue or profits, loss of customers or sales, reputational harm, and other adverse consequences.</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providing our customers with fast, efficient, and reliable distribution of applications and content over the Internet, and we rely on IT Systems to provide our products and services, including for internal and external operations that are critical to our business. “IT Systems” includes computer systems, hardware, software, technology infrastructure and websites and networks. In the ordinary course of business, we and the third parties upon which we rely, collect, receive, store, process, generate, use, transfer, disclose, make accessible, protect, secure, dispose of, transmit, and share Sensitive Information. "Sensitive Information" includes our, our customers', and our customers' end users' proprietary, confidential, and sensitive data, including personal information, intellectual property, trade secrets, and encryption keys.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Maintaining the security and availability of our platform, IT Systems, and Sensitive Information is a critical issue for us and our customers, and we expend significant resources, and may need to fundamentally change our business activities and modify our practices and operations, in an effort to protect against security incidents and to mitigate, detect, and remediate actual and potential vulnerabilities.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malicious Internet-based activity, online and offline fraud, and other similar activities threaten the confidentiality, integrity, and availability of our Sensitive Information and IT Systems, and those of the third parties upon which we rely. Such threats are prevalent and continue to become more so. They are difficult to detect, and come from a variety of sources and threat actors, including “hacktivists,” personnel (such as through theft or misuse), sophisticated nation states, and nation-state-supported actors.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Some threat actors engage in cyber-attacks for geopolitical reasons and in conjunction with military conflicts and defense activities. We have in the past been subject to cyber-attacks from third parties, including parties who we believe are sponsored by government actors. Since our customers share our multi-tenant architecture, cyber-attacks on any one of our customers could have a negative effect on our other customers. In the past, these attacks have significantly increased the bandwidth used on our platform and have strained our network. During times of war and other major conflicts, we, the third parties upon which we rely, and our customers may be vulnerable to a heightened risk of these attacks, including retaliatory cyber-attacks, that could materially disrupt our IT Systems and operations, supply chain, and ability to produce, sell, and distribute our services.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third parties upon which we rely are subject to a variety of evolving threats, including but not limited to social-engineering attacks (including through deep fakes, which may be increasingly more difficult to identify as fake, and phishing attacks), malicious code, malware (including as a result of advanced persistent threat intrusions), DDoS attacks, account takeover attacks, credential harvesting, personnel misconduct or error, ransomware attacks, supply-chain attacks, software bugs, server malfunctions, software or hardware failures, attacks facilitated or enhanced by artificial intelligence (“AI”) such as prompt injection or AI model inversion attacks, loss of data or other information technology assets, adware, telecommunications failures, natural disasters, and other similar threats. For example, we have experienced DDoS attacks of significant size and severity that caused us to invest resources into improving our systems, and we expect to continue to be subject to DDoS and other forms of attacks in the future, particularly as they have become more prevalent in our industry. Similarly, we have been the target of phishing and social engineering schemes that may be designed to, among other things, improperly gain access to our Sensitive Information or fraudulently obtain payments or funds from us. Further, we are not immune from the possibility of a malicious insider compromising our IT Systems or misappropriating our Sensitive Information.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severe ransomware attacks are becoming increasingly prevalent, and can lead to significant interruptions in our operations, compromise of our or our service providers’ IT Systems, loss of Sensitive Information and revenue, reputational harm, and diversion of funds. Extortion payments may alleviate the negative impact of a ransomware attack, but we may be unwilling or unable to make such payments due to a number of factors, including applicable laws or regulations prohibiting such payments.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incorporated into the supply chain of a number of companies worldwide and, as a result, if our services are compromised, a significant number or, in some instances, all of our customers and their data could be simultaneously affected. In addition, supply-chain attacks have increased in frequency and severity, and we cannot guarantee that third parties’ infrastructure in our supply chain or our third-party partners’ supply chains have not been compromised. The potential liability and associated consequences we could suffer as a result of such a large-scale event could be catastrophic and result in irreparable harm. </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or past business transactions (such as acquisitions or integrations) could expose us to additional cybersecurity risks and vulnerabilities, as our IT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IT Systems and security program.</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third-party service providers and technologies to operate critical IT Systems and to process Sensitive Information in a variety of contexts, including, without limitation, cloud-based infrastructure, data center facilities, encryption and authentication technology, content delivery to customers, and other functions. Like many other companies, our ability to monitor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privacy and data security-related obligations to us, any award may be insufficient to cover our damages, or we may be unable to recover such award.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adverse impact to the availability, integrity, or confidentiality of our Sensitive Information or IT Systems, including as a result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IT Systems, or those of the third parties upon whom we rely. A security incident or other interruption could disrupt our ability (and that of third parties upon whom we rely) to provide our platform, products and services.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we expand our emphasis on selling security-related products, we may become a more attractive target for attacks on our infrastructure intended to destabilize, overwhelm, or shut down our platform. For example, we have had security incidents in the past that have tested the limits of our infrastructure and impacted the performance of our platform.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Further, Sensitive Information of the Company or our customers could be leaked, disclosed, or revealed as a result of or in connection with our employees’, personnel’s, or vendors’ use of generative AI technologies.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certain privacy and data security obligations may require us to implement and maintain specific or industry-standard or reasonable security measures to protect our IT Systems and Sensitive Information, and a failure to do so could result in material financial penalties and other materially adverse consequences.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there can be no assurance that these measures will be effective. Additionally,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Applicable privacy and data security obligations may require us to notify relevant stakeholders, including affected individuals, customers, regulators, and investors of security incidents. For example, SEC rules require disclosure on Form 8-K of the nature, scope and timing of any material cybersecurity incident and the reasonably likely impact of such incident. Compliance with such disclosure efforts is costly, and the disclosure or the failure to comply with such requirements could lead to adverse consequences. If we (or a third party upon whom we rely) experience any adverse impact to the availability, integrity, or confidentiality of our IT Systems or Sensitive Information,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action claims); indemnification obligations; negative publicity; reputational harm; monetary fund diversions; diversion of management attention; interruptions or degradation of performance in our services (including availability of data); financial loss; and other similar harms. Security incidents and attendant consequences may also impact customers’ systems and data, and cause customers to stop using our platform, products, and services, cause us to offer pricing and other concessions, deter new customers from using our platform, products, and services, result in litigation, and negatively impact our ability to grow and operate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privacy and data security obligations. We cannot be sure that our insurance coverage will be adequate or sufficient to protect us from or to mitigate liabilities arising out of our privacy and data security practices, that such coverage will continue to be available on commercially reasonable terms or at all, or that such coverage will pay future claims.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efficiently develop and sell new products and respond effectively to rapidly changing technology, evolving industry standards, changing regulations, and changing customer needs, requirements, or preferences, our products may become less competitive.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in which we compete is relatively new and subject to rapid technological change, evolving industry standards and regulatory changes, as well as changing customer needs, requirements, and preferences. The success of our business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depend, in part, on our ability to adapt and respond effectively to these changes on a timely basis. If we are unable to develop and sell new products that satisfy and are adopted by our customers and provide enhancements, new features, and capabilities to our platform that keep pace with rapid technological and industry change, our revenue and operating results could be adversely affected. Further, some of our prospective customers may require custom development of features as part of their purchase decision, or our existing customers may require us to develop custom features. If we are unable to meet their requirements, they may look to our competitors or internal solutions that eliminate reliance on third-party providers, and our revenue and operating results could be adversely affected. Further, prioritizing such custom features can be difficult to adapt to other customers and may require significant engineering resources. If new technologies emerge that enable large Internet platform companies to utilize their own data centers and implement delivery approaches that limit or eliminate reliance on third-party providers like us, or that enable our competitors to deliver competitive products and applications at lower prices, more efficiently, more conveniently, or more securely, such technologies could adversely impact our ability to compete. If our platform does not allow us or our customers to comply with the latest regulatory requirements, our existing customers may decrease their usage on our platform or leave our platform and new customers will be less likely to adopt our platform.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must also integrate with a variety of network, hardware, mobile, and software platforms and technologies, and we need to continuously modify and enhance our products and platform capabilities to adapt to changes and innovation in these technologies. If developers widely adopt new software platforms, we would have to attempt to develop new versions of our products and enhance our platform’s capabilities to work with those new platforms. These development efforts may require significant engineering, marketing, and sales resources, all of which would affect our business and operating results. Any failure of our platform’s capabilities to operate effectively with future infrastructure platforms, technologies, and software platforms could reduce the demand for our platform. If we are unable to respond to these changes in a cost-effective manner, our products may become less marketable and less competitive or obsolete, and our business may be harmed.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the market for AI solutions is evolving rapidly. We may not be successful in our AI initiatives or our competitors may incorporate AI into their products or market their AI solutions more successfully than us, which could adversely affect our business (such as by impairing our ability to compete effectively against our competitors), reputation, or financial results. For example, we may encounter challenges such as a lack of talented personnel, inability to secure necessary infrastructure, or the possibility that the AI tools we utilize may not deliver their intended value. Each of these challenges would adversely impact our ability to effectively execute our strategy of leveraging AI in our products and to enhance our business operations.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ongoing investments to use AI to enhance our business operations, we are enabling AI workloads for our customers and leveraging AI in a manner that is designed to enhance our platform's usability and capabilities. However, our AI-focused products and services may not be successful or may fail to meet customer expectations, which could impair our ability to compete effectively and adversely affect our financial results. If we are unable to use AI effectively or use AI less successfully than our competitors, it could impair our ability to compete effectively against our competitors, adversely affect our business and result in competitive disadvantages.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our platform is highly technical and complex. For example, our delivery products may rely on knowledge of Varnish Configuration Language (“VCL”) to utilize certain features. Potential developers may be unfamiliar or opposed to working with VCL and therefore decide to not adopt our platform, which may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forecast our revenue accurately, or if we fail to manage our expenditures, our operating results could be adversely affected.</w:t>
      </w:r>
    </w:p>
    <w:p>
      <w:pPr>
        <w:pStyle w:val="TextBody"/>
        <w:bidi w:val="0"/>
        <w:spacing w:lineRule="auto" w:line="268" w:before="0" w:after="240"/>
        <w:ind w:left="0" w:right="0" w:firstLine="540"/>
        <w:jc w:val="left"/>
        <w:rPr/>
      </w:pPr>
      <w:r>
        <w:rPr>
          <w:rFonts w:ascii="Times New Roman;serif" w:hAnsi="Times New Roman;serif"/>
          <w:b w:val="false"/>
          <w:color w:val="000000"/>
          <w:sz w:val="20"/>
        </w:rPr>
        <w:t xml:space="preserve">We cannot accurately predict customers’ usage or renewal rates given the diversity of our customer base across industries, geographies and size, and ability of customers to allocate usage, among other factors. </w:t>
      </w:r>
      <w:r>
        <w:rPr>
          <w:rFonts w:ascii="Times New Roman;serif" w:hAnsi="Times New Roman;serif"/>
          <w:b w:val="false"/>
          <w:color w:val="000000"/>
          <w:sz w:val="20"/>
          <w:shd w:fill="FFFFFF" w:val="clear"/>
        </w:rPr>
        <w:t xml:space="preserve">Accordingly, we may be unable to accurately forecast </w:t>
      </w:r>
      <w:r>
        <w:rPr>
          <w:rFonts w:ascii="Times New Roman;serif" w:hAnsi="Times New Roman;serif"/>
          <w:b w:val="false"/>
          <w:color w:val="000000"/>
          <w:sz w:val="20"/>
        </w:rPr>
        <w:t>our</w:t>
      </w:r>
      <w:r>
        <w:rPr>
          <w:color w:val="000000"/>
          <w:shd w:fill="FFFFFF" w:val="clear"/>
        </w:rPr>
        <w:t xml:space="preserve"> </w:t>
      </w:r>
      <w:r>
        <w:rPr>
          <w:rFonts w:ascii="Times New Roman;serif" w:hAnsi="Times New Roman;serif"/>
          <w:b w:val="false"/>
          <w:color w:val="000000"/>
          <w:sz w:val="20"/>
          <w:shd w:fill="FFFFFF" w:val="clear"/>
        </w:rPr>
        <w:t xml:space="preserve">revenues. Notwithstanding </w:t>
      </w:r>
      <w:r>
        <w:rPr>
          <w:rFonts w:ascii="Times New Roman;serif" w:hAnsi="Times New Roman;serif"/>
          <w:b w:val="false"/>
          <w:color w:val="000000"/>
          <w:sz w:val="20"/>
        </w:rPr>
        <w:t>our</w:t>
      </w:r>
      <w:r>
        <w:rPr>
          <w:color w:val="000000"/>
          <w:shd w:fill="FFFFFF" w:val="clear"/>
        </w:rPr>
        <w:t xml:space="preserve"> </w:t>
      </w:r>
      <w:r>
        <w:rPr>
          <w:rFonts w:ascii="Times New Roman;serif" w:hAnsi="Times New Roman;serif"/>
          <w:b w:val="false"/>
          <w:color w:val="000000"/>
          <w:sz w:val="20"/>
          <w:shd w:fill="FFFFFF" w:val="clear"/>
        </w:rPr>
        <w:t>substantial investments in sales and marketing, infrastructure, and research and development in anticipation of growth in our business, i</w:t>
      </w:r>
      <w:r>
        <w:rPr>
          <w:rFonts w:ascii="Times New Roman;serif" w:hAnsi="Times New Roman;serif"/>
          <w:b w:val="false"/>
          <w:color w:val="000000"/>
          <w:sz w:val="20"/>
        </w:rPr>
        <w:t xml:space="preserve">f we do not realize returns on these investments in our growth, our results of operations could differ materially from our forecasts, which would adversely affect our results of operations and could disappoint analysts and investors, causing our stock price to decline. In addition, we have experienced, and may continue to experience, longer payment cycles in collecting accounts receivable from certain of our customers, difficulty in detecting potentially fraudulent self-service customer accounts in a timely manner, and errors in calculating the number of ongoing self-service customer accounts. If we are unable to timely collect accounts receivable from our customers or detect fraudulent self-service customer accounts in a timely manner, our business will be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Failure to effectively develop and expand our marketing and sales capabilities could harm our ability to increase our customer base and achieve broader market acceptance of our platform.</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historically benefited from word-of-mouth and other organic marketing to attract new customers. Through this word-of-mouth marketing, we have been able to build our brand with relatively low marketing and sales costs. This strategy has allowed us to build a substantial customer base and community of users who use our products and act as advocates for our brand and our platform, often within their own corporate organizations. However, our ability to further increase our customer base and achieve broader market acceptance of our products will significantly depend on our ability to expand our marketing and sales operations. We plan to continue expanding our sales force and strategic partners, both domestically and internationally. We also plan to continue to dedicate significant resources to sales, marketing, and demand-generation programs, including various online marketing activities as well as targeted account-based marketing. The effectiveness of our targeted account-based marketing has varied over time and may vary in the future. All of these efforts will require us to invest significant financial and other resources and if they fail to attract additional customers, our business will be harmed. We have also used a strategy of offering free accounts on our platform in order to strengthen our relationship and reputation within the developer community by providing these developers with the ability to familiarize themselves with our platform without first becoming a paying customer. However, these developers may not perceive value in the additional benefits and services we offer beyond the free accounts and may choose not to pay for those additional benefits. In addition, we may be subject to potential liabilities, including litigation, as a result of our free account users' use of our network. Moreover, some existing paying customers may choose not to renew their commitment with us in favor of relying on the free version of our platform. Most free accounts do not convert to paid versions of our platform, and to date, only a few users who have converted to paying customers have gone on to generate meaningful revenue. If our other lead generation methods do not result in broader market acceptance of our platform and the users of free versions of our platform do not become, or are unable to convince their organizations to become, paying customers, or if paying customers choose to convert to the free versions of our platform, we will not realize the intended benefits of this strategy, and our business will be harmed.</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there is significant competition for sales personnel, including sales representatives, sales managers, and sales engineers, with the skills and technical knowledge that we require. Our ability to achieve significant revenue growth will depend, in large part, on our success in recruiting, training, incentivizing, and retaining sufficient numbers of sales personnel to support our growth. New hires require significant training and may take significant time before they achieve full productivity. Our recent hires may not become productive as quickly as we expect, if at all, and we may be unable to hire or retain sufficient numbers of qualified individuals in the markets where we do business or plan to do business. In addition, particularly if we continue to grow rapidly, new members of our sales force will have relatively little experience working with us, our platform, and our business model. If we are unable to hire and train sufficient numbers of effective sales personnel, our sales personnel do not reach significant levels of productivity in a timely manner, our sales personnel are not effectively incentivized, or our sales personnel are not successful in acquiring new customers or expanding usage by existing customers, our business will be harmed.</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markets in which we participate are competitive, and if we do not compete effectively, our business will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for cloud computing platforms, particularly enterprise grade products, is highly fragmented, competitive, and constantly evolving. With the introduction of new technologies and market entrants, we expect that the competitive environment in which we compete will remain intense going forward. Legacy CDN platform solutions like Akamai, application and API security vendors like Akamai, Cloudflare, F5, and Thales (Imperva), and Point CDN players like Bunny CDN, CDNetworks, CDN77, and Qwilt offer products that compete with ours. We also compete with CDN providers that also offer serverless edge compute functionality like Akamai and Cloudflare, public cloud providers that have added CDN and WAF capabilities like Amazon Web Services (AWS), Google Cloud Platform (GCP), and Microsoft (Azure), and traditional on-premise data center appliance vendors for load balancing, WAF, and/or DDoS like F5, Thales (Imperva), and Radware. Some of our competitors have made or may make acquisitions or may enter into partnerships or other strategic relationships that may provide more comprehensive offerings than they individually had offered. Such acquisitions or partnerships may help competitors achieve greater economies of scale than us. In addition, new entrants not currently considered to be competitors may enter the market through acquisitions, partnerships, or strategic relationships. We compete on the basis of a number of factors, including:</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our platform’s functionality, scalability, performance, ease of use, ease of integration and programmability, reliability, security availability, and cost effectiveness relative to that of our competitors’ products and services;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global network coverage and availability;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support modern application development processes and utilize new and proprietary technologies to offer services and features previously not available in the marketplace;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identify new markets, applications, and technologies;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attract and retain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brand, reputation, and trustworthiness;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credibility with developers;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quality of our customer support;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our ability to recruit software engineers and sales and marketing personnel;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protect our intellectual property;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identify opportunities for acquisitions and strategic relationships and successfully execute on them.</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face substantial competition from legacy CDNs, small business-focused CDNs, cloud providers, and traditional data center and appliance vendors. In addition, existing customers have transitioned or notified us of their intent to transition, and existing and potential customers may in the future transition, off of our platform, or may limit their use, because they pursue a “do-it-yourself” approach to develop their own CDN by putting in place equipment, software, and other technology products for content and application delivery within their internal systems; enter into relationships directly with network providers instead of relying on an overlay network like ours; or implement multi-vendor policies to reduce reliance on external providers like us.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competitors vary in size and in the breadth and scope of the products and services offered. Many of our competitors and potential competitors have greater name recognition, longer operating histories, more established customer relationships and installed customer bases, larger marketing budgets, and greater resources than we do. While some of our competitors provide a platform with applications to support one or more use cases, many others provide point-solutions that address a single use case. Other potential competitors not currently offering competitive applications may expand their product offerings, and our current customers may develop their own products or features, to compete with our offerings. Our competitors may be able to respond more quickly and effectively than we can to new or changing opportunities, technologies, standards, and customer requirements. An existing competitor or new entrant could introduce new technology that reduces demand for our platform. In addition to application and technology competition, we face pricing competition. Some of our competitors offer their applications or services at a lower price, which has resulted in pricing pressures. Some of our larger competitors have the operating flexibility to bundle competing applications and services with other offerings, including offering them at a lower price or for no additional cost to customers as part of a larger sale of other products. For all of these reasons, we may not be able to compete successfully and competition could result in the failure of our platform to achieve or maintain market acceptance, the market for our edge cloud platform may grow more slowly than we anticipate, any of which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maintain and enhance our brand, our ability to expand our customer base will be impaired and our business, results of operations and financial condition may suffer.</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brand is important to continued market acceptance of our existing and future products, attracting new customers, and retaining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products, and our ability to successfully differentiate our platform from competitive products and services. Additionally, our brand and reputation may be affected if customers do not have a positive experience with our partners’ services. Our brand promotion activities may not generate customer awareness or yield increased revenue, and even if they do, any increased revenue may not offset the expenses we incurred in building our brand. If we fail to successfully promote and maintain our brand, our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pPr>
      <w:r>
        <w:rPr>
          <w:rFonts w:ascii="Times New Roman;serif" w:hAnsi="Times New Roman;serif"/>
          <w:b/>
          <w:i/>
          <w:color w:val="000000"/>
          <w:sz w:val="20"/>
        </w:rPr>
        <w:t>Acquisitions, strategic investments, partnerships, or alliances could be difficult to identify and integrate, divert the attention of management, disrupt our business, and dilute stockholder value</w:t>
      </w:r>
      <w:r>
        <w:rPr>
          <w:rFonts w:ascii="Times New Roman;serif" w:hAnsi="Times New Roman;serif"/>
          <w:b w:val="false"/>
          <w:color w:val="000000"/>
          <w:sz w:val="20"/>
        </w:rPr>
        <w: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in the past acquired, and we may in the future seek to acquire or invest in, businesses, products, or technologies that we believe could complement or expand our platform, enhance our technical capabilities, or otherwise offer growth opportunities. The pursuit of potential acquisitions may divert the attention of management and cause us to incur various expenses in identifying, investigating, and pursuing acquisitions, whether or not such acquisitions are completed. In addition, we have limited experience in acquiring other businesses, and we may not successfully identify desirable acquisition targets or, when we acquire additional businesses, we may not be able to integrate them effectively following the acquisition. Acquisitions could also result in dilutive issuances of equity securities or the incurrence of debt, which could adversely affect our operating results, may cause unfavorable accounting treatment, may expose us to claims and disputes by third parties, including intellectual property claims, and may not generate sufficient financial returns to offset additional costs and expenses related to the acquisitions. We may also incur significant, and sometimes unanticipated costs in connection with these acquisitions or in integration with our business. In addition, if an acquired business fails to meet our expectations or we do not realize sufficient value, our business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it is possible that there could be a loss of our existing or any acquired company’s key employees and customers, disruption of either company’s or both companies’ ongoing businesses or unexpected issues, higher than expected costs and an overall post-completion process that takes longer than originally anticipated. Specifically, the following issues, among others, must be addressed in combining any company’s operations with ours in order to realize the anticipated benefits of the acquisition so the combined company performs as the parties hope:</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combining the companies’ corporate functions;</w:t>
      </w:r>
    </w:p>
    <w:p>
      <w:pPr>
        <w:pStyle w:val="TextBody"/>
        <w:bidi w:val="0"/>
        <w:spacing w:lineRule="auto" w:line="276" w:before="0" w:after="240"/>
        <w:ind w:left="0" w:right="0" w:hanging="360"/>
        <w:jc w:val="left"/>
        <w:rPr/>
      </w:pPr>
      <w:r>
        <w:rPr>
          <w:color w:val="000000"/>
        </w:rPr>
        <w:t>•</w:t>
      </w:r>
      <w:r>
        <w:rPr>
          <w:rFonts w:ascii="Times New Roman;serif" w:hAnsi="Times New Roman;serif"/>
          <w:b w:val="false"/>
          <w:color w:val="000000"/>
          <w:sz w:val="20"/>
        </w:rPr>
        <w:t>combining their business with our business in a manner that permits us to achieve the synergies anticipated to result from the acquisition, the failure of which would result in the anticipated benefits of the acquisition not being realized in the time frame currently anticipated or at all;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maintaining existing and new agreements with customers, service providers, and vendors;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determining whether and how to address possible differences in corporate cultures, management philosophies and strategies relating to channels, resellers, and partners;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integrating the companies’ administrative and information technology infrastructure;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developing products and technology that allow value to be unlocked in the future;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evaluating and forecasting the financial impact of the acquisition transaction, including accounting impacts.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address any of the above listed issues could have a material adverse effect on our business, results of operations and financial position. In addition, at times the attention of certain members of our management and resources may be focused on completion of the acquisition and integration planning of the businesses of the two companies and diverted from day-to-day business operations, which may disrupt our ongoing business and the business of the combined company.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and may in the future be, involved in class-action lawsuits and other litigation matters that are expensive and time-consuming. If resolved adversely, lawsuits and other litigation matters could seriously harm our business.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and may in the future be, subject to litigation such as putative class action and stockholder derivative lawsuits brought by stockholders. For example, on May 24, 2024, we and certain of our officers were named as defendants in putative securities class action filed in the United States District Court for the Northern District of California purportedly brought on behalf of holders of our common stock. On November 1, 2024, the lead plaintiff filed an amended complaint. On June 12, 2024 and July 1, 2024, stockholder derivative complaints were filed in the United States District Court for the Northern District of California against certain of our officers and directors based on substantially similar allegations as those in the putative securities class action. These two shareholder derivative actions have been consolidated and stayed pending resolution of our motion(s) to dismiss in the securities class action. On August 23, 2024 and December 20, 2024, substantially similar stockholder derivative complaints were filed against certain of our officers and directors in the United States District Court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District of Delaware and the Court of Chancery for the State of Delaware. These two shareholder derivative actions have also been stayed pending resolution of our motion(s) to dismiss in the above-referenced putative securities class action.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Defendants filed a motion to dismiss the putative securities class action on January 15, 2025. The lead plaintiff filed an opposition to defendants’ motion to dismiss on March 17, 2025. Defendants filed a reply in support of the motion to dismiss on April 30, 2025. On September 24, 2025, the court issued an order granting in part and denying in part the motion to dismiss. On October 24, 2025, the lead plaintiff filed a second amended complaint. On December 9, 2025, Defendants filed a motion to dismiss the second amended complaint. On January 26, 2026, Lead Plaintiff filed an opposition. Defendants filed a reply in support of the motion to dismiss the second amended complaint on February 19, 2026. A hearing is scheduled for April 30, 2026 on Defendants’ motion to dismiss the second amended complaint. We anticipate that we may be a target for lawsuits in the future, as we have been in the past. Any litigation to which we are a party may result in an onerous or unfavorable judgment that may not be reversed on appeal, or we may decide to settle lawsuits on similarly unfavorable terms. Any such negative outcome could result in payments of substantial monetary damages and accordingly our business could be seriously harmed. The results of lawsuits and claims cannot be predicted with certainty. Regardless of the final outcome, defending these claims, and associated indemnification obligations, are costly and can impose a significant burden on management and employees, and we may receive unfavorable preliminary, interim, or final rulings in the course of litigation, which could seriously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scale our business quickly enough to meet our customers’ growing needs. If we are not able to grow efficiently, our business could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usage of our edge cloud computing platform grows and as the breadth of use cases for our platform expands, we will need to devote additional resources to improving our platform architecture, integrating with third-party applications and maintaining infrastructure performance. In addition, we will need to appropriately scale our processes and procedures that support our growing customer base, including increasing our number of POPs around the world and investments in systems, training, and customer support.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failure of or delay in these efforts could cause impaired system performance and reduced customer satisfaction. These issues could reduce the attractiveness of our platform to customers, resulting in decreased sales to new customers, lower renewal rates by existing customers, the issuance of service credits, or requested refunds, which would hurt our revenue growth and our reputation. Even if we are able to upgrade our systems and expand our staff, any such expansion will be expensive and complex, and require the dedication of significant management time and attention. We could also face inefficiencies or operational failures as a result of our efforts to scale our cloud infrastructure, such as by over investing in systems and equipment to support anticipated growth in our platform. We cannot be sure that the expansion and improvements to our cloud infrastructure will be effectively implemented on a timely basis, if at all, and such failures would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have insufficient transmission bandwidth and colocation space, which could result in disruptions to our platform and loss of revenue.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are dependent in part upon transmission bandwidth provided by third-party telecommunications network providers and access to colocation facilities to house our servers. There can be no assurance that we are adequately prepared for unexpected increases in bandwidth demands by our customers, particularly when customers experience cyber-attacks. The bandwidth we have contracted to purchase may become unavailable for a variety of reasons, including service outages, payment disputes, network providers going out of business, natural disasters, extreme weather events, networks imposing traffic limits, or governments adopting regulations that impact network operations. In some regions, bandwidth providers have their own services that compete with us, or they may choose to develop their own services that will compete with us. These bandwidth providers may become unwilling to sell us adequate transmission bandwidth at fair market prices, if at all. This risk is heightened where market power is concentrated with one or a few major networks. We also may be unable to move quickly enough to augment capacity to reflect growing traffic or security demands. Failure to put in place the capacity we require could result in a reduction in, or disruption of, service to our customers and ultimately a loss of those customers. Such a failure could result in our inability to acquire new customers demanding capacity not available on our platform.</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nature of our business exposes us to inherent liability risks.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and related applications, including our security solutions, are designed to provide rapid protection against web application vulnerabilities and cyber-attacks. However, no security product can provide absolute protection against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vulnerabilities and cyber-attacks. Our platform is subject to cyber-attacks, and the failure of our platform and related applications to adequately protect against these cyber-attacks may allow our customers to be attacked. Any adverse consequences of these attacks, and our failure to meet our customers’ expectations as they relate to such attacks,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Due to the nature of our applications, we are potentially exposed to greater risks of liability for product or system failures than may be inherent in other businesses. Although substantially all of our customer agreements contain provisions that limit our liability to our customers, these limitations may not be sufficient, and we cannot assure you that these limitations will be enforced or the costs of any litigation related to actual or alleged omissions or failures would not have a material adverse effect on us even if we prevail.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dedication to our values may negatively influence our financial results.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taken, and may continue to take, actions that we believe are in the best interests of our customers, our employees, and our business, even if those actions do not maximize financial results in the short term. For instance, we do not knowingly allow our platform to be used by organizations with a primary objective to promote violence or hate speech, and that conflict with our values, including principles of integrity and trustworthiness, among others. In the past, we have removed customers from our platform who we believed took positions conflicting with these values, and we may continue to do so in the future. While we believe this is beneficial to the long term performance of our business, this approach may not result in the benefits that we expect, and our employees or third parties may disagree with our interpretation of our values, or take issue with how we execute on our values, which may result in us becoming a target for negative publicity, increased scrutiny, lawsuits, or network attacks, in which case our business could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growth depends in large part on the success of our partner relationships.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 partner ecosystem of companies who build edge applications to integrate with our platform. We are dependent on these partner relationships to amplify our reach and provide our customers with enhanced value from our platform. Our future growth may be dependent on the success of our partner relationships, including their development of useful applications for our platform. If those partnerships do not provide these benefits or if our partners are unable to serve our customers effectively, we may need to allocate resources internally to provide these services or our customers may not realize the full value of our platform, which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our partners’ business partners may not completely align with our core values and therefore may do business with companies that we otherwise would not do business with. Our association with these companies could damage our brand and reputation and potentially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operate in an emerging and evolving market, which may develop more slowly or differently than we expect. If our market does not grow as we expect, or if we cannot expand our services to meet the demands of this market, our revenue may decline, or fail to grow, and we may incur operating losses.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for edge computing is still developing. There is considerable uncertainty over the size and rate at which this market will grow, as well as whether our platform will be widely adopted. Our success will depend, to a substantial extent, on the widespread adoption of our platform as an alternative to other solutions, such as legacy CDNs, and CDNs focused on enterprise data centers, central cloud, and small businesses. Some organizations may be reluctant or unwilling to use our platform for a number of reasons, including concerns about additional costs, uncertainty regarding the reliability, and security of cloud-based offerings or lack of awareness of the benefits of our platform. Moreover, many organizations have invested substantial personnel and financial resources to integrate traditional on-premise services into their businesses, and therefore may be reluctant or unwilling to migrate to cloud-based services. Our ability to expand sales of our product into new and existing markets depends on several factors, including potential customer awareness of our platform; the timely completion of data centers in those markets; introduction and market acceptance of enhancements to our platform or new applications that we may introduce; our ability to attract, retain and effectively train sales and marketing personnel; our ability to develop relationships with partners; the effectiveness of our marketing programs; the pricing of our services; and the success of our competitors. If we are unsuccessful in developing and marketing our products in new and existing markets, or if organizations do not perceive or value the benefits of our platform, the market for our products might not continue to develop or might develop more slowly than we expect, either of which may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estimates of market opportunity and forecasts of market growth may prove to be inaccurate, and any real or perceived inaccuracies may harm our reputation and negatively affect our business. Even if the market in which we compete achieves the forecasted growth, our business could fail to grow at similar rates, if at all.</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Third-party market opportunity estimates and our growth forecasts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addressable companies or end users covered by our market opportunity estimates will purchase our products at all or generate any particular level of revenues for us. Even if the market in which we compete meets the size estimates and growth forecasted, our business could fail to grow for a variety of reasons, including reasons outside of our control, such as competition in our industry.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Usage of our platform accounts for substantially all of our revenue, and as a result, our operating results could suffer from a reduction in usage.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that we will be substantially dependent on our edge cloud platform to generate revenue for the foreseeable future. As a result, our operating results could suffer due to:</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any decline in demand for our edge cloud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failure of our edge cloud platform to achieve continued market acceptance;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market for edge cloud computing services not continuing to grow, or growing more slowly than we expect;</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introduction of products and technologies that serve as a replacement or substitute for, or represent an improvement over, our edge cloud platform;</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technological innovations or new standards that our edge cloud platform does not address;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sensitivity to current or future prices offered by us or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development of their own edge cloud platform;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inability to release enhanced versions of our edge cloud platform on a timely basis.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substantially all of our usage-based revenue is recognized at the time of use during the term of the relevant contract, downturns or upturns in sales contracts are not immediately reflected in full in our operating results.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market for our edge cloud platform grows more slowly than anticipated or if demand for our edge cloud platform does not grow as quickly as anticipated, whether as a result of competition, pricing sensitivities, product obsolescence, technological change, unfavorable economic conditions, uncertain geopolitical environment, budgetary constraints of our customers, or other factors, our business would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expect fluctuations in our financial results and key metrics, making it difficult to project future results, and if we fail to meet the expectations of securities analysts or investors, our stock price and the value of your investment could decline significantly.</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operating results, including revenue, gross margin and net income, as well as our key metrics, including our LTM NRR, have fluctuated in the past and are expected to fluctuate in the future due to a variety of factors, many of which are outside of our control. As a result, our past results may not be indicative of our future performance and period-to-period comparisons of our operating results and key metrics may not be meaningful or accurately measure our business. In addition to the other risks described herein, factors that may affect our operating results include the following:</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fluctuations in demand for or pricing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ability to attract new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ability to retain our existing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fluctuations in the usage of our platform by our customers, which is directly related to the amount of revenue that we recognize from our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fluctuations in customer delays in purchasing decisions in anticipation of new products or product enhancements by us or our competitors;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customers’ budgets and in the timing of their budget cycles and purchasing decisions;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timing of customer payments and any difficulty in collecting accounts receivable from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timing of new functionality of our existing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ability to control costs, including our operating expenses and transmission bandwidth pricing;</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amount and timing of payment for operating expenses, particularly research and development and sales and marketing expenses, including commissions;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amount and timing of costs associated with recruiting, training, and integrating new employees;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effects of acquisitions or other strategic transactions;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expenses in connection with acquisitions or other strategic transactions;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deploy POPs in new regions;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conditions, both domestically and internationally, as well as economic conditions specifically affecting industries in which our customers participate;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to maintain our key partnerships;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new accounting pronouncements;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competitive dynamics of our market, including consolidation among competitors or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security breaches of, technical difficulties with, or interruptions to, the delivery and use of our platform;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awareness of our brand and our reputation in our target markets.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certain large scale events, such as major elections and sporting events, can significantly impact usage of our platform, which could cause fluctuations in our results of operations. While increased usage of our platform during these events could result in increased revenue, these seasonal and one-time events could also impact the performance of our platform during those events and lead to a sub-optimal experience for some customers. Such annual and one-time events may cause fluctuations in our results of operations as they would impact both our revenue and our operating expenses.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 foregoing and other factors may cause our results of operations to vary significantly. Furthermore, if our quarterly results of operations or our guidance fall below the expectations of investors and securities analysts who follow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stock, the price of our common stock could decline substantially, and our business could be harmed. We cannot assure you that our operating results or projected operating results will meet the expectations of market analysts or our investors.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pricing models subject us to various challenges that could make it difficult for us to derive sufficient value from our customers, and we do not have sufficient history with our pricing models to accurately predict the optimal pricing necessary to attract new customers and retain existing customers.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generally charge our customers for their usage of our platform based on the combined total usage, as well as the features and functionality enabled. Additionally, once our product is purchased, customers can also buy a combination of our add-on products. We do not know whether our current or potential customers or the market in general will continue to accept this pricing model going forward and, if it fails to gain acceptance, our business could be harmed. We also generally purchase bandwidth from Internet service providers and server colocation space from third parties based on expected usage from our customers. Moreover, if our customers use our platform in a manner that is inconsistent with how we have purchased bandwidth, servers, and colocation space, our business could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limited experience with respect to determining the optimal prices for our products and, as a result, we have in the past changed our pricing model and expect that we may need to do so in the future, including as a result of inflationary pressures. In addition, during 2023 we introduced the option for customers to purchase product packages with single price points and set limits on usage. We generally do not charge for overages on these single price point product packages. This pricing model has been in place for a limited amount of time, and we do not know the impact it will have on our usage-based pricing model over time. As the market for our products matures, or as new competitors introduce new products or services that compete with ours, we may be unable to attract new customers at the same price or based on the same pricing models as we have used historically. Pricing decisions may also impact the mix of adoption among our customers and negatively impact our overall revenue. Moreover, larger organizations may demand substantial price concessions. As a result, in the future we may be required to reduce our prices or develop new pricing models, which could adversely affect our revenue, gross margin, profitability, financial position, and cash flow.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sales and onboarding cycles with customers can be long and unpredictable, and our sales and onboarding efforts require considerable time and expense.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timing of our sales with our enterprise customers and related revenue recognition is difficult to predict because of the length and unpredictability of the sales cycle for these customers. In addition, for our enterprise customers, the lengthy sales cycle for the evaluation and implementation of our products may also cause us to experience a delay between expenses for such sales efforts and the generation of corresponding revenue. The length of our sales cycle for these customers, from initial evaluation to payment, can range from several months to well over a year and can vary substantially from customer to customer. Similarly, the onboarding and ramping process with new enterprise customers, or with existing customers that are moving additional traffic onto our platform, can take several months. As the purchase of our products can be dependent upon customer initiatives, our sales cycle can extend to even longer periods of time. Customers often view a switch to our platform as a strategic decision requiring significant investment and, as a result, frequently require considerable time to evaluate, test, and qualify our products prior to entering into or expanding a contract commitment. During the sales cycle, we expend significant time and money on sales and marketing and contract negotiation activities, which may not result in a completed sale. Additional factors that may influence the length and variability of our sales cycle include:</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the effectiveness of our sales force, particularly new salespeople and sales leadership, as we increase the size of our sales force and train our new salespeople to sell to enterprise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discretionary nature of customers’ purchasing decisions and budget cycles;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customers’ procurement processes, including their evaluation of competing products;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economic conditions and other factors affecting customer budgets;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regulatory environment in which our customers operate;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integration complexity for a customer deployment;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customer’s familiarity with edge cloud computing platforms;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evolving customer demands; </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selling new products to enterprise customers;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competitive conditions.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these factors, it is difficult to predict whether and when a customer will switch to our platform.</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that it can take several months for our customers to ramp up their usage of our platform, during that time, we may not be able to generate enough revenue from a particular customer or that customer may not increase their usage in a meaningful way. Moreover, because the switching costs are fairly low, our customers are able to switch from our platform to alternative services relatively easily. As a result, actual usage could be materially below our forecasts, which could adversely affect our results of operations, disappoint analysts and investors, or cause our stock price to decline.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platform does not achieve sufficient market acceptance, our financial results and competitive position will suffer.</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meet our customers’ rapidly evolving demands, we invest substantial resources in research and development of enhanced products to incorporate additional functionality or expand the use cases that our platform addresses. Maintaining adequate research and development resources, such as the appropriate personnel and development technology, to meet the demands of the market is essential. If we are unable to develop products internally due to inadequate or ineffective research and development resources, we may not be able to address our customers’ needs on a timely basis or at all. In addition, if we seek to supplement our research and development capabilities or the breadth of our products through acquisitions, such acquisitions could be expensive and we may not successfully integrate acquired technologies or businesses into our business. When we develop or acquire new or enhanced products, we typically incur expenses and expend resources upfront to develop, market, promote, and sell the new offering. Therefore, when we develop or acquire and introduce new or enhanced products, they must achieve high levels of market acceptance in order to justify the amount of our investment in developing or acquiring and bringing them to market. Our new products or enhancements and changes to our existing products could fail to attain sufficient market acceptance for many reasons, including:</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failure to predict market demand for functionality accurately and a failure to supply products that meet this demand in a timely fashion;</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defects, errors, or failures;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negative publicity about our platform’s performance or effectiveness;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the legal or regulatory requirements, or increased legal or regulatory scrutiny, adversely affecting our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emergence of a competitor that achieves market acceptance before we do;</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delays in releasing enhancements to our platform to the market;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introduction or anticipated introduction of competing products by our competitors.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platform and any future enhancements do not achieve adequate acceptance in the market, or if products and technologies developed by others achieve greater acceptance in the market, our business could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Beyond overall acceptance of our platform by our customers, it is important that we maintain and grow acceptance of our platform among the developers that work for our customers. We rely on developers to choose our platform over other options they may have, and to continue to use and promote our platform as they move between companies. These developers often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make design decisions and influence the product and vendor processes within our customers. If we fail to gain or maintain their acceptance of our platform, our business would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rely on third-party providers that may be difficult to replace.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third-party services such as Amazon Web Services (AWS), Google Cloud Platform (GCP), Microsoft (Azure), and other cloud providers such as object storage providers, that facilitate our platform. Some of these third-party services offer competing products to ours and therefore may not continue to be available on commercially reasonable terms, or at all. These providers may be unwilling to do business with us if they view our platform as a threat. Any loss of the right to use any of these third-party providers could impair our ability to offer our platform and harm our business until we are able to obtain alternative providers.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business is exposed to risks associated with credit card and other online payment processing methods.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customers pay for our service using a variety of different payment methods, including credit and debit cards, prepaid cards, direct debit, and online payment applications and wallets. We rely on internal systems as well as those of third parties to process payments. Acceptance and processing of these payment methods are subject to certain rules and regulations and require payment of interchange and other fees. If we fail to comply with applicable rules and regulations, we may be subject to fines or higher transaction fees, and may lose our ability to accept online payments or other payment card transactions, or fees may increase over time, both of which would adversely affect our revenue, operating results, and financial condition. In addition, from time to time, we encounter fraudulent use of payment methods, which could impact our results of operations and if not adequately controlled and managed could create negative consumer perceptions of our service. If we are unable to maintain our chargeback rate at acceptable levels, card networks may impose fines and our card approval rate may be impacted. If we fail to adequately control fraudulent credit card transactions, we may face civil liability, reputational harm, and significantly higher credit card-related costs, each of which could harm our business, results of operations and financial condition.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do not or cannot maintain the compatibility of our platform with third-party applications that our customers use in their businesses, our business will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functionality and popularity of our platform depends, in part, on our ability to integrate our platform and applications with third-party applications our customers choose to use with our platform. These third parties may change the features of their technologies, restrict our access to their applications, or alter the terms governing use of their applications in a manner that is adverse to our business. Such changes could functionally limit or prevent our ability to use these third-party technologies in conjunction with our platform, which would negatively affect adoption of our platform and harm our business. If we fail to integrate our platform with new third-party applications that our customers use, we may not be able to offer the functionality that our customers need, which would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provide service level commitments under our customer agreements. If we fail to meet these contractual commitments, we could be obligated to provide credits for future service, or face contract termination with refunds of prepaid amounts, which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our customer agreements contain service level commitments. If we are unable to meet the stated service level commitments, including failure to meet the uptime and delivery requirements under our customer agreements, we may be contractually obligated to provide the affected customers with service credits which could significantly affect our revenues in the periods in which the uptime and delivery failure occurs and the credits are applied. In the past, as a result of degradation of service and interruptions to our platform, we have provided service credits to certain of our affected customers with whom we had service level commitments. We could also face customer terminations with refunds of prepaid amounts, which could significantly affect both our current and future revenues. Any service level failures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fail to offer high quality support, our business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customers rely on our support team to assist them in deploying our products effectively and resolve technical and operational issues. High-quality support is important for the renewal and expansion of our agreements with existing customers. The importance of maintaining high quality support will increase as we expand our business and pursue new customers. If we do not help our customers quickly resolve issues and provide effective ongoing support, our ability to maintain and expand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relationships with existing and new customers could suffer and our business could be harmed. Further, increased demand for customer support, without corresponding revenue, could increase costs and adversely affect our business. In addition, as we continue to grow our operations and expand internationally, we will need to be able to provide efficient customer support that meets our customers’ needs globally at scale and our customer support team will face additional challenges, including those associated with delivering support and documentation in multiple languages. Our failure to do so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Scrutiny relating to environmental, social and governance factors may impose additional costs and expose us to new risks.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is an ongoing focus from certain investors, employees, customers, policymakers, and other stakeholders concerning companies' management of various environmental, social, and governance matters (“ESG”), such as climate change and human capital. Any initiatives, including disclosures, that we engage in to improve our ESG profile and respond to stakeholder expectations may be costly and may not have the desired effect. For example, while we have established a sustainability program focused on emissions quantification, disclosure and reduction initiatives, as climate-related regulatory regimes and stakeholder expectations continue to evolve, we may need to undertake additional measures to comply with new regulations and expectations, which could adversely affect our operating results in future periods. In addition, many ESG initiatives leverage methodologies and data that continue to evolve. As with other companies, our approach to such matters also evolves, and we cannot guarantee that our approach will align with any particular stakeholder’s expectations or preferences. Moreover, various stakeholders have different, and at times conflicting expectations. For example, while some policymakers (such as the State of California and the European Union) have adopted requirements for various disclosures or actions on environmental and social matters, policymakers in other jurisdictions have sought to constrain companies’ consideration of such matters in certain circumstances. Proponents and opponents of such matters are increasingly resorting to activism, including litigation, to advance their perspectives. Various capital providers and customers also incorporate ESG matters into their investment and procurement considerations. Addressing stakeholder expectations or requirements entails costs and any failure to successfully navigate such expectations, as well as evolving interpretations of any existing governmental laws or requirements, may result in reputational harm, loss of customers or contracts, regulatory or investor engagement, or other adverse impacts to our business. Such risks may also be augmented based on relative performance, both against any initiatives or goals we communicate as well as in comparison to our competitors. Various of our stakeholders are also subject to similar pressures, which may result in additional or novel risks.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Employees and Managing Our Growth</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failure to attract and retain qualified personnel could prevent us from executing our business strategy.</w:t>
      </w:r>
    </w:p>
    <w:p>
      <w:pPr>
        <w:pStyle w:val="TextBody"/>
        <w:bidi w:val="0"/>
        <w:spacing w:lineRule="auto" w:line="268" w:before="0" w:after="240"/>
        <w:ind w:left="0" w:right="0" w:firstLine="540"/>
        <w:jc w:val="left"/>
        <w:rPr/>
      </w:pPr>
      <w:r>
        <w:rPr>
          <w:rFonts w:ascii="Times New Roman;serif" w:hAnsi="Times New Roman;serif"/>
          <w:b w:val="false"/>
          <w:color w:val="000000"/>
          <w:sz w:val="20"/>
        </w:rPr>
        <w:t>To execute our business strategy, we must attract and retain highly qualified personnel. Competition for executive officers, software developers, sales personnel, product managers, and other key employees in our industry is intense. In particular, we compete with many other companies for software developers with high levels of experience in designing, developing, and managing cloud-based software, including products with AI capabilities, as well as for skilled sales, operations, and security professionals. In addition, we believe that the success of our business and corporate culture depends on employing people with a variety of backgrounds and experiences, and the competition for such personnel is significant. The market for such talented personnel is competitive. Many of the companies with which we compete for experienced personnel have greater resources than we do and can frequently offer such personnel substantially greater compensation than we can offer, including, in some cases, large equity packages and cash incentive bonuses.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In order to manage attrition, including as a result of stock price decreases and market volatility on the perceived value of our equity awards, we have issued, and may continue to issue, additional equity awards and increased cash compensation to attract and retain employees, which may impact our results of operations or be dilutive to stockholders. Moreover, the increase in the number of equity awards has reduced the number of shares available for us to grant under our equity incentive plan. We also face significant competition in hiring and attracting qualified employees in all aspects of our business, and the move by companies to offer a remote or hybrid work environment has increased the competition for such employees.</w:t>
      </w:r>
      <w:r>
        <w:rPr>
          <w:color w:val="000000"/>
        </w:rPr>
        <w:t xml:space="preserve"> </w:t>
      </w:r>
      <w:r>
        <w:rPr>
          <w:rFonts w:ascii="Times New Roman;serif" w:hAnsi="Times New Roman;serif"/>
          <w:b w:val="false"/>
          <w:color w:val="000000"/>
          <w:sz w:val="20"/>
        </w:rPr>
        <w:t xml:space="preserve">If we fail to attract new personnel or fail to retain and motivate our current personnel, our ability to maintain and enhance our platform, develop and deliver new products, fix bugs, support our existing customers, attract new customers, respond to competitive pressures, and otherwise execute our business plan would be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rely on the performance of highly skilled personnel, including our senior management and other key employees, and the loss or transition of one or more of such personnel, or of a significant number of our team members, could harm our business.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our success has depended, and continues to depend, on the efforts and talents of senior management and key employees, including Artur Bergman, our Chief Technology Officer. There have been, and from time to time, there may continue to be, changes in our management team resulting from the hiring or departure of executives and key employees, or the transition of executives within our business, which could disrupt our business. For example, Charles Compton began serving as our new Chief Executive Officer, replacing Todd Nightingale, effective June 16, 2025. Such changes in our executive management team may be disruptive to our business. Some of our executive officers and members of our management team have been with us for a short period of time and we continue to develop key functions within various aspects of our business. We are also dependent on the continued service of our existing software engineers because of the complexity of our platform. Our senior management, including Mr. Compton and Mr. Bergman, and key employees are employed on an at-will basis. We cannot ensure that we will be able to retain the services of any member of our senior management or other key employees or that we would be able to timely replace members of our senior management or other key employees should any of them depart. The loss of one or more of our senior management or other key employees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past growth may not be indicative of our future growth and we may not be able to manage our growth effectively.</w:t>
      </w:r>
    </w:p>
    <w:p>
      <w:pPr>
        <w:pStyle w:val="TextBody"/>
        <w:bidi w:val="0"/>
        <w:spacing w:lineRule="auto" w:line="276"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growth in various aspects of our business in prior periods. For example, for the years ended December 31, 2025, 2024, and 2023, our revenue was $624.0 million, $543.7 million, and $506.0 million, respectively. In addition, we are expanding, and expect to continue to expand in the future, our international operations. We have also experienced growth in the number of customers, usage, and amount of data delivered across our platform. This growth has placed, and may continue to place, significant demands on our corporate culture, operational infrastructure, and management. Although our business has experienced growth in the past, we cannot provide any assurance that our business will continue to grow at the same rate, or at all. Overall growth of our business depends on a number of factors, including our ability to:</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address new and developing markets, such as large enterprise customers outside the United States;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recruit, hire, train, and manage additional qualified engineers and product managers;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recruit, hire, train, and manage additional sales and marketing personnel;</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maintain and enhance our corporate culture;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expand our international operations;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establish more mature organizational designs and structures, with more skill, technical and leadership depth with experience scaling and expanding global businesses;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implement and improve our administrative, financial and operational systems, procedures, and controls;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attract new customers and increase our existing customers’ usage on our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expand the functionality and use cases for the products we offer on our platform;</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provide our customers with customer support that meets their needs; </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successfully identify and acquire or invest in businesses, products, or technologies that we believe could complement or expand our products; and </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recruit experienced leaders and strategists to facilitate successful acquisitions and integrations.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not successfully accomplish any of the above objectives. We expect to continue to expend substantial financial and other resources 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sales and marketing, including a significant expansion of our sales organization;</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infrastructure, including POP deployments, systems architecture, management tools, scalability, availability, performance, and security, as well as business continuity measures;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product development, including investments in our product development team and the development of new products and new functionality for our existing products;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acquisitions or strategic investments;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international expansion;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general administration, including legal and accounting expenses associated with being a public company.</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activities will require significant investments and allocation of valuable management and employee resources, and our growth will continue to place significant demands on our management and our operational and financial infrastructure. There are no guarantees we will be able to grow our business in an efficient or timely manner, or at all. If we fail to manage the growth of our business and operations effectively, the quality of our services and the efficiency of our operations could suffer, which could adversely affect our business, financial condition, and results of operations. If we are unable to return to our prior level of growth, our business will be harmed.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past rapid growth may make it difficult to evaluate our future performance. Our ability to forecast our future results of operations is subject to a number of uncertainties. If we fail to achieve the necessary level of efficiency in our company as it grows, or if we are not able to accurately forecast future growth, our business would be negatively impacted.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cannot maintain our company culture as we grow, our success and our business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our culture has been a key contributor to our success to date and that the critical nature of the products that we provide promotes a sense of greater purpose and fulfillment in our employees. Any failure to preserve our culture could negatively affect our ability to recruit and retain personnel and to effectively focus on and pursue our corporate objectives. As we grow, we may find it difficult to maintain these important aspects of our culture. In addition, while we have historically benefited from having a dispersed workforce, as we have grown and our resources have become more globally dispersed and our organizational management structures have become more complex, we have found it increasingly difficult to maintain these beneficial aspects of our corporate culture. In addition, we may seek to acquire or invest in businesses, products or technologies with differing corporate cultures that could be difficult to integrate. If we fail to maintain our company culture, our business may be harmed.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timely raise capital in the future may be limited, or may be unavailable on acceptable terms, if at all, and debt or equity issued to raise additional capital may reduce the value of our common stock.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funded our operations since inception primarily through payments received from our customers, sales of equity and debt securities, and borrowings under our credit facilities. We cannot be certain when or if our operations will generate sufficient cash to fully fund our ongoing operations or the growth of our business, or our debt obligations. We also intend to continue to make investments to support our business and may require additional funds to do so. Our future capital requirements may vary materially from those currently planned and will depend on many factors, including our growth rate, our operating cash flow, market acceptance of our platform, the expansion of sales and marketing activities, strategic transactions, as well as overall economic conditions. </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need to engage in equity or debt financings to secure additional funds, in particular if we are required to repay our outstanding convertible notes in cash. Additional financing may not be available on favorable terms, if at all, and the terms of our existing Senior Secured Credit Facilities Credit Agreement, dated as of February 16, 2021, with the lenders from time to time party thereto and Silicon Valley Bank, a division of First-Citizens Bank &amp; Trust Company (as amended, restated,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supplemented, restructured, or otherwise modified from time to time, the “Credit Agreement”) limits our ability to incur additional debt.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adequate funds are not available on acceptable terms, we may be forced to reduce or delay our business activities and capital expenditures, unable to invest in future growth opportunities, sell assets, or restructure or refinance all or a portion of our debt on or before maturity, all of which could harm our business, operating results, and financial condition. Furthermore, if we issue additional equity securities, stockholders will experience dilution, and the new equity securities could have rights senior to those of our common stock. Any debt financing we secure may have higher interest rates and could involve additional restrictive covenants relating to our capital raising activities and other financial and operational matters, which may make it more difficult for us to obtain additional capital and to pursue business opportunities, including potential acquisitions. If we were to violate the covenants under our Credit Agreement or any additional restrictive covenants, we could incur penalties, increased expenses and an acceleration of the payment terms of our outstanding debt, which could in turn materially harm our business and financial condition. Because our decision to issue securities in future offerings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Seasonality may cause fluctuations in our sales and operating results.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and expect to continue to experience in the future, seasonality in our business, and our operating results and financial condition may be affected by such trends in the future. We generally experience seasonal fluctuations in demand for our platform. For example, we have some customers who increase their usage and requests when they need more capacity during busy periods, especially in the fourth quarter of the year, and then subsequently scale back. Some of our customers host certain large-scale events, such as sporting events or coverage of major elections, increasing their usage on a seasonal or one-time basis which can cause revenue to fluctuate between the periods in which these events occur and subsequent periods. Since we built our network to handle seasonal capacity fluctuations, we may not be able to reduce our capacity in a timely manner, and as such sustain more costs that may not be tied to traffic demand. We believe that the seasonal trends that we have experienced in the past may continue for the foreseeable future, particularly as we expand our sales to larger enterprises. To the extent we experience this seasonality, it may cause fluctuations in our operating results and financial metrics, and make forecasting our future operating results and financial metrics difficult. Additionally, we do not have sufficient experience in selling certain of our products to determine if demand for these products is, or will be, subject to material seasonality.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current operations are international in scope and we plan on further geographic expansion, creating a variety of operational challenges.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component of our growth strategy involves the further expansion of our operations and customer base internationally. For the year ended December 31, 2025, the percentage of revenue generated from customers outside the United States was 25% of our total revenue. We continue to adapt to and develop strategies to address international markets but there is no guarantee that such efforts will have the desired effect. As of December 31, 2025, approximately 23% of our full-time employees were located outside of the United States. We expect that our international activities will grow over the foreseeable future as we continue to pursue opportunities in existing and new international markets, which will require significant management attention and financial resources. In connection with such expansion, we may face difficulties including costs associated with varying seasonality patterns, potential adverse movement of currency exchange rates, longer payment cycles, difficulties in collecting accounts receivable in some countries, tariffs and trade barriers, a variety of regulatory or contractual limitations on our ability to operate, adverse tax events, reduced protection of intellectual property rights in some countries, and a geographically and culturally diverse workforce and customer base. Failure to overcome any of these difficulties could harm our business. Our current and future international business and operations involve a variety of risks, including:</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changes in a specific country’s or region’s political or economic conditions;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longer payment cycles;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greater difficulty collecting accounts receivable;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potential or unexpected changes in trade relations, regulations, or laws, including as a result of tariffs imposed by the current administration;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increased regulatory inquiry or oversight;</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more stringent regulations relating to privacy and data security and the unauthorized use of, or access to, commercial and personal information, particularly in Europe;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differing labor regulations, especially in Europe and Japan, where labor laws are generally more advantageous to employees as compared to the United States, including deemed hourly wage and overtime regulations in these locations, and where potential labor organizing and works council negotiations in certain of those countries could contribute to increased operational costs or otherwise disrupt our business;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challenges to our corporate culture resulting from a dispersed workforce;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increased travel, real estate, infrastructure, and legal costs associated with international operations;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challenges related to providing support and developing products in foreign languages;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laws and business practices favoring local competitors or general market preferences for local vendors;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potential tariffs and trade barriers;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limited or insufficient scope, strength, and enforcement of intellectual property rights;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political instability, economic sanctions, terrorist activities, or global conflicts and developments, including, but not limited to, ongoing conflicts between Russia and Ukraine and in the Middle East, which may impact the operations of our business or the businesses of our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inflationary pressures, such as those the global market is currently experiencing, labor shortages, and supply chain disruptions, which may increase costs for certain services;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exposure to liabilities under anti-corruption and anti-money laundering laws, and similar laws and regulations in other jurisdictions;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adverse tax burdens and foreign exchange controls that could make it difficult to repatriate earnings and cash.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any of the above risks materialize, it could harm our business and prospects. In addition, our limited experience in operating our business internationally increases the risk that any potential future expansion efforts that we may undertake will not be successful. If we invest substantial time and resources to further expand our international operations and are unable to do so successfully and in a timely manner, our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estimates prove to be incorrect, our results of operations could be adversely affected.</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in the United States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those related to revenue, accounts receivable and related reserves, fair value of assets acquired and liabilities assumed for business combinations, useful lives and realizability of long-lived assets including our goodwill and intangible assets, income tax reserves, and accounting for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certain interim goodwill assessments performed during 2025, we performed our annual goodwill assessment as of October 1, 2025, and in each such case concluded it is not more likely than not that the fair value of our one single reporting unit is less than its carrying amount. Therefore, we determined that goodwill was not impaired and no impairment charge was recorded. Further declines in our market capitalization increase the risk that we may be required to perform a quantitative impairment analysis in subsequent periods, which could result in an impairment of up to the entire balance of our goodwill and other intangible assets. Any such impairment charge or write-off may have an adverse effect on our business, financial condition, and results of operation.</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Current and future indebtedness could restrict our operations, particularly our ability to respond to changes in our business or to take specified actions.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Credit Agreement contains, and any future indebtedness would likely contain, a number of restrictive covenants that impose significant operating and financial restrictions on us, including restrictions on our ability to incur additional indebtedness, grant liens, pay dividends and make distributions, transfer property, make investments, and take other actions that may otherwise be in our best interests. In addition, our Credit Agreement contains a financial covenant that requires us to maintain a consolidated adjusted quick ratio of at least 1.25 to 1:00 tested on a quarterly basis as well as a springing revenue growth covenant not to be less than 5% on a quarterly basis for certain periods if our consolidated adjusted quick ratio falls below 1:75 to 1:00 on the last day of any fiscal quarter. Our ability to meet these financial covenants can be affected by events beyond our control, and we may not be able to continue to meet those covenants. In addition, a breach of a covenant under our Credit Agreement or any other current or future indebtedness above certain thresholds may result in a cross-default under any such indebtedness. If we seek to incur additional indebtedness in the future, we may not be able to obtain debt or equity financing on terms that are favorable to us, if at all. Holders of our existing debt have, and holders of any future debt we may incur would have, rights senior to holders of common stock to make claims on our assets. In addition, the terms of our existing debt do, and the terms of any future debt could, restrict our operations, including our ability to pay dividends on our common stock.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maintain effective internal control over financial reporting in the future, investors may lose confidence in the accuracy and completeness of our financial reports, and the market price of our common stock may be seriously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required to maintain internal control over financial reporting and to report any material weaknesses in those internal controls. For example, we are required to perform system and process evaluation and testing of our internal control over financial reporting to allow management to report on the effectiveness of our internal control over financial reporting, as required by Section 404 of the Sarbanes-Oxley Act (“Section 404”). Our independent registered public accounting firm also needs to attest to the effectiveness of our internal control over financial reporting. We designed, implemented, and tested internal control over financial reporting required to comply with this obligation. That process is time-consuming, costly, and complicated.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detailed in Item 9A in our Annual Report on Form 10-K filed February 26, 2025, we and our independent registered public accounting firm identified a material weakness in our internal control related over financial reporting for the year ended December 31, 2024. This material weakness related to deficiencies in the design and operating effectiveness of controls within the revenue process. During the year ended December 31, 2025, we implemented remediation actions to address the material weakness in our internal controls, and as of December 31, 2025, this material weakness has been deemed remediated.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We continue to evaluate and take actions to improve our internal control over financial reporting, which includes but is not limited to hiring additional resources, to address control deficiencies.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our previous material weakness has been remediated, if we fail to identify future material weaknesses in our internal control over financial reporting, if we are unable to comply with the requirements of Section 404 or assert that our internal control over financial reporting is effective, or if our independent registered public accounting firm is unable to express an unqualified opinion or expresses a qualified or adverse opinion about the effectiveness of our internal control over financial reporting, investors may lose confidence in the accuracy and completeness of our financial reports and the market price of our common stock could be negatively affected. Moreover, any failure to identify new material weaknesses in our internal control over financial reporting, could result in material misstatements in our financial statements that may continue undetected and cause us to fail to meet our reporting and financial obligations or incur significant additional costs to remediate new material weaknesses, each of which could harm our ability to raise capital on favorable terms in the future or otherwise have a negative impact on our financial condition. In addition, we could become subject to investigations by The Nasdaq Stock Market LLC ("Nasdaq"), the SEC, and other regulatory authorities, which could require additional financial and management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successfully manage the growth of our business if we are unable to improve our internal systems, processes and controls.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need to continue to improve our internal systems, processes, and controls to effectively manage our operations and growth. We may not be able to successfully implement and scale improvements to our systems and processes in a timely or efficient manner or in a manner that does not negatively affect our operating results. For example, we may not be able to effectively monitor certain extraordinary contract requirements or provisions that are individually negotiated by our sales force as the number of transactions continues to grow. Moreover, as we continue to improve our pricing structure, we will need to implement and maintain corresponding updates to our systems around payment of sales commissions to account for these new or revised structures. We may experience difficulties in managing improvements to our systems, processes, and controls or in connection with third-party software, which could impair our ability to manage our business, pay sales commissions, or offer our platform to our customers in a timely manner, causing us to lose customers or employees, limit our growth, limit us to smaller deployments of our products, or increase our technical support costs. In addition, our systems and processes may not prevent or detect all errors, omissions, or fraud.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financial results may be adversely affected by changes in accounting principles applicable to us.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GAAP are subject to interpretation by the Financial Accounting Standards Board, the SEC, and other various bodies formed to promulgate and interpret appropriate accounting principles. A change in these principles or interpretations could have a significant effect on our reported financial results for periods prior to and subsequent to such change, and could affect the reporting of transactions completed before the announcement of a change.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 practices with respect to these new disclosures are continuously evolving, and securities analysts and investors may not fully understand the implications of our disclosures or how or why they may differ from similar disclosures by other companies. Any additional new accounting standards could have a significant effect on our reported results. If our reported results fall below analyst or investor expectations, our stock price could decline.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Laws, Regulations, and the Global Economy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Failure to comply with United States and foreign governmental laws and regulations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regulation by various federal, state, local, and foreign governments. If we do not comply with these laws or regulations or if we become liable under these laws or regulations due to the failure of our customers to comply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these laws, we could face direct liability or delivery of content by our platform may be blocked by certain governments. In certain jurisdictions, these regulatory requirements may be more stringent than those in the United States. For example, in June 2020, China passed a national security law for Hong Kong that imposes criminal liability for the violation of content regulations, and in March 2024, Hong Kong enacted the Safeguarding National Security Ordinance which further expanded the scope of criminal liability for acts such as the unlawful disclosure of state secrets and foreign interference. It is not clear how broadly such legislation will be interpreted or applied in relation to our customers or our business, and additional developments in the application of these laws could cause us to remove our POP from Hong Kong. Noncompliance with applicable regulations or requirements could subject us to investigations, sanctions, enforcement actions, disgorgement of profits, fines, damages, civil and criminal penalties, injunctions, reputational harm, or other collateral consequences.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services fees. Further, enforcement actions and sanctions could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the United States government prohibits our current or potential customers from doing business with us, whether through policy, regulations or laws, we could face direct liability or our delivery of content by our platform may be blocked. For example, in the current environment of economic trade negotiations and tensions between the Chinese and the United States governments, the United States government has expressed concerns about the ability of companies operating in China to do business in the United States or with United States companies. As a result, we could lose the ability to contract with current or potential customers and usage of our platform may decrease by affected customers, which could harm our business and reputation. Even in the absence of new restrictions or trade actions imposed by the United States or other governments, our customers that operate in China, target China as a market, or that have strong business ties to China, may take actions to reduce dependence on our platform, which could harm our business. In April 2024, under the prior administration, a bill was signed into law that would effectively ban TikTok in the United States if ByteDance, its China-based parent company, did not sell its stake in TikTok within a set time frame. Following a series of executive orders in 2025 that suspended enforcement of this law, on January 22, 2026, ByteDance announced the establishment of TikTok USDS Joint Venture LLC in compliance with the law to secure United States user data, apps, and the algorithm through data privacy and cybersecurity measures. TikTok was one of our largest customers for the year ended December 31, 2025 and remains a customer of ours. We do not know how the restructuring may impact our traffic levels or our ongoing relationship with TikTok.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or may become subject, to stringent and evolving U.S. and foreign laws, governmental regulations and rules, contractual obligations, industry standards, policies and other obligations related to privacy, infrastructure, artificial intelligence, and data security. Our actual or perceived failure to comply with such obligations could harm our business, by resulting in regulatory investigations or actions, disputes or litigation, fines and penalties, disruptions of our business operations, adverse publicity and reputational damage, loss of revenue or profits, loss of customers or sales, and other adverse consequences that may negatively affect the value of our business and decrease the price of our common stock. Compliance with such obligations could also result in costs and liabilities to us or inhibit sales of our products.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receive, store, process, collect, generate, use, transfer, disclose, make accessible, protect, secure, dispose of, transmit, and share information that relates to individuals and/or constitutes “personal data,” “personal information,” “personally identifiable information,” or similar terms under applicable data privacy laws (collectively, “Personal Information”). Our handling of Personal Information is subject to a variety of obligations related to privacy and data security, including laws and regulations, contractual obligations, internal and external privacy policies, guidance, industry standards, and other obligations that govern the processing of Personal Information. Additionally, we are or may become subject to other laws and regulations around the world with respect to the Internet related to, among other things, content moderation, security requirements, critical infrastructure designations, Internet resiliency, law enforcement access to information, net neutrality, data localization requirements, and restrictions on social media or other content.</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the United States, federal, state, and local governments have enacted numerous privacy and data security laws, including data breach notification laws, Personal Information privacy laws, consumer protection laws (e.g., Section 5 of the FTC Act), and other similar laws (e.g., wiretapping laws).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few years, numerous U.S. states have enacted comprehensive privacy and data security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Personal Information, such as conducting data privacy impact assessments or requiring prior consent. These state laws allow for statutory fines for noncompliance. For example, the California Consumer Privacy Act of 2018 as amended by the California Privacy Rights Act of 2020 (“CPRA”), collectively ("CCPA") applies to Personal Information of consumers, business representatives, and employees who are California residents, and requires businesses to provide specific disclosures in privacy notices and honor requests of such individuals to exercise certain privacy rights related to their Personal Information. The CCPA allows for statutory fines for noncompliance (up to $7,988 per violation), as well as a private right of action for individuals affected by certain data breaches to recover significant statutory damages.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 laws have been enacted in numerous other states, and proposed at the federal and local levels, and we expect more states to pass similar laws in the future, which could increase our compliance costs and adversely affect our business.</w:t>
      </w:r>
    </w:p>
    <w:p>
      <w:pPr>
        <w:pStyle w:val="TextBody"/>
        <w:bidi w:val="0"/>
        <w:spacing w:lineRule="auto" w:line="268" w:before="0" w:after="240"/>
        <w:ind w:left="0" w:right="0" w:firstLine="540"/>
        <w:jc w:val="left"/>
        <w:rPr/>
      </w:pPr>
      <w:r>
        <w:rPr>
          <w:rFonts w:ascii="Times New Roman;serif" w:hAnsi="Times New Roman;serif"/>
          <w:b w:val="false"/>
          <w:color w:val="000000"/>
          <w:sz w:val="20"/>
        </w:rPr>
        <w:t>Outside of the United States, an increasing number of foreign laws and regulations apply to privacy and data security.</w:t>
      </w:r>
      <w:r>
        <w:rPr>
          <w:color w:val="000000"/>
        </w:rPr>
        <w:t xml:space="preserve"> </w:t>
      </w:r>
      <w:r>
        <w:rPr>
          <w:rFonts w:ascii="Times New Roman;serif" w:hAnsi="Times New Roman;serif"/>
          <w:b w:val="false"/>
          <w:color w:val="000000"/>
          <w:sz w:val="20"/>
        </w:rPr>
        <w:t xml:space="preserve">For example, the European Union’s General Data Protection Regulation (“EU GDPR”), the United Kingdom’s GDPR (“UK GDPR” and collectively “GDPR”), Brazil’s General Data Protection Law (Lei Geral de Proteção de Dados Pessoais or “LGPD”) (Law No. 13,709/2018), Canada’s Personal Information Protection and Electronic Documents Act (“PIPEDA”) and Canada’s Anti-Spam Legislation (“CASL”), and China’s Personal Information Protection Law (“PIPL”) impose strict requirements for processing the Personal Information of individuals. Since we are under the supervision of relevant data protection authorities in both the EEA and the UK, we may be fined under both the EU GDPR and UK GDPR for the same breach. Penalties for certain breaches are up to the greater of EUR 20 million / GBP 17.5 million or 4% of our global annual turnover. In addition to fines, a breach of the GDPR may result in regulatory investigations, reputational damage, orders to cease or change our data processing activities, enforcement notices, assessment notices for a compulsory audit and/or civil claims (including class actions). </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also become subject to new laws in the EU that regulate cybersecurity and non-personal information. For example, the European Union Data Act ("Data Act") became applicable in September 2025. The Data Act establishes new requirements for providers of data processing services (including cloud and SaaS) into the EU. The Data Act requires providers to enable customers to switch to other providers or on-premise solutions and to port customer data within certain timeframes; remove technical, contractual, and commercial obstacles to service switching (including switching charges); and include certain mandatory terms in customer contracts. Failure to comply with the Data Act can result in regulatory enforcement and fines, civil claims, and reputational damage. Depending on how all these laws are interpreted, we may have to adapt our business practices and products to comply with such obligations.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relation to such cross border transfers of personal data,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 or take additional compliance and operational measures; and/or it could otherwise affect the manner in which we provide our services, and could adversely affect our business, operations and financial condition. In relation to data transfers from the EEA to the United States, the EU-US Data Privacy Framework (“DPF”) was approved by the European Commission in July 2023 as an effective EU GDPR data transfer mechanism to U.S. entities self-certified under the DPF. The UK Extension to the DPF followed in October 2023, as an effective UK GDPR data transfer mechanism to U.S. entities self-certified under the UK Extension to the DPF. </w:t>
      </w:r>
    </w:p>
    <w:p>
      <w:pPr>
        <w:pStyle w:val="TextBody"/>
        <w:bidi w:val="0"/>
        <w:spacing w:before="0" w:after="0"/>
        <w:ind w:left="0" w:right="0" w:firstLine="72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government regulation, privacy advocates, and industry groups may propose new and different self-regulatory standards that may apply to us. We may publish privacy policies,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 We may also be bound by contractual obligations related to privacy and data security, and our efforts to comply with such obligations may not be successful. For example, certain privacy and data security laws, such as the GDPR and the CCPA, require our customers to impose specific contractual restrictions on their service providers. Additionally, in limited circumstances, under various privacy and data security laws and other obligations, we may be required to obtain certain consents to process Personal Information. Our inability or failure to do so could result in adverse consequences. Laws relating to the liability of providers of online services for activities of their users and other third parties are currently being tested by a number of claims, including actions based on invasion of privacy and other torts, unfair competition, copyright and trademark infringement, and other theories based on the nature and content of the materials searched, the ads posted, or the content provided by users. Outages of our platform may draw additional scrutiny or focused legislation from regulators.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United States or foreign jurisdictions may establish new laws or regulations regarding the Internet or online services. These new laws and regulations may affect our products and infrastructure, which could cause us to incur substantial costs to comply, expose us to regulatory scrutiny, criminal or civil liability, require us to fundamentally change our products or operations, or otherwise have an adverse effect on our business. </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Obligations relating to privacy and data security (and customers’ data privacy expectations) are evolving, increasingly stringent, and create uncertainty, and may result in increasing scrutiny. Such obligations may be subject to different applications and interpretations, and which may be inconsistent and conflicting among different jurisdictions. Preparing for and complying with these obligations require us to devote significant resources and may necessitate changes to our services, information technologies, systems, and practices and to those of any third parties that process Personal Information on our behalf. Because the interpretation and application of privacy and data security related obligations are uncertain, they may be interpreted or applied in a manner that is inconsistent with our existing data management practices or the functionality of our platform. We could be required to fundamentally change our business activities and practices or modify our software, which could have an adverse effect on our business. Future restrictions on the collection, use, sharing, or disclosure of data or additional requirements for express or implied consent of our customers, partners, or end users for the use and disclosure of such information could require us to incur additional costs or modify our platform, possibly in a material manner, and could limit our ability to develop new functionality.</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at times fail (or be perceived to have failed) in our efforts to comply with our privacy and data security obligations or other laws and regulations with respect to the Internet. Moreover, despite our efforts, our personnel or third parties on whom we rely may fail to comply with such obligations, which could negatively impact our business operations. </w:t>
      </w:r>
    </w:p>
    <w:p>
      <w:pPr>
        <w:pStyle w:val="TextBody"/>
        <w:bidi w:val="0"/>
        <w:spacing w:before="0" w:after="0"/>
        <w:ind w:left="0" w:right="0" w:firstLine="54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failure or perceived failure by us or third parties upon whom we rely to comply with obligations, relating to privacy and data security or the Internet may result in significant consequences including but not limited to reputational harm, governmental investigations and enforcement actions (e.g., investigations, fines, penalties, audits, inspections, and similar), litigation (including class-action claims), additional reporting requirements and/or oversight, bans on processing Personal Information, and orders to destroy or not use Personal Information.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Regulatory and legislative developments on the development and deployment of AI technologies could adversely affect our use of such technologies in our business operations or our products and services.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employees and personnel may increasingly use AI to perform their work, and our customers may deploy AI models or technologies using our platform, including because we develop products that support AI. However, the regulatory framework for AI is rapidly evolving as many governments have passed and are likely to pass additional laws regulating the development and deployment of AI. For example, in the United States, the current executive administration’s approach to investment in, and regulation of, AI technologies has and is expected to continue to deviate from that of the previous administration and we will need to adapt to any changes that may result from such approach, including as the result of new or changing executive orders. For instance, the current administration issued an AI-focused Executive Order on December 11, 2025 entitled “Ensuring a National Policy Framework for Artificial Intelligence”. This order calls for federal standards and legislation that would preempt conflicting state AI regulations and create a federal litigation task force focused on challenging state AI laws in court. Thus, the current administration may continue to rescind other existing federal orders or administrative policies relating to AI, or may implement new executive orders or other rule making relating to AI in the future or challenge state laws regulating AI.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several jurisdictions around the globe, including in Europe and certain U.S. states, have proposed, enacted, or are considering laws governing the development and deployment of AI. For example, California enacted several new laws in 2024 and 2025 that regulate the use of AI technologies and provide consumers with additional protections around companies’ use of AI technologies, such as requiring companies to disclose certain uses of generative AI and provide further transparency about how such AI was developed.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Such additional regulations, the manner in which such new laws are interpreted, and uncertainty around whether they will survive legal challenges or how they will be enforced, may impact our ability to develop, use, procure and commercialize AI and machine learning technologies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jurisdictions around the globe, including the European Union are considering or have enacted their own AI-focused regulations. The EU Artificial Intelligence Act (“EU AI Act”), which establishes a risk-based governance framework for AI in the EU market, entered into force on August 1, 2024, and the majority of the substantive requirements are expected to apply from August 2, 2026, and though the European Commission has proposed an extension to December 2, 2027, such extension is not yet finalized or effective. This framework categorizes AI applications into risk categories such as “unacceptable”, “high”, “limited”, and “minimal”. AI applications in the “high” risk category are subject to new ex ante conformity assessments and other new requirements related to risk management, testing, technical documentation and robustness, data training and data governance and log recording, transparency, human oversight, and cybersecurity, while AI applications in the “limited” risk category are expected to become subject to new transparency and output labelling obligations. Fines for breaches of the EU AI Act can be up to 7% of worldwide annual turnover. The EU AI Act,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If our current or future AI applications fall within the “high” or “limited” risk categories, the increased cost and complexity to comply could adversely affect our business, financial condition and results of operations. We expect other jurisdictions will adopt similar laws.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existing laws and regulations have been and may continue to be interpreted in ways that could affect our use of AI, or could be rescinded or amended as new administrations take differing approaches to AI. As a result, implementation standards and enforcement practices are likely to remain uncertain for the foreseeable future, and we cannot yet completely determine the impact that existing or future laws, regulations, standards, decisions, or market perception of their requirements may have on our business. We may not always be able to anticipate how to respond to these laws or regulations, and this uncertainty may make it harder for us to conduct our business using AI, or could lead to regulatory fines or penalties, require us to change our business practices, retrain AI, or prevent or limit our use of AI. In addition, due to inaccuracies or flaws in the inputs, outputs, or logic of AI, AI models could be biased and could lead us to make decisions that could bias certain individuals (or classes of individuals), and adversely impact their rights, employment, and ability to obtain certain pricing, products, services, or benefits, which could expose us to reputational and competitive harm, customer loss, or legal liability. Furthermore, because AI models are highly complex and their internal logic often lacks transparency, our use of these technologies could result in unintended consequences or outcomes that differ significantly from our expectations or those of our customers. If we cannot use or are restricted in using AI technologies, or deployment of AI by our customers using our platform is affected, our business and results of operations may be harmed, and we may be at a competitive disadvantage.</w: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Activities of our customers or the content of their websites and other Internet properties may violate applicable laws and/or our terms of service and could subject us to lawsuits, regulatory enforcement actions, reputational harm, and/or liability in various jurisdictions.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our network, we provide a wide variety of products that enable our customers, including free account users, and our customers’ users to exchange information, conduct business, and engage in various online activities both domestically and internationally. Our customers, including free account users, and our customers’ users may use our network and products in violation of applicable law or in violation of our terms of service or the customer’s own policies. The existing laws relating to the liability of providers of online products and services for activities of their users are highly unsettled and in flux both within the United States and internationally. In the future we may be subject to lawsuits and/or liability arising from the conduct of our customers, including free account users, and our customers’ users. Additionally, the conduct of our customers, including free account users, and our customers’ users may subject us to regulatory enforcement actions, reputational harm, and/or liability. There can be no assurance that we will not face litigation in the future or that we will prevail in any litigation we may face. An adverse decision in one or more of these lawsuits could materially and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Several U.S. federal statutes may apply to us with respect to various activities of our customers, including free account users, including the Digital Millennium Copyright Act (“DMCA”), which provides recourse for owners of copyrighted material who believe their rights under U.S. copyright law have been infringed on the Internet; and section 230, enacted in the Communications Decency Act (“CDA”), which addresses blocking and screening of content on the Internet. Although these and other similar legal provisions provide limited protections from liability for service providers like us, those protections may not be interpreted in a way that applies to us, may be amended or removed in the future, or may not provide us with complete protection from liability claims. If we are found not to be protected by the safe harbor provisions of the DMCA, CDA, or other similar laws, or if we are deemed subject to laws in other countries that may not have the same protections or that may impose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 onerous obligations on us, we may owe substantial damages and our brand, reputation, and financial results may be harmed.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Policies and laws in this area remain highly dynamic, and we may face additional theories of intermediary liability in various jurisdictions if these evolving laws begin to apply to our services. For example, policymakers in the United States have called for a re-examination of CDA section 230 and copyright law, and the EU has implemented the Digital Services Act ("DSA") and Digital Markets Act to impose additional legal requirements on certain service providers. The DSA sets out a framework of layered responsibilities targeted at different types of services, including requirements for certain service providers to act on orders against illegal content, publish reports on moderation of content, and update terms and conditions. Member States can also issue rules on penalties for violating the DSA, with fines of up to 6% of annual global revenue. In addition, in 2019, the EU approved a Copyright Directive that imposes additional obligations on service providers and failure to comply could give rise to significant liability. Other laws and pending legislation at the EU level (terrorist content, child sexual abuse materials) and in the UK (online harms), Australia (online harms), and India (Digital India Act), as well as other new laws like them, may also expose Internet companies like us to significant liability and could cause us to change our products, policies, and procedures. We may incur additional costs to comply with these new laws, which may have an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could be subject to claims for potential damages based on a significant number of online occurrences under statutory or other damage theories. Such claims may result in liability that exceeds our ability to pay or our insurance coverage. Even if potential claims against us are ultimately unsuccessful, defending against such claims could increase our legal expenses and divert management’s attention from the operation of our business, which could materially and adversely impact our business and results of operations.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sales to highly regulated organizations and government entities are subject to a number of challenges and risks.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sell to customers in highly regulated industries such as financial services, insurance, and healthcare, as well as to various governmental agency customers, including state and local agency customers, and foreign governmental agency customers.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comply with the revised requirements. Government demand and payment for our offerings are affected by public sector budgetary cycles and funding authorizations, with funding reductions or delays adversely affecting public sector demand for our offerings.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highly regulated and governmental entities may demand shorter contract terms or other contractual provisions that differ from our standard arrangements, including terms that can lead those customers to obtain broader rights in our offerings than would be standard. Such entities may have statutory, contractual, or other legal rights to terminate contracts with us or our partners due to a default or for other reasons, and any such termination may harm our business. In addition, these governmental agencies may be required to publish the rates we negotiate with them, which could harm our negotiating leverage with other potential customers and in turn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success of our business depends on customers’ continued and unimpeded access to our platform on the Internet.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must have Internet access in order to use our platform. Some Internet providers may take measures that affect their customers’ ability to use our platform, such as degrading the quality of the content we transmit over their lines, giving that content lower priority, giving other content higher priority than ours, blocking our content entirely, or attempting to charge their customers more for using our platform.</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2018, the Federal Communications Commission (the “FCC”), repealed the “network neutrality” rules adopted during the Obama Administration, which barred Internet service providers from blocking or slowing down access to online content, protecting services like ours from such interference. The 2018 decision was largely affirmed by the United States Court of Appeals for the District of Columbia Circuit, subject to a remand to consider several issues raised by parties that supported network neutrality, and in November 2020 the FCC affirmed its decision to repeal the rules. On October 19, 2023, the FCC adopted a notice of proposed rulemaking that would reinstate the network neutrality rules, and asked for comment on that proposal and on potential changes to those rules. On April 25, 2024, the FCC voted to restore the network neutrality rules which bring back a national standard for broadband reliability, security, and consumer protection. On August 1, 2024,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States Court of Appeals for the Sixth Circuit granted a stay of the network neutrality rules. On January 2, 2025, the United States Court of Appeals for the Sixth Circuit struck down the FCC’s network neutrality rules, ruling that the FCC lacks statutory authority to impose its proposed net neutrality policies and therefore exceeded its authority in imposing the net neutrality regulations. We cannot predict the impact of such rules or the outcome of any legal challenges to such rules on our operations or business. A number of states have adopted or are adopting or considering legislation or executive actions that would regulate the conduct of broadband providers. For example, California, Vermont, and Maine have state-specific network neutrality laws in effect. In addition, the status of state regimes may be affected by the FCC’s action in its new network neutrality proceeding. We cannot predict whether any FCC order or other state initiatives will be enforced, modified, overturned, or vacated by legal action of the court, federal legislation, or the FCC.</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the extent network operators attempt to interfere with our platform, absent network neutrality rules, attempt to interfere with our services, extract fees from us to deliver our platform, or otherwise engage in discriminatory practices, our business could be adversely impacted. Within such a regulatory environment, we could experience discriminatory or anti-competitive practices that could impede our domestic and international growth, cause us to incur additional expense, or otherwise harm our business. At the same time, re-adoption of network neutrality rules could affect the services used by us and our customers by restricting the offerings made by Internet service providers or reducing their incentives to invest in their networks. Such actions could limit or reduce the quality of Internet access services and have an adverse impact on the quality of the services we provide to our customers.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anti-corruption, anti-bribery, anti-money laundering and similar laws, and non-compliance with such laws can subject us to criminal and/or civil liability and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the United States Foreign Corrupt Practices Act, the United States domestic bribery statute contained in 18 U.S.C. § 201, the United States Travel Act, the U.K. Bribery Act, and other anti-bribery and anti-money laundering laws in the countries in which we conduct activities. Anti-corruption and anti-bribery laws have been enforced aggressively in recent years and are interpreted broadly to generally prohibit companies and their employees and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platform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have policies and procedures to address compliance with such laws, we cannot assure you that all of our employees and agents will not take actions in violation of our policies and applicable laws, for which we may be ultimately held responsible. As we increase our international sales and business, our risks under these laws may increase.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Detecting, investigating, and resolving actual or alleged violations can require a significant diversion of time, resources, and attention from senior management. In addition, noncompliance with anti-corruption, anti-bribery, or anti-money laundering laws could subject us to whistleblower complaints, investigations, sanctions, settlements, prosecution or other enforcement actions, disgorgement of profits, significant fines, damages, other civil and criminal penalties or injunctions, suspension 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could be harmed. In addition, responding to any action will likely result in a materially significant diversion of management’s attention and resources and significant defense costs and other professional fees. Enforcement actions and sanctions could further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our effective tax rate or tax liability may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effective tax rate could be adversely impacted by several factors, including:</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Changes in the relative amounts of income before taxes in the various jurisdictions in which we operate that have differing statutory tax rates;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tax laws, tax treaties, and regulations or the interpretation of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The outcome of current and future tax audits, examinations, or administrative appeals;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Limitations or adverse findings regarding our ability to do business in some jurisdictions.</w:t>
      </w:r>
    </w:p>
    <w:p>
      <w:pPr>
        <w:pStyle w:val="TextBody"/>
        <w:bidi w:val="0"/>
        <w:spacing w:lineRule="auto" w:line="288" w:before="24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Should our effective tax rate rise, our business could be harmed.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could be required to collect additional sales taxes or be subject to other tax liabilities that may increase the costs our clients would have to pay for our offering and harm our business.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 increasing number of states have considered or adopted laws that attempt to impose tax collection obligations on out-of-state companies.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jurisdictions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Adverse tax laws or regulations could be enacted or existing laws could be applied to us, which could adversely affect our business and financial condition.</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operate, and are subject to taxes, in the United States and numerous other jurisdictions throughout the world. The U.S. federal, state, local, or non-U.S. international tax laws on income, sales, use, indirect, or other tax laws, statutes, rules, regulations, or ordinances on multinational corporations to which we are subject or under which we operate are unsettled in certain respects and may be subject to significant change. For example, many countries in Europe, as well as a number of other countries and organizations, including the Organization for Economic Cooperation and Development and the European Commission, have recently proposed, recommended, or (in the case of countries) enacted changes to existing tax laws or new tax laws that could significantly increase our tax obligations in the countries where we do business or require us to change the manner in which we operate our business. These proposals, recommendations and enactments include changes to the existing framework in respect of income taxes, as well as new types of non-income taxes (such as taxes based on a percentage of revenue or taxes applicable to digital services), which could apply to our business. These contemplated tax initiatives, if finalized and adopted by countries, may ultimately impact our effective tax rate and could adversely affect our sales activity resulting in a negative impact on our operating results and cash flows.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existing tax laws, statutes, rules, regulations, or ordinances could be interpreted, modified, or applied adversely to us (possibly with retroactive effect), which could require us to pay additional tax amounts, fines or penalties, and interest for past amounts. The additional tax obligations could relate to our taxes or obligations to report or withhold on customer taxes. We could take steps to collect customer related taxes, but if we are unsuccessful in collecting such taxes from our customers, we could be held liable for such costs, thereby adversely impacting our operating results and cash flows. Further, if our customers must pay additional fines or penalties, it could adversely affect demand for our services.</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Legislation enacted in 2017 informally titled the “Tax Act” significantly revised the Internal Revenue Code of 1986, as amended (the “Code”). In 2022, the Inflation Reduction Act of 2022 (the “IRA”) was enacted, which includes provisions that impact the U.S. federal income taxation of corporations, including imposing a minimum tax on the book income of certain large corporations and an excise tax on certain corporate stock repurchases that is imposed on the corporation repurchasing such stock. On July 4, 2025, the One Big Beautiful Bill Act ("OBBBA"), was enacted in the U.S., which includes significant changes to federal tax law and other regulatory provisions that may impact us. Future legislation or regulatory guidance, including under the OBBBA, Tax Act or the IRA, or other executive or Congressional actions in the United States may occur, and could ultimately increase or lessen the impact of such taxes on our business and financial condition. Stockholders should consult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their legal and tax advisors with respect to this legislation and the potential tax consequences of investing in or holding our common stock.</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to offset future taxable income may be subject to certain limitations.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net operating loss (“NOL”) carryforwards could expire unused and be unavailable to offset future income tax liabilities because of their limited duration or because of restrictions under United States tax law. For U.S. federal income tax purposes, our NOLs generated in tax years beginning before January 1, 2018 are permitted to be carried forward for 20 years. Our U.S. federal NOLs generated in tax years beginning after December 31, 2017 may be carried forward indefinitely, but our use of such U.S. federal NOLs generally is limited to 80% of such year’s taxable income, computed without regard to the NOL deduction and certain other deductions. It is uncertain if, and to what extent, various states will conform to these limitations on the use of U.S. federal NOLs.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under Section 382 of the Code, a corporation that undergoes an “ownership change” may be subject to limitations on its ability to utilize its pre-change NOLs to offset future taxable income. A detailed analysis was performed through December 31, 2021 for us to determine whether an ownership change under Section 382 of the Code has occurred, and ownership changes were identified in 2013 and 2020. Another detailed analysis was completed through December 31, 2024 and no further ownership changes were identified. As a result of these analyses, we concluded that there is no longer any limitation on our utilization of such NOLs. A detailed analysis was performed for the period March 1, 2014 to October 1, 2020 for Signal Sciences to determine whether an ownership change under Section 382 of the Code has occurred and an ownership change was identified in 2020. As a result of this analysis, we concluded that there is no longer any limitation on our utilization of the NOLs of Signal Sciences. We may experience ownership changes in the future as a result of subsequent shifts in our stock ownership, some of which shifts are outside our control. Furthermore, our ability to utilize NOLs of companies that we have acquired or may acquire in the future may be subject to limitations. For these reasons, we may not be able to utilize a material portion of the NOLs, even if we were to achieve profitability.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international operations may subject us to potential adverse tax consequences.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expanding our international operations and staff to better support our growth into international markets. Our corporate structure and associated transfer pricing policies contemplate future growth into the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that could impair our ability to compete in international markets or subject us to liability if we violate such controls.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products are subject to United States export controls, including the Export Administration Regulations administered by the United States Commerce Department, and economic sanctions administered by the Office of Foreign Assets Control of the United States Treasury Department (“OFAC”). We incorporate encryption technology into certain of our products. These encryption products and the underlying technology may be exported outside of the United States only with the required export authorizations. Other countries also regulate the import and export of certain encryption products and technology through import and export licensing requirements, and have enacted laws that could limit our ability to distribute our products or could limit our customers’ ability to implement our products in those countries. Additionally, export restrictions imposed on Russia, Belarus, and restricted regions of Ukraine in connection with the military conflict involving Ukraine specifically restrict the export of encryption software to these locations.</w:t>
      </w:r>
    </w:p>
    <w:p>
      <w:pPr>
        <w:pStyle w:val="TextBody"/>
        <w:bidi w:val="0"/>
        <w:spacing w:lineRule="auto" w:line="268" w:before="24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our activities are subject to United States economic sanctions laws and regulations that generally prohibit the direct or indirect exportation or provision of products and services to countries, governments, and individuals and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240" w:after="240"/>
        <w:jc w:val="left"/>
        <w:rPr>
          <w:rFonts w:ascii="Times New Roman;serif" w:hAnsi="Times New Roman;serif"/>
          <w:b w:val="false"/>
          <w:color w:val="000000"/>
          <w:sz w:val="20"/>
        </w:rPr>
      </w:pPr>
      <w:r>
        <w:rPr>
          <w:rFonts w:ascii="Times New Roman;serif" w:hAnsi="Times New Roman;serif"/>
          <w:b w:val="false"/>
          <w:color w:val="000000"/>
          <w:sz w:val="20"/>
        </w:rPr>
        <w:t>targeted by United States embargoes or sanctions, except to the extent authorized by OFAC or exempt from sanctions. For example, following Russia’s invasion of Ukraine, the United States and other countries imposed economic sanctions and severe export control restrictions against Russia,Belarus, and restricted regions of Ukraine, and the United States and other countries could impose wider sanctions and export restrictions and take other actions should the conflict further escalate. Obtaining the necessary export license or other authorization for a particular sale may not always be possible, and, even if the export license is ultimately granted, the process may be time-consuming and may result in the delay or loss of sales opportunities. Violations of United States sanctions or export control laws can result in significant fines or penalties, and possible incarceration for responsible employees and managers could be imposed for criminal violations of these laws.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our products or future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From time to time, various governmental agencies have proposed additional regulation of encryption products and technology, including the escrow and government recovery of private encryption keys. Any change in export or import regulations, economic sanctions or related legislation, increased export and import controls,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exposed to fluctuations in currency exchange rates.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sales contracts are primarily denominated in U.S. dollars, and therefore a majority of our revenue is not subject to foreign currency revaluation. However, a strengthening of the U.S. dollar could increase the real cost of our platform to our customers outside of the United States, which could cause an increase in requests to renegotiate contracts and adversely affect our operating results. Foreign currency exchange rates have recently been and could continue to be subject to increased volatility. In addition, our international sales in the future could become foreign currency denominated sales, increasing our foreign currency risk. In addition, an increasing portion of our operating expenses is incurred outside the United States. These operating expenses are denominated in foreign currencies and are subject to fluctuations due to changes in foreign currency exchange rates. As these expenses become more material and if there are significant fluctuations in foreign currency exchange rates, this could result in significant fluctuations in our operating expenses and results of operations, which could harm our business. </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Unfavorable conditions in our industry or the global economy, rising inflation or reductions in information technology spending could harm our business.</w:t>
      </w:r>
    </w:p>
    <w:p>
      <w:pPr>
        <w:pStyle w:val="TextBody"/>
        <w:bidi w:val="0"/>
        <w:spacing w:lineRule="auto" w:line="268" w:before="0" w:after="240"/>
        <w:ind w:left="0" w:right="0" w:firstLine="540"/>
        <w:jc w:val="left"/>
        <w:rPr/>
      </w:pPr>
      <w:r>
        <w:rPr>
          <w:rFonts w:ascii="Times New Roman;serif" w:hAnsi="Times New Roman;serif"/>
          <w:b w:val="false"/>
          <w:color w:val="000000"/>
          <w:sz w:val="20"/>
        </w:rPr>
        <w:t xml:space="preserve">Global economic conditions have impacted, and will likely continue to impact, businesses around the world, including ours. Inflation and other macroeconomic pressures in the U.S. and the global economy such as rising interest rates, banking instability and recession fears are creating a complex and challenging environment for us and our customers. Our results of operations may vary based on the impact of changes in our industry or the global economy on us or our customers and potential customers. Current or future economic uncertainties or downturns could adversely affect our business and results of operations. The U.S. capital markets experienced and continue to experience extreme volatility. While our ability to do business has not been materially affected, the global restrictive measures that have been taken in response to such events, and could be taken in the future, have created significant global economic uncertainty that could prolong and escalate tensions and expand the geopolitical conflict, which could have a lasting impact on regional and global economies, any of which could harm our business and operating results. </w:t>
      </w:r>
      <w:r>
        <w:rPr>
          <w:rFonts w:ascii="Times New Roman;serif" w:hAnsi="Times New Roman;serif"/>
          <w:b w:val="false"/>
          <w:color w:val="000000"/>
          <w:sz w:val="20"/>
          <w:shd w:fill="FFFFFF" w:val="clear"/>
        </w:rPr>
        <w:t>Further, due to political uncertainty and international military actions, we and the third parties upon which we rely may be vulnerable to a heightened risk of security breaches, computer malware, social-engineering attacks, supply-chain attacks, software bugs, server malfunctions, software or hardware failures, loss of data or other information technology assets, and other cyber-attacks, including attacks that could materially disrupt our systems and operations, supply chain, and ability to do business</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These attacks are expected to continue to occur in the future. </w:t>
      </w:r>
      <w:r>
        <w:rPr>
          <w:rFonts w:ascii="Times New Roman;serif" w:hAnsi="Times New Roman;serif"/>
          <w:b w:val="false"/>
          <w:color w:val="000000"/>
          <w:sz w:val="20"/>
        </w:rPr>
        <w:t xml:space="preserve">Furthermore, inflation rates in the U.S. in the past few years have increased to levels not seen in decades, prompting the Federal Reserve to increase interest rates. Negative conditions in the general economy both in the United States and abroad, including conditions resulting from changes in gross domestic product growth, financial and credit market fluctuations, currency and interest rate fluctuations, political turmoil, actual or potential government shutdowns, natural catastrophes, warfare, public health issues, and terrorist attacks on the United States, Europe, the Asia Pacific region, or elsewhere, could cause a downturn or recession and a decrease in business investments, including spending on information technology, which would harm our business. In addition, international trade disputes may disrupt our supply chain and increase pricing of the equipment components we use to operate our network and provide products to our customers. For example, the United States has imposed or indicated an intention to impose tariffs on certain countries which may lead to retaliatory actions such as counter-tariffs and increase production costs and disruptions in our supply chain. Further, it is possible that government policy changes and related uncertainty about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changes could increase market volatility. To the extent that our platform and our products are perceived by customers and potential customers as too costly, or difficult to deploy or migrate to, our revenue may be disproportionately affected by delays or reductions in general information technology spending. Also, our competitors, many of whom are larger and have greater financial resources than we do, may respond to market conditions by lowering prices and attempting to lure away our customers. In addition, the increased pace of consolidation in certain industries may result in reduced overall spending on our products. We cannot predict the timing, strength, or duration of any economic slowdown, instability, or recovery, generally or within any particular industry.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could incur substantial costs in protecting or defending our intellectual property and proprietary rights, and any failure to adequately protect our rights could impair our competitive position and we may lose valuable assets, experience reduced revenue, and incur costly litigation to protect our rights.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is dependent, in part, upon protecting our intellectual property and proprietary technology. We rely on a combination of patents, copyrights, trademarks, service marks, trade secret laws, and contractual provisions in an effort to establish and protect our intellectual property and proprietary rights. However, the steps we take to protect our intellectual property may be inadequate. While we have issued patents in the United States and other countries and have additional pending patent applications, we may be unable to obtain patent protection for the technology covered in our patent applications or enforce such rights. In addition, any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There can be no guarantee that others will not independently develop similar products, duplicate any of our products, or design around our patents. Furthermore, legal standards relating to the validity, enforceability, and scope of protection of intellectual property rights are uncertain and vary by jurisdiction. Despite our precautions, it may be possible for unauthorized third parties to copy our products and use information that we regard as proprietary or confidential to create products and services that compete with ours. Some license provisions protecting against unauthorized use, copying, transfer, and disclosure of our products may be unenforceable. To the extent we expand our international activities, our exposure to unauthorized copying and use of our products, intellectual property, and proprietary information may increase.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intellectual property, and proprietary information. Further, these agreements do not prevent our competitors or partners from independently developing technologies that are substantially equivalent or superior to our platform.</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monitor and protect our intellectual property rights, we may be required to spend significant resources. Litigation may be necessary to enforce our intellectual property rights and to protect our trade secrets and other confidential information. Intellectual property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intellectual property and proprietary technology against unauthorized copying or use, as well as any costly litigation or diversion of our management’s attention and resources, could, among other things, delay further sales or the implementation of our platform, impair the functionality of our platform, delay introductions of new products, result in our substituting inferior or more costly technologies into our products, or injure our reputation. We will not be able to protect our intellectual property if we are unable to enforce our rights or if we do not detect unauthorized use of our intellectual property. Moreover, policing unauthorized use of our technologies, trade secrets, and intellectual property may be difficult, expensive, and time-consuming, particularly in jurisdictions outside of the United States where the laws may not be as protective of intellectual property rights as those in the United States and where mechanisms for enforcement of intellectual property rights may be weak or inadequate. If we fail to meaningfully protect our intellectual property and proprietary rights, our business and competitive advantage may be harmed.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is uncertainty surrounding the applications of intellectual property laws to AI. Intellectual property ownership and rights (including copyright) and the remedies of rights owners surrounding the use and development of AI have not been fully addressed by courts or other federal or state laws or regulations, and our use of AI or adoption of AI into our products and services may result in disputes with respect to ownership of intellectual property, or exposure to claims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copyright or other intellectual property infringement or misappropriation. Such claims, regardless of merit, could lead to costly litigation, significant settlements, or injunctions forcing us to cease using or redesign AI features.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in the future be subject to legal proceedings and litigation relating to intellectual property disputes, which are costly and may subject us to significant liability and increased costs of doing business. Our business may suffer if it is alleged or determined that our technology infringes the intellectual property rights of others.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industry is characterized by the existence of a large number of patents, copyrights, trademarks, trade secrets, and other intellectual property rights. From time to time, we may be required to defend against litigation claims by other companies based on allegations of infringement or other violations of their intellectual property rights. Many of these companies have the capability to dedicate substantially greater resources than us to enforce their intellectual property rights and to defend claims that may be brought against them. Therefore, we may not be able to withstand any such third-party intellectual property claims. In addition, we may be required to defend against litigation claims by patent holding companies or other adverse patent owners that have no relevant product revenue. If a third party is able to obtain an injunction preventing us from accessing such third-party intellectual property rights, or if we cannot license or develop technology for any infringing aspect of our business, we would be forced to limit or stop selling products impacted by the claim or injunction or cease business activities covered by such intellectual property, and may be unable to compete effectively. Any inability to license third-party technology in the future would have an adverse effect on our business and operating results, and would adversely affect our ability to compete. We may also be contractually obligated to indemnify our customers or other third parties in the event of a claim of infringement of a third party’s intellectual property rights. We receive demands for such indemnification from time to time and expect to continue to do so. Responding to and defending such claims, regardless of their merit, can be time consuming, costly, distracting to our management and damage our reputation, business, and brand.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Lawsuits are time-consuming and expensive to resolve and they divert management’s time and attention. Although we carry insurance, our insurance may not cover potential claims of this type or may not be adequate to indemnify us for all liability that may be imposed. We cannot predict the outcome of lawsuits, and the results of any such actions may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Elements of our platform and our products use open source software, which may restrict the functionality of our platform and our products, or require that we release the source code of certain products subject to those licenses.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platform incorporates software licensed under open source licenses.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manner in which these licenses may be interpreted and enforced is therefore subject to some uncertainty. We rely on multiple software programmers to design our proprietary technologies, and because we do not exercise complete control over the development efforts of our programmers, we may not be aware of possible unauthorized actions. We cannot be certain that our programmers have not incorporated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platform and technologies and materially and adversely affect our ability to sustain and grow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Provisions in various agreements potentially expose us to substantial liability for intellectual property infringement, data protection, and other losses.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agreements with customers and other third parties generally include provisions under which we are liable or agree to indemnify them for losses suffered or incurred as a result of claims of intellectual property infringement, data protection, damages caused by us to property or persons, or other liabilities relating to or arising from our platform, services, or other contractual obligations. Some of these agreements provide for uncapped liability for which we would be responsible, and some provisions survive termination or expiration of the applicable agreement. Large liability payments could harm our business, results of operations, and financial condition. Although we often contractually limit our liability with respect to such obligations, we may still incur substantial liability related to them, and in case of an intellectual property infringement indemnification claim, we may be required to cease use of certain functions of our platform as a result of any such claims. Any dispute with a customer with respect to such obligations could have adverse effects on our relationship with that customer, other existing customers, and new customers and harm our business. Even when we have contractual protections against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 claims, we may choose to honor a customer’s request for indemnification or otherwise seek to maintain customer satisfaction by issuing customer credits, assisting our customer in defending against claims, or in other ways.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stock price is volatile, and the value of our common stock may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Historically, our stock price has been volatile. During the year ended December 31, 2025, our stock traded as high as $12.59 per share and as low as $4.65 per share, and from January 1, 2026 to February 13, 2026, our stock price has ranged from $19.14 per share to $7.87 per share. The market price of our common stock may continue to be highly volatile and may fluctuate or decline substantially as a result of a variety of factors, some of which are beyond our control or are related in complex ways, including:</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actual or anticipated fluctuations in our financial condition and operating results;</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decreased usage by one or more of our customers;</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variance in our financial performance from expectations of securities analysts or investors;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the pricing we offer our customers;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our projected operating and financial results;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laws or regulations applicable to our operations, platform or related products;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announcements by us or our competitors of significant business developments, acquisitions, or new offerings;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publicity associated with network outages and problems;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involvement in litigation;</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senior management or key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trading volume of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equity or debt financings;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changes in the anticipated future size and growth rate of our market; and</w:t>
      </w:r>
    </w:p>
    <w:p>
      <w:pPr>
        <w:pStyle w:val="TextBody"/>
        <w:bidi w:val="0"/>
        <w:spacing w:lineRule="auto" w:line="268" w:before="0" w:after="240"/>
        <w:ind w:left="0" w:right="0" w:hanging="360"/>
        <w:jc w:val="left"/>
        <w:rPr/>
      </w:pPr>
      <w:r>
        <w:rPr>
          <w:color w:val="000000"/>
        </w:rPr>
        <w:t>•</w:t>
      </w:r>
      <w:r>
        <w:rPr>
          <w:rFonts w:ascii="Times New Roman;serif" w:hAnsi="Times New Roman;serif"/>
          <w:b w:val="false"/>
          <w:color w:val="000000"/>
          <w:sz w:val="20"/>
        </w:rPr>
        <w:t>general political, social, economic, regulatory, and market conditions, in both domestic and our foreign markets, including the effects of global events like the war in Ukraine and the hostilities in the Middle East on the global economy, labor shortages, supply chain disruptions, inflation, increased interest rates, banking instability, and slow or negative growth of our markets.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Broad market and industry fluctuations, as well as general economic, political, social, regulatory, and market conditions, may impact the market price of our common stock. For example, in connection with the COVID-19 pandemic, we initially experienced an increase in the usage of our platform, and as a result, the trading price of our common stock significantly increased. Over the past few years, our stock price has declined significantly. There are no assurances that the trading price of our common stock will recover to prior levels. Moreover, the trading price of our common stock could experience further volatility and declines. These fluctuations could cause investors to lose all or part of their investment in our common stock.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extreme price and volume fluctuations in the stock markets have affected and continue to affect many technology companies’ stock prices, including ours. Often, stock prices have fluctuated in ways unrelated or disproportionate to companies’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past, companies that have experienced volatility in the market price of their securities have been subject to securities class action litigation. We are currently and may be the target of this type of litigation in the future, which could result in substantial costs and divert our management’s attention.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have the ability to raise the funds necessary to repay or settle conversions of the Notes in whole or in part in cash or to repurchase the Notes upon a fundamental change, and our future debt may contain limitations on our ability to pay cash upon conversion or repurchase of the Notes.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March 2021, we entered into a purchase agreement for the sale of an aggregate of $948.8 million principal amount of our 0% convertible senior notes due 2026 (the “2026 Notes”). During the year ended December 31, 2022, we entered into separate, privately negotiated transactions with certain holders of the Notes to repurchase approximately $235.0 million aggregate outstanding principal amount of the 2026 Notes for an aggregate cash repurchase price of approximately $176.4 million. During the year ended December 31, 2024, we entered into several separate, privately negotiated transactions with certain holders of the 2026 Notes to exchange $157.9 million of aggregate principal amount of the 2026 Notes for $150.0 million aggregate principal amount of 7.75% convertible senior unsecured notes due in 2028 (the “2028 Notes”). In December 2025, we entered into a purchase agreement for the sale (the “Offering”) of $160.0 million principal amount of our 0% convertible senior notes due 2030 (the “2030 Notes”, together with the 2026 Notes and the 2028 Notes, the “Notes). In connection with the Offering, the initial purchasers exercised in full their option to purchase an additional $20.0 million principal amount of the 2030 Notes, resulting in the issuance of an aggregate principal amount of $180.0 million of the 2030 Notes. We used a portion of the net proceeds from the offering of the 2030 Notes to repurchase approximately $150.0 million aggregate principal amount of the 2026 Notes for an aggregate cash repurchase price of approximately $148.9 million. The remaining 2026 Notes with an aggregate principal amount of $38.6 million will mature on March 15, 2026, unless earlier converted, redeemed or repurchased. The 2030 Notes incurred transaction costs of $6.7 million which were recorded as contra-liability and represents the difference between the principal and carrying amount of the 2030 Notes. The 2028 Notes and the 2030 Notes will mature on June 1, 2028 and December 15, 2030, respectively, unless earlier converted or repurchased. Holders of the Notes will have the right, subject to certain conditions and limited exceptions, to require us to repurchase all or a portion of their Notes upon the occurrence of a fundamental change at a fundamental change repurchase price equal to 100% of the principal amount of the Notes to be repurchased, plus accrued and unpaid special interest, if any, as described in the indenture governing the Notes. If our stock price is lower than the conversion price of the Notes on maturity, the holders of our Notes will likely not convert and we will have to repay those Notes in cash. In addition, upon conversion of the Notes, unless we elect to deliver solely shares of our common stock to settle such conversion (other than paying cash in lieu of delivering any fractional share), we will be required to make cash payments in respect of the Notes being converted as described in the indenture governing the Notes. However, we may not have enough available cash or be able to obtain financing at the time we are required to repay or make repurchases of Notes surrendered therefor or pay cash with respect to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 default under the indenture. A default under the indenture governing the Notes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 Such acceleration could result in our bankruptcy. In a bankruptcy, the holders of the Notes would have a claim to our assets that is senior to the claims of our equity holders.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Conversion of the Notes may dilute the ownership interest of our stockholders or may otherwise depress the price of our common stock.</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conversion of some or all of the Notes will dilute the ownership interests of our stockholders. Upon conversion of the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Servicing our debt requires a significant amount of cash, and we may not have sufficient cash flow from our business to pay our substantial debt.</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make scheduled payments of the principal of or to refinance our indebtedness, including any loans incurred under the Credit Agreement and the Notes, depends on our future performance, which is subject to economic,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competitive, and other factors beyond our control. Our business may not generate cash flow from operations in the future sufficient to service our debt, including any loans incurred under the Credit Agreement and the Notes, and make necessary capital expenditures. If we are unable to generate such cash flow, we may be required to adopt one or more alternatives, such as selling assets, refinancing or restructuring debt or obtaining additional equity capital on terms that may be onerous or highly dilutive. Our ability to refinance or restructure our indebtedness will depend on the capital markets and our financial condition at such time, and if the financial markets become difficult or costly to access, including due to rising interest rates, fluctuations in foreign currency exchange rates or other changes in economic conditions, our ability to raise additional capital may be negatively impacted. We may not be able to engage in any of these activities or engage in these activities on desirable terms, which could result in a default on our debt obligations. Even if we can refinance or restructure our debt, the revised terms may harm our business.</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Regulatory actions and other events may adversely affect the trading price and liquidity of the Notes.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that many investors in, and potential purchasers of, the Notes may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Any governmental or regulatory action that restricts the ability of investors in, or potential purchasers of, the Notes to effect short sales of our common stock, borrow our common stock or enter into swaps on our common stock could adversely affect the trading price and the liquidity of the Notes.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conditional conversion feature of the Notes, if triggered, may adversely affect our financial condition and operating results.</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the conditional conversion feature of the Notes is triggered, holders of Notes will be entitled to convert their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 which could impact our existing covenants and inhibit our ability to raise future debt. For additional information regarding the conditional conversion feature of the Notes, see Note 8, Debt Instruments.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Future sales and issuances of our capital stock or rights to purchase capital stock could result in dilution of the percentage ownership of our stockholders and could cause the price of our common stock to decline.</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sales and issuances of our capital stock or rights to purchase our capital stock could result in substantial dilution to our existing stockholders. For example, we may issue approximately 19.8 million shares of our common stock if the Notes convert, subject to customary anti-dilution adjustments. In addition, we may need to secure additional funds for our existing debt obligations, including repayment of the Notes. We may sell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common stock.</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Future sales of our common stock in the public market could cause the market price of our common stock to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or the perception that these sales might occur, could depress the market price of our common stock and could impair our ability to raise capital through the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additional equity securities. We are unable to predict the effect that such sales may have on the prevailing market price of our common stock.</w:t>
      </w:r>
    </w:p>
    <w:p>
      <w:pPr>
        <w:pStyle w:val="TextBody"/>
        <w:bidi w:val="0"/>
        <w:spacing w:lineRule="auto" w:line="268" w:before="0" w:after="240"/>
        <w:ind w:left="0" w:right="0" w:firstLine="540"/>
        <w:jc w:val="left"/>
        <w:rPr/>
      </w:pPr>
      <w:r>
        <w:rPr>
          <w:rFonts w:ascii="Times New Roman;serif" w:hAnsi="Times New Roman;serif"/>
          <w:b w:val="false"/>
          <w:color w:val="000000"/>
          <w:sz w:val="20"/>
        </w:rPr>
        <w:t>As of December 31, 2025, we have outstanding a total of 151.5 million shares of common stock. All of our outstanding shares are eligible for sale in the public market, other than shares and options held by directors, executive officers, and other affiliates that are subject to volume limitations under Rule 144 of the Securities Act, various vesting agreements, and shares that must be sold under an effective registration statement.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r>
        <w:rPr>
          <w:color w:val="000000"/>
        </w:rPr>
        <w:t xml:space="preserve"> </w:t>
      </w:r>
      <w:r>
        <w:rPr>
          <w:rFonts w:ascii="Times New Roman;serif" w:hAnsi="Times New Roman;serif"/>
          <w:b w:val="false"/>
          <w:color w:val="000000"/>
          <w:sz w:val="20"/>
        </w:rPr>
        <w:t>The outstanding portion of the 2026 Notes will also become convertible at the option of the holders, subject to certain limitations and restrictions, prior to March 15, 2026. The 2028 Notes and the 2030 Notes will also become convertible at the option of the holders, subject to certain limitations and restrictions, prior to June 1, 2028 and December 15, 2030, respectively.</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sales also could cause the trading price of our common stock to decline and make it more difficult for investors to sell shares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unfavorable or inaccurate research about our business, our common stock price and trading volume could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stock price and trading volume are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depends,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Any determination to pay cash dividends in the future will be at the discretion of our board of directors and are restricted by the terms of our Credit Agreement. The Credit Agreement permits the payment of cash dividends so long as, after giving effect to any such dividend, (i) we maintain a consolidated adjusted quick ratio of at least 1.50 to 1.00, (ii) if our consolidated adjusted quick ratio is less than 1.75 to 1.00, our revenue growth rate for the trailing four fiscal quarters is at least 5%, and (iii) no event of default is continuing or would result under the Credit Agreement. In addition, the Credit Agreement permits us to pay up to $10.0 million in cash dividends per fiscal year so long as, after giving effect to any such dividend, no event of default is continuing or would result under the Credit Agreement, including a consolidated adjusted quick ratio of at least 1.25 to 1.00. Accordingly, investors must rely on sales of their common stock after price appreciation, which may never occur, as the only way to realize any future gains on their investments.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incur significant costs as a result of operating as a public company, and our management is required to devote substantial time to compliance with our public company responsibilities and corporate governance practices.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incur significant legal, accounting, and other expenses. The Sarbanes-Oxley Act, the Dodd-Frank Wall Street Reform and Consumer Protection Act, the listing requirements of Nasdaq, and other applicable securities rules and regulations impose various requirements on public companies. As a result, our management and other personnel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incur as a public company or the timing of such costs.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Anti-takeover provisions in our charter documents, the indenture governing the Notes, and under Delaware law could make an acquisition of our company more difficult, limit attempts by our stockholders to replace or remove our current board of directors or management and limit the market price of our common stock.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and amended and restated bylaws may have the effect of delaying or preventing a change of control or changes in board of directors or our management. Our amended and restated certificate of incorporation and amended and restated bylaws include provisions that:</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specify that special meetings of our stockholders can be called only by our board of directors, the chairperson of our board of directors, or our chief executive officer;</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establish that our board of directors is divided into three classes, with each class serving three-year staggered terms;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prohibit cumulative voting in the election of directors;</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provide that our directors may be removed for cause only upon the vote of the holders of a majority of our outstanding shares of common stock;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 xml:space="preserve">provide that vacancies on our board of directors may be filled only by a majority of directors then in office, even though less than a quorum.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the market price of our common stock to decline.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provisions in the indenture governing the Notes may make it more difficult or expensive for a third party to acquire us. For example, the indenture governing the Notes will require us, except as described therein, to repurchase the Notes for cash upon the occurrence of a fundamental change and, in certain circumstances, to increase the conversion rate for a holder that converts its notes in connection with a make-whole fundamental change. A takeover of us may trigger the requirement that we repurchase the Notes, increase the conversion rate, or both, which could make it costlier for a potential acquirer to engage in such takeover. Such additional costs may have the effect of delaying or preventing a takeover of us that would otherwise be beneficial to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76" w:before="240" w:after="240"/>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any action asserting a breach of fiduciary duty;</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any action asserting a claim against us arising under the Delaware General Corporation Law,</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our amended and restated certificate of incorporation, or our amended and restated bylaws; and</w:t>
      </w:r>
    </w:p>
    <w:p>
      <w:pPr>
        <w:pStyle w:val="TextBody"/>
        <w:bidi w:val="0"/>
        <w:spacing w:lineRule="auto" w:line="288" w:before="240" w:after="240"/>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 management and strategy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implemented and maintain various cybersecurity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trade secrets, personal information, and data of our customers (including their end-users) (“Information Systems and Data”).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Chief Information Security Officer (“CISO”) and security organization help identify, assess, and manage the Company’s cybersecurity threats and risks, including through the use of the Company’s security risk register. The CISO and security organization identify and assess risks from cybersecurity threats by monitoring and evaluating our threat environment and the Company’s risk profile using various methods including, for example: (1) identifying vulnerabilities through automated scans, vulnerability assessments, and subscriptions to threat intelligence feeds and notices; (2) assessing security weaknesses identified through internal security reviews, internal and external penetration tests, and reports on our products and services; and (3) assessing the Company’s threat landscape given the industry’s risk profile, the results of our enterprise risk assessment, and information technology, privacy, and security audits.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Depending on the environment, system, and data, we implement and maintain various technical, physical, and organizational measures, processes, standards, and/or policies designed to manage and mitigate material risks from cybersecurity threats to our Information Systems and Data, including, for example: an incident response plan; incident detection and response; vulnerability management policy; business continuity plan; risk assessments; implementation of security standards and certifications; encryption of data; network security protocols; data segregation; access controls; physical security; asset management, tracking and disposal; systems monitoring; vendor risk management program; employee training; penetration testing; cybersecurity insurance; and a dedicated CISO and security organization.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assessment and management of material risks from cybersecurity threats are integrated into the Company’s overall risk management processes. For example, (1) the security organization is engaged in all major changes to the Company’s environment or products to conduct a risk assessment and identify potential cybersecurity risk; (2) cybersecurity risk is a component of the Company’s enterprise risk management program and managed within the Company’s risk register; (3) the security organization works with senior leadership across the Company to prioritize our risk management processes and mitigate cybersecurity threats that are most likely to lead to a material impact to our business; and (4) our senior management evaluates material risks from cybersecurity threats against our overall business objectives and reports the results to the board of directors, which evaluates our overall enterprise risk.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third-party service providers to assist us from time to time to identify, assess, and manage material risks from cybersecurity threats, including for example: professional services firms, including legal counsel; cybersecurity software providers; managed cybersecurity service providers; penetration testing firms; and forensic investigators.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third-party service providers to perform a variety of functions throughout our business, such as providing cloud-based infrastructure, hosting third party applications, and delivering content to customers, as well as data center hosting. We have a formal vendor management program designed to manage cybersecurity risks associated with our use of these providers. The procurement organization conducts an initial risk assessment to determine the criticality of the vendor prior to onboarding. Depending on the criticality of the vendor–which is based on the nature of the services provided, the sensitivity of the Information Systems and Data at issue, and the identity of the provider–our security organization conducts our vendor security review process, which involves different levels of assessment designed to identify cybersecurity risks associated with a provider prior to onboarding and on a periodic basis, including, for example: (1) a vendor security questionnaire; (2) results of audit reports and certifications; and (3) policies and standards detailing the third-party’s security program. Based on the results of the vendor security review, a decision is made on whether the third-party can be engaged. We review our most critical providers' audit reports and certifications on a regular basis to reassess whether or not they have experienced any material changes or degradations to their security programs since our initial review that may warrant re-evaluation.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attempts to engage reputable third-party service providers and when appropriate, imposes contractual obligations related to cybersecurity on its providers.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For a description of the risks from cybersecurity threats that may materially affect the Company and how they may do so, see our risk factors under Part 1. Item 1A. Risk Factors in this Annual Report on Form 10-K, including “If our IT Systems or data, or those of third parties upon which we rely, are compromised, limited, or fail, our business could experience materially adverse consequences, including but not limited to regulatory investigations or actions, litigation, fines and penalties, disruptions of our business operations, loss of revenue or profits, loss of customers or sales, reputational harm, and other adverse consequences.”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addresses the Company’s cybersecurity risk management as part of its general risk oversight function. The board of directors is responsible for overseeing the Company’s cybersecurity risk management processes, including oversight and mitigation of risks from cybersecurity threats.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cybersecurity risk assessment and management processes are implemented and maintained by certain Company management, including our CISO, Mr. Marshall Erwin. Our CISO has experience in the technology and government industries, including through his previous roles as CISO for a major Internet company and an analyst in the US intelligence community. He also served as the cybersecurity and counterterrorism advisor on the Senate Homeland Security and Government Affairs Committee and as the intelligence specialist at the Congressional Research Service.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CISO is responsible for hiring appropriate personnel, helping to integrate cybersecurity risk considerations into the Company’s overall risk management strategy, and communicating key priorities to relevant personnel. Our CISO is responsible for approving budgets, helping prepare for cybersecurity incidents, approving cybersecurity processes, and reviewing security assessments and other security-related reports.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incident response plan is designed to escalate certain cybersecurity incidents, including breaches, to members of management depending on the circumstances, including our CISO, Chief Legal Officer, and other members of leadership when appropriate. The security incident and response team works with relevant subject matter experts across the organization when necessary to help the Company mitigate and remediate cybersecurity incidents of which they are notified. In addition, the Company’s incident response plan includes reporting to the board of directors for cybersecurity incidents the Company's disclosure committee determines are material. The disclosure committee, which includes members of management such as our Chief Financial Officer and Chief Legal Officer, meets quarterly. The CISO acts in an advisory capacity to the Company's disclosure committee on an as-needed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receives periodic reports at least annually from our CISO concerning the Company’s significant cybersecurity threats and risk and the processes the Company has implemented to address them. Our board of directors also receives various reports, summaries or presentations related to cybersecurity threats, risk and mitigation. </w:t>
      </w:r>
    </w:p>
    <w:p>
      <w:pPr>
        <w:pStyle w:val="TextBody"/>
        <w:bidi w:val="0"/>
        <w:spacing w:before="0" w:after="0"/>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is located in San Francisco, California and consists of approximately 56,308 square feet of space under a lease that expires on July 31, 2034. We also maintain offices in Denver, Colorado; Pleasanton, California; New York, New York; London, England; and Tokyo, Japan. We lease all of our facilities and do not own any real property. We believe that our facilities are sufficient to meet our needs for the immediate future, and that, should it be needed, suitable additional space will be available to accommodate expansion of our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Please refer to Note 9—Commitments and Contingencies for discussion around our legal proceedings.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has been traded on the Nasdaq Global Select Market under the symbol “FSLY” since December 9, 2025. Prior to that date, our common stock was traded on the New York Stock Exchange from May 17, 2019, through December 8, 2025.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were 39 holders of record of our common stock. The number of beneficial stockholders is substantially greater than the number of holders of record because a large portion of our common stock is held through brokerage firms.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presented below the cumulative total return to our stockholders between December 31, 2020 through December 31, 2025 in comparison to the S&amp;P 500 Index and S&amp;P 500 Information Technology Index. The graph assumes a $100 initial investment at the market close on December 31, 2020. The comparisons are based on historical data and are not indicative of, nor intended to forecast, the future performance of our common stock.</w:t>
      </w:r>
    </w:p>
    <w:p>
      <w:pPr>
        <w:pStyle w:val="TextBody"/>
        <w:bidi w:val="0"/>
        <w:spacing w:before="0" w:after="0"/>
        <w:jc w:val="left"/>
        <w:rPr/>
      </w:pPr>
      <w:r>
        <w:rPr/>
      </w:r>
    </w:p>
    <w:p>
      <w:pPr>
        <w:pStyle w:val="TextBody"/>
        <w:bidi w:val="0"/>
        <w:spacing w:before="0" w:after="0"/>
        <w:ind w:left="0" w:right="0" w:firstLine="90"/>
        <w:jc w:val="left"/>
        <w:rPr/>
      </w:pPr>
      <w:r>
        <w:rPr/>
        <w:drawing>
          <wp:inline distT="0" distB="0" distL="0" distR="0">
            <wp:extent cx="6667500" cy="2381250"/>
            <wp:effectExtent l="0" t="0" r="0" b="0"/>
            <wp:docPr id="7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 descr=""/>
                    <pic:cNvPicPr>
                      <a:picLocks noChangeAspect="1" noChangeArrowheads="1"/>
                    </pic:cNvPicPr>
                  </pic:nvPicPr>
                  <pic:blipFill>
                    <a:blip r:embed="rId3"/>
                    <a:stretch>
                      <a:fillRect/>
                    </a:stretch>
                  </pic:blipFill>
                  <pic:spPr bwMode="auto">
                    <a:xfrm>
                      <a:off x="0" y="0"/>
                      <a:ext cx="6667500" cy="2381250"/>
                    </a:xfrm>
                    <a:prstGeom prst="rect">
                      <a:avLst/>
                    </a:prstGeom>
                  </pic:spPr>
                </pic:pic>
              </a:graphicData>
            </a:graphic>
          </wp:inline>
        </w:drawing>
      </w:r>
      <w:bookmarkStart w:id="1" w:name="i-2"/>
      <w:bookmarkEnd w:id="1"/>
    </w:p>
    <w:p>
      <w:pPr>
        <w:pStyle w:val="TextBody"/>
        <w:bidi w:val="0"/>
        <w:spacing w:before="0" w:after="0"/>
        <w:ind w:left="0" w:right="0" w:firstLine="9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54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required.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4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the consolidated financial statements and related notes that are included elsewhere in this Annual Report on Form 10-K. This discussion contains forward-looking statements based upon current plans, expectations, and beliefs that involve risks and uncertainties. Actual results may differ materially from those anticipated in these forward-looking statements as a result of various factors, including those set forth under “Risk Factors” and in other parts of this Annual Report on Form 10-K. Our fiscal year ends on December 31.</w:t>
      </w:r>
    </w:p>
    <w:p>
      <w:pPr>
        <w:pStyle w:val="TextBody"/>
        <w:bidi w:val="0"/>
        <w:spacing w:lineRule="auto" w:line="288" w:before="0" w:after="240"/>
        <w:ind w:left="0" w:right="0" w:firstLine="540"/>
        <w:jc w:val="left"/>
        <w:rPr/>
      </w:pPr>
      <w:r>
        <w:rPr>
          <w:rFonts w:ascii="Times New Roman;serif" w:hAnsi="Times New Roman;serif"/>
          <w:b w:val="false"/>
          <w:i/>
          <w:color w:val="000000"/>
          <w:sz w:val="20"/>
        </w:rPr>
        <w:t>As used herein, “Fastly,</w:t>
      </w:r>
      <w:r>
        <w:rPr>
          <w:color w:val="000000"/>
        </w:rPr>
        <w:t>” “</w:t>
      </w:r>
      <w:r>
        <w:rPr>
          <w:rFonts w:ascii="Times New Roman;serif" w:hAnsi="Times New Roman;serif"/>
          <w:b w:val="false"/>
          <w:i/>
          <w:color w:val="000000"/>
          <w:sz w:val="20"/>
        </w:rPr>
        <w:t>we,</w:t>
      </w:r>
      <w:r>
        <w:rPr>
          <w:color w:val="000000"/>
        </w:rPr>
        <w:t>” “</w:t>
      </w:r>
      <w:r>
        <w:rPr>
          <w:rFonts w:ascii="Times New Roman;serif" w:hAnsi="Times New Roman;serif"/>
          <w:b w:val="false"/>
          <w:i/>
          <w:color w:val="000000"/>
          <w:sz w:val="20"/>
        </w:rPr>
        <w:t>our,</w:t>
      </w:r>
      <w:r>
        <w:rPr>
          <w:color w:val="000000"/>
        </w:rPr>
        <w:t>” “</w:t>
      </w:r>
      <w:r>
        <w:rPr>
          <w:rFonts w:ascii="Times New Roman;serif" w:hAnsi="Times New Roman;serif"/>
          <w:b w:val="false"/>
          <w:i/>
          <w:color w:val="000000"/>
          <w:sz w:val="20"/>
        </w:rPr>
        <w:t>the Company</w:t>
      </w:r>
      <w:r>
        <w:rPr>
          <w:color w:val="000000"/>
        </w:rPr>
        <w:t xml:space="preserve">” </w:t>
      </w:r>
      <w:r>
        <w:rPr>
          <w:rFonts w:ascii="Times New Roman;serif" w:hAnsi="Times New Roman;serif"/>
          <w:b w:val="false"/>
          <w:i/>
          <w:color w:val="000000"/>
          <w:sz w:val="20"/>
        </w:rPr>
        <w:t>and similar terms include Fastly, Inc. and its subsidiaries,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Organizations around the world are more dependent on the quality of digital experiences they provide than ever before. As the internet approaches an inflection point where automated, artificial intelligence (“AI”)-driven traffic increases demands on infrastructure, Fastly is the essential platform to deliver resilient, highly performant, always-on software and services at global scale.</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edge cloud is a category of Infrastructure as a Service (“IaaS”) that enables software engineers to build, secure, and deliver digital experiences at the edge of the Internet. Our platform represents the convergence of the Content Delivery Network (“CDN”) with functionality that has traditionally been delivered by hardware-centric appliances such as Application Delivery Controllers (“ADC”), Web Application Firewalls (“WAF”), API Management, Bot Detection, Distributed Denial of Service (“DDoS”), Web Application and API Protection (“WAAP”), and infrastructure protection.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Processing at the edge is an ideal way to handle highly dynamic and time-sensitive data, especially when performance matters. Organizations of all sizes, including Fortune 500 companies that run 24/7 operations, leverage our edge cloud platform for a diverse range of critical functions that benefit from processing at the edge, including enhancing user experience, scaling agentic AI workloads, and powering core commerce capabilities to drive conversion and customer success. The edge cloud complements data center, central cloud, and hybrid solutions, and is critical for responsive, safe, and secure AI-centric experiences.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Fastly focuses holistically on the edge cloud from developer creation to end-user experience, with our global footprint and integrated security core to our platform. Our platform is poised to capitalize on the rise of agentic AI, where autonomous agent consumption is driving the bulk of internet traffic. Fastly is uniquely positioned – and has laid the groundwork – to lead the intelligence fabric that helps enterprises adapt to this shift. We are capturing this opportunity by supporting edge workloads and AI traffic management, allowing organizations to optimize AI-driven services alongside human interactions. We play a unique role in helping enterprises optimize and accelerate interactions with authorized AI agents and blocking abuse, powering their differentiation and AI-fueled innovation.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Organizations must keep up with a complex and ever-evolving landscape. We’ve built a powerful unified edge platform designed from the ground up to be programmable and support agile software development, and we continuously drive innovation to meet the ever changing needs of our customers. We believe that our platform gives our customers a significant competitive advantage – whether they were born into the AI-centric digital age or are just embarking on their transformation journey.</w:t>
      </w:r>
    </w:p>
    <w:p>
      <w:pPr>
        <w:pStyle w:val="TextBody"/>
        <w:bidi w:val="0"/>
        <w:spacing w:before="0" w:after="0"/>
        <w:jc w:val="left"/>
        <w:rPr/>
      </w:pPr>
      <w:r>
        <w:rPr/>
      </w:r>
    </w:p>
    <w:p>
      <w:pPr>
        <w:pStyle w:val="TextBody"/>
        <w:bidi w:val="0"/>
        <w:spacing w:lineRule="auto" w:line="276" w:before="0" w:after="240"/>
        <w:ind w:left="0" w:right="0" w:firstLine="720"/>
        <w:jc w:val="left"/>
        <w:rPr/>
      </w:pPr>
      <w:r>
        <w:rPr>
          <w:rFonts w:ascii="Times New Roman;serif" w:hAnsi="Times New Roman;serif"/>
          <w:b w:val="false"/>
          <w:color w:val="000000"/>
          <w:sz w:val="20"/>
          <w:shd w:fill="FFFFFF" w:val="clear"/>
        </w:rPr>
        <w:t>We focus our direct selling efforts on expanding our customers</w:t>
      </w:r>
      <w:r>
        <w:rPr>
          <w:color w:val="000000"/>
        </w:rPr>
        <w:t>’</w:t>
      </w:r>
      <w:r>
        <w:rPr>
          <w:color w:val="000000"/>
          <w:shd w:fill="FFFFFF" w:val="clear"/>
        </w:rPr>
        <w:t xml:space="preserve"> </w:t>
      </w:r>
      <w:r>
        <w:rPr>
          <w:rFonts w:ascii="Times New Roman;serif" w:hAnsi="Times New Roman;serif"/>
          <w:b w:val="false"/>
          <w:color w:val="000000"/>
          <w:sz w:val="20"/>
          <w:shd w:fill="FFFFFF" w:val="clear"/>
        </w:rPr>
        <w:t>use of our platform, which includes companies that are exhibiting significant growth. We engage with and support these customers with our field sales representatives, account managers, and technical account managers who focus on customer satisfaction and drive expansion of their usage of our platform and products. These teams work with technical and business leaders to help our customers’ end users receive the best possible digital experience, while also lowering our customers’ total cost of ownership. These direct selling efforts are reflected by the revenue generated by our enterprise customers. Our Last-Twelve Months Net Retention Rate (“LTM NRR”) metric also measures the revenue growth from existing customers attributable to increased usage of our platform and features, and purchase of additional products and services. For additional details on our key metrics, refer to the “Key Business Metrics” section.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substantially all of our revenue from charging our customers based on their usage of our platform, and we generate a substantial majority of our revenue from customers that have negotiated contracts with us. Customers typically choose to utilize our platform for Network Services, for which we charge fees based on their committed or actual use of our platform, as measured in gigabytes and requests. Many of our customers generate billings in excess of their minimum commitment. We also generate revenue from Security and Other product lines, including Compute and Observability, as well as professional and other services, such as implementation, account management and enhanced customer support. We charge a flat one-time or recurring monthly fee depending on the additional products and services selected. Typically, the term of our contracts with customers is 12 months and includes a minimum monthly billing commitment in exchange for more favorable pricing terms. In addition, customers can sign up online by providing their credit card information and agreeing to a minimum monthly fee.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majority of our revenue is usage based and changes in usage by our largest customers can create volatility in our revenue. The length of our sales cycles, from initial evaluation to payment, can range from several months to well over a year and can vary substantially from customer to customer. Similarly, the onboarding and ramping process with new as well as existing enterprise customers with new business can take several months and can be subject to delays for unanticipated reasons. The timing of new revenue from our sales efforts and changes in usage by our largest customers can make revenue difficult to predict.</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our revenue was $624.0 million and $543.7 million, respectively, an increase of 15%. We incurred a net loss of $121.7 million and $158.1 million in the years ended December 31, 2025 and 2024, respectively.</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10 largest customers generated an aggregate of 32% and 33% of our revenue in the trailing 12 months ended December 31, 2025 and 2024, respectively.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single customer accounted for more than 10% of revenue for the years ended December 31, 2025 and 2024. Affiliated customers that are business units of a single company generated an aggregate of 10% of the Company’s revenue for the year ended December 31, 2025. No affiliated customers that are business units of a single company generated more than 10% of revenue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focused on continuing to attract new customers and expanding our relationship with existing customers by enhancing our product experience, investing in technology, and leveraging our partner ecosystem. Our customer base ranges from emerging companies to large enterprises undergoing digital transformation across diverse industries and verticals. Utilizing our direct sales force, we have multiple selling points within organizations to acquire new customers and increase usage from our existing customers. We will continue to increase our discretionary marketing spend, including account-based, targeted demand generation and brand spend, to drive the effectiveness of our sales teams. As a result, we expect our total operating expenses to increase as we continue to expand. A key component of our cost-efficient customer acquisition strategy is developer outreach, as developers often advocate for the adoption and promotion of our platform within their organizations and across the broader developer community. We will also continue to build out a single, unified platform, simplify customer onboarding and service usage, and simplify our pricing and packaging. This will require us to dedicate significant resources to further develop the market for our platform and differentiate our platform from competitive products and services. We will also need to expand, retain, and motivate our sales and marketing personnel in order to target our sales efforts at larger enterprises and senior management of these potential customers.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emphasize retaining our customers and expanding their usage of our platform and adoption of our other products. Customers often begin with smaller deployments of one of our products and then expand their usage over time. Our platform includes a variety of offerings across Network Services, Security, and Other product lines, including Compute and Observability. As our customers mature, we assist them in expanding their use of our platform, including the use of additional offerings beyond content delivery or security. In addition, given that customer acquisition costs are incurred largely for acquiring and initial onboarding, we may gain operating leverage to the extent that existing customers expand their use of our platform and products. Our ability to retain customers and expand their usage could be impaired for a variety of reasons, including a customer moving to another provider or reducing usage within the term of their contract. Even if our customers expand their usage of our platform, we cannot guarantee that they will maintain those usage levels for any meaningful period of time or that they will renew their commitments.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continue expanding our efforts to attract customers outside of the United States by augmenting our sales teams and strategically increasing our presence in the number of markets in select international locations. Our international expansion, including our global sales efforts, continues to add increased complexity and cost to our business. This requires us to continue to expand our sales and marketing capabilities outside of the United States, increase the number of markets we have a presence in around the world to support our customers, and manage the administrative aspects of a global organization, each of which place a strain on our business and culture. In addition, our bandwidth costs are higher in markets outside of the United States and Europe, which may impact our gross margins.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jurisdictions have enacted laws on data localization and cross-border data transfers, and the evolving enforcement and interpretation of such laws has created uncertainty regarding data stored abroad and transferred across borders, which could impact customer growth and acquisition for customers and potential customers conducting business in Europe and elsewhere outside of the United States. In addition, we cannot be certain what actions the United States or another country’s government may take with respect to certain of our customers that may adversely affect our ability to do business with our customers that operate in China, target China as a market or that have strong business ties to China, and any such governmental action could have a negative impact on our business. In April 2024, under the prior administration, a bill was signed into law that would effectively ban TikTok in the United States if ByteDance, its China-based parent company, does not sell its stake in TikTok within a set time frame. Following a series of executive orders in 2025 that suspended enforcement of this law, on January 22, 2026, ByteDance announced the establishment of TikTok USDS Joint Venture LLC in compliance with the law to secure United States user data, apps, and the algorithm through data privacy and cybersecurity measures. TikTok was one of our largest customers for the year ended December 31, 2025 and remains a customer of ours. We do not know how the restructuring may impact our traffic levels. For additional details, refer to the section titled “Risk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closely monitoring various global conflicts and developments, including, but not limited to, the conflict between Russia and Ukraine, as well as the hostilities in the Middle East, and their global impacts. While the conflicts are still evolving and the outcomes remain highly uncertain, we do not believe the Russia-Ukraine, Israel-Hamas, or other conflicts will have a material impact on our business and results of operations. We do not have Points of Presence (“POPs”) in Russia, Ukraine, or Israel. However, some threat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If such conflicts continue or worsen, leading to greater global economic disruptions and uncertainty, our business and results of operations could be materially impacted.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must continue to invest in our platform and network infrastructure to maintain our position in the market. We expect our revenue growth to be dependent on an expanding customer base and continued adoption of our edge cloud delivery, security, and other products and services. In anticipation of winning new customers and staying ahead of our customers’ needs, we plan to continue to invest in order to expand the scale and capacity of our software-defined modern network. This could result in increased network service provider fees, which could adversely affect our gross margins if we are unable to offset these costs with revenue from new customers and increase revenue from existing customers. Our customers require constant innovation within their own organizations and expect the same from us. Therefore, we will continue to invest in resources to enhance our development capabilities and introduce new products and features on our platform. We believe that investment in research and development will contribute to our long-term growth but may also negatively impact our short-term profitability. For the years ended December 31, 2025 and 2024, our research and development expenses as a percentage of revenue were 26% and 25%, respectively. Our research and development expenses in each period are impacted by the amount of software development costs that meet the criteria for capitalization. We may also seek to acquire or invest in businesses, products, or technologies that we believe could complement or expand our platform, enhance our technical capabilities, or otherwise offer growth opportunities.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Developers use our platform to build custom applications and require a state-of-the-art infrastructure to test and run these applications. We will continue to invest in our network infrastructure by strategically increasing our POPs. We also anticipate making investments in upgrading our technology and hardware to continue providing our customers a fast and secure platform. Our gross margins and operating results are impacted by these investments. As we continue to experience growth, we may face challenges managing adequate server capacity in our POPs due to potential component delays, shortages, price increases, hardware efficiencies gained through internal development, or any potential changes in server architecture, including due to technological advances or obsolescence. If we have server asset levels in excess of forecasted network capacity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need to continue to write-down or write-off server assets. Conversely, if we underestimate network capacity needs, we may in future periods be unable to meet demand and be required to incur higher costs to secure necessary parts and components of our servers.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international trade disputes may further disrupt or delay our supply chain for these components or lead to pricing increases. For example, the United States has imposed or indicated an intention to impose tariffs on certain countries which may lead to retaliatory actions such as counter-tariffs and increase production costs and disruptions in our supply chain. The United States and other jurisdictions have also leveraged various trade and value chain requirements, including on environmental and social criteria, which may make sourcing more costly, require us to change suppliers, or otherwise adversely impact our operations. Further, it is possible that government policy changes, including policy changes made with little to no advance notice, and related uncertainty about policy changes could increase market volatility. If our supply of certain components is further disrupted or delayed, there can be no assurance that we will be able to obtain adequate replacements for the existing components or that supplies will be available on terms and prices that are favorable to us, if at all. In the event that there are errors in software, failures of hardware, damages to a facility or misconfigurations of any of our services, whether caused by our own error, security breaches, third-party error, or natural disasters, we could experience lengthy interruptions in our platform availability as well as delays and additional expenses in arranging new facilities and services. In addition, there can be no assurance that we are adequately prepared for unexpected increases in bandwidth demands by our customers, particularly when we or our customers experience cyber-attacks. The bandwidth we have contracted to purchase may become unavailable for a variety of reasons, including service outages, payment disputes, network providers going out of business, natural disasters, networks imposing traffic limits, or governments adopting regulations that impact network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pPr>
      <w:r>
        <w:rPr>
          <w:rFonts w:ascii="Times New Roman;serif" w:hAnsi="Times New Roman;serif"/>
          <w:b/>
          <w:color w:val="000000"/>
          <w:sz w:val="20"/>
        </w:rPr>
        <w:t>Key Business Metrics</w:t>
      </w:r>
      <w:r>
        <w:rPr>
          <w:color w:val="000000"/>
        </w:rPr>
        <w:t xml:space="preserve">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the following key metrics presented in the table below to evaluate our business, measure our performance, identify trends affecting our business, prepare financial projections, and make strategic decisions. The calculation of these key metrics below may differ from other similarly titled metrics used by other companies, analysts, or investors.</w:t>
      </w:r>
    </w:p>
    <w:tbl>
      <w:tblPr>
        <w:tblW w:w="7004" w:type="dxa"/>
        <w:jc w:val="left"/>
        <w:tblInd w:w="0" w:type="dxa"/>
        <w:tblLayout w:type="fixed"/>
        <w:tblCellMar>
          <w:top w:w="28" w:type="dxa"/>
          <w:left w:w="28" w:type="dxa"/>
          <w:bottom w:w="28" w:type="dxa"/>
          <w:right w:w="28" w:type="dxa"/>
        </w:tblCellMar>
      </w:tblPr>
      <w:tblGrid>
        <w:gridCol w:w="1555"/>
        <w:gridCol w:w="1364"/>
        <w:gridCol w:w="1370"/>
        <w:gridCol w:w="109"/>
        <w:gridCol w:w="109"/>
        <w:gridCol w:w="109"/>
        <w:gridCol w:w="196"/>
        <w:gridCol w:w="556"/>
        <w:gridCol w:w="256"/>
        <w:gridCol w:w="109"/>
        <w:gridCol w:w="109"/>
        <w:gridCol w:w="109"/>
        <w:gridCol w:w="196"/>
        <w:gridCol w:w="556"/>
        <w:gridCol w:w="301"/>
      </w:tblGrid>
      <w:tr>
        <w:trPr/>
        <w:tc>
          <w:tcPr>
            <w:tcW w:w="15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Customer Count (based on current quarter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Enterprise Customer Count (based on annualized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Annual Revenue Retention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Last-twelve Months Net Retention Rate (“LTM NRR”)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240" w:after="240"/>
              <w:jc w:val="left"/>
              <w:rPr>
                <w:rFonts w:ascii="Times New Roman;serif" w:hAnsi="Times New Roman;serif"/>
                <w:b w:val="false"/>
                <w:color w:val="000000"/>
                <w:sz w:val="18"/>
              </w:rPr>
            </w:pPr>
            <w:r>
              <w:rPr>
                <w:rFonts w:ascii="Times New Roman;serif" w:hAnsi="Times New Roman;serif"/>
                <w:b w:val="false"/>
                <w:color w:val="000000"/>
                <w:sz w:val="18"/>
              </w:rPr>
              <w:t>Remaining Performance Obligations (“RPO”)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Total Customer Count</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total number of customers is an important indicator of the adoption of our platform. Our definition of a customer consists of identifiable operating entities with which we have a billing relationship in good standing and which we have recognized revenue from during the reporting period. An identifiable operating entity is defined as a company, a government entity, or a distinct business unit of a larger company that has a relationship with us through direct sales or through one of our reseller partners where charges are identified on an end-customer basis. We may treat separate subsidiaries, segments, divisions, or business units of a single organization that use our platform as unique customers where they have distinct account identifiers. In cases where charges are identified through a reseller partner rather than on an end-customer basis, we would count the reseller as a single customer in our customer count. Our customer groupings may be impacted by changes to our customers’ business, including any impact from acquisition activities, internal business reorganizations leading to operational and decision-making changes, and corporate structure changes such as subsidiary consolidation and reorganization that may arise in the future. During the fourth quarter of 2024, we identified an immaterial error in the historical calculation of our total customer count related to our online self-service customers. Revenue that would have been recorded for these customers was less than $0.1 million for the quarter ended December 31, 2024. Due to the immateriality, we have not revised prior periods.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paying customers, we also have trial, developer, nonprofit and open source programs, and other non-paying accounts that are excluded from our customer count metric. We operate globally and as a result, the success of our ability to retain our customers is also affected by general economic and market conditions around the world. As of December 31, 2025 and 2024, we had 3,092 and 3,061 customers,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Enterprise Customer Count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our revenue has been driven primarily by a subset of our customers, our enterprise customers, who have leveraged our platform substantially from a usage standpoint. We believe that the recruitment and cultivation of enterprise customers is critical to our long-term success. Our enterprise customer count is defined as customers with annualized current quarter revenue in excess of $100,000. This is calculated by taking the revenue we recognized for each customer in the current quarter and multiplying it by four. As of December 31, 2025, we had 628 enterprise customers which generated 94% of the total annualized current quarter revenue for our total customers for the period ended December 31, 2025. As of December 31, 2024, we had 596 enterprise customers which generated 93% of the total annualized current quarter revenue for our total customers for the period ended December 31, 2024.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Annual Revenue Retention Rate (“ARR”)</w:t>
      </w:r>
    </w:p>
    <w:p>
      <w:pPr>
        <w:pStyle w:val="TextBody"/>
        <w:bidi w:val="0"/>
        <w:spacing w:lineRule="auto" w:line="288" w:before="240" w:after="240"/>
        <w:ind w:left="0" w:right="0" w:firstLine="720"/>
        <w:jc w:val="left"/>
        <w:rPr/>
      </w:pPr>
      <w:r>
        <w:rPr>
          <w:rFonts w:ascii="Times New Roman;serif" w:hAnsi="Times New Roman;serif"/>
          <w:b w:val="false"/>
          <w:color w:val="000000"/>
          <w:sz w:val="20"/>
        </w:rPr>
        <w:t xml:space="preserve">We separately monitor customer retention and churn on an annual basis by measuring our annual revenue retention rate, which we calculate by first multiplying the final full month of revenue from a customer that terminated its contract with us (a </w:t>
      </w:r>
      <w:r>
        <w:rPr>
          <w:color w:val="000000"/>
        </w:rPr>
        <w:t>“</w:t>
      </w:r>
      <w:r>
        <w:rPr>
          <w:rFonts w:ascii="Times New Roman;serif" w:hAnsi="Times New Roman;serif"/>
          <w:b w:val="false"/>
          <w:color w:val="000000"/>
          <w:sz w:val="20"/>
        </w:rPr>
        <w:t>Churned Customer</w:t>
      </w:r>
      <w:r>
        <w:rPr>
          <w:color w:val="000000"/>
        </w:rPr>
        <w:t>”</w:t>
      </w:r>
      <w:r>
        <w:rPr>
          <w:rFonts w:ascii="Times New Roman;serif" w:hAnsi="Times New Roman;serif"/>
          <w:b w:val="false"/>
          <w:color w:val="000000"/>
          <w:sz w:val="20"/>
        </w:rPr>
        <w:t xml:space="preserve">) by the number of months remaining in the same calendar year to get our </w:t>
      </w:r>
      <w:r>
        <w:rPr>
          <w:color w:val="000000"/>
        </w:rPr>
        <w:t>“</w:t>
      </w:r>
      <w:r>
        <w:rPr>
          <w:rFonts w:ascii="Times New Roman;serif" w:hAnsi="Times New Roman;serif"/>
          <w:b w:val="false"/>
          <w:color w:val="000000"/>
          <w:sz w:val="20"/>
        </w:rPr>
        <w:t>Annual Revenue Churn</w:t>
      </w:r>
      <w:r>
        <w:rPr>
          <w:color w:val="000000"/>
        </w:rPr>
        <w:t>”</w:t>
      </w:r>
      <w:r>
        <w:rPr>
          <w:rFonts w:ascii="Times New Roman;serif" w:hAnsi="Times New Roman;serif"/>
          <w:b w:val="false"/>
          <w:color w:val="000000"/>
          <w:sz w:val="20"/>
        </w:rPr>
        <w:t xml:space="preserve">. The quotient of the Annual Revenue Churn from all of our Churned Customers divided by our annual revenue of the same calendar year is then subtracted from 100% to determine our annual revenue retention rate. We believe this calculation is helpful in that it is based on the amount of revenue that we would expect to have received in the remaining portion of a particular period had a customer not terminated its contract with us. It is not indicative of the actual revenue contribution from churned customers in past periods. By comparing this amount to actual revenue for the period, we are able to assess our ability to replace terminated revenue by generating revenue from new and continuing customers. </w:t>
      </w:r>
    </w:p>
    <w:p>
      <w:pPr>
        <w:pStyle w:val="TextBody"/>
        <w:bidi w:val="0"/>
        <w:spacing w:lineRule="auto" w:line="276"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ARR rate is calculated by subtracting the quotient of the Annual Revenue Churn from all of our Churned Customers from which we recognized revenue during the last quarter of the prior year divided by our annual revenue of the same calendar year from 100%. For the years ended December 31, 2025 and 2024 the ARR was 98.7% and 99.0%,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Last-Twelve Months Net Retention Rate (“LTM NRR”)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and increase our revenue is also dependent upon our ability to retain our existing customers. LTM NRR allows us to track customer retention which demonstrates the stickiness of our edge cloud platform. </w:t>
      </w:r>
    </w:p>
    <w:p>
      <w:pPr>
        <w:pStyle w:val="TextBody"/>
        <w:bidi w:val="0"/>
        <w:spacing w:lineRule="auto" w:line="276"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LTM NRR removes some of the volatility that is inherent in a usage-based business model from the measurement of the NRR metric. We calculate LTM NRR by dividing the total customer revenue for the prior twelve-month period (“prior 12-month period”) ending at the beginning of the last twelve-month period (“LTM period”) minus revenue contraction due to billing decreases or customer churn, plus revenue expansion due to billing increases during the LTM period from the same customers by the total prior 12-month period revenue. For the trailing twelve months ended December 31, 2025 and 2024 our LTM NRR was 110.1% and 102.3%, respectively.</w:t>
      </w:r>
    </w:p>
    <w:p>
      <w:pPr>
        <w:pStyle w:val="TextBody"/>
        <w:bidi w:val="0"/>
        <w:spacing w:lineRule="auto" w:line="276" w:before="240" w:after="240"/>
        <w:jc w:val="left"/>
        <w:rPr>
          <w:rFonts w:ascii="Times New Roman;serif" w:hAnsi="Times New Roman;serif"/>
          <w:b/>
          <w:i/>
          <w:color w:val="000000"/>
          <w:sz w:val="20"/>
        </w:rPr>
      </w:pPr>
      <w:r>
        <w:rPr>
          <w:rFonts w:ascii="Times New Roman;serif" w:hAnsi="Times New Roman;serif"/>
          <w:b/>
          <w:i/>
          <w:color w:val="000000"/>
          <w:sz w:val="20"/>
        </w:rPr>
        <w:t>Remaining Performance Obligations (“RPO”)</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RPO represent future committed revenue for periods within current contracts with customers, as well as deferred revenue arising from consideration invoiced for which the related performance obligations have not been satisfied. As of December 31, 2025, the aggregate amount of the transaction price in our contracts allocated to RPO that were unsatisfied or partially unsatisfied was $353.8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Key Components of Statement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derive our revenue primarily from usage-based fees earned from customers using our platform. We also earn fixed-rate recurring revenue from security and other products and services.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usage-based fees earned from customers using our platform are generally billed in arrears. Our security products are primarily annual subscriptions that are billed in advance. Many customers have tiered usage pricing which reflects discounted rates as usage increases. For most contracts, usage charges are determined on a monthly basis based on actual usage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within the month and do not impact usage charges within any other month. Our larger customers often enter into contracts that contain minimum billing commitments and reflect discounted pricing associated with such usage levels.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present our disaggregated revenue by three product lines: Network Services, Security, and Other. Network Services include solutions designed to improve performance of websites, apps, application programming interfaces (“APIs”), and digital media. Security includes products designed to protect websites, apps, APIs and users. Other includes Compute solutions that allow developers to build and deploy modern web applications on our edge cloud platform, and Observability solutions that provide real-time logs, data and metrics streamed from our edge platform for actionable insights.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United States revenue (“U.S. revenue”) as revenue from customers that have a billing address in the United States, and we define international revenue as revenue from customers that have a billing address outside of the United States.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Revenue and Gross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consists primarily of fees paid to network providers for bandwidth and to third-party network data centers for housing servers, also known as colocation costs. Cost of revenue also includes employee costs for network operation, build-out and support and services delivery, network storage costs, cost of managed services and software-as-a-service, depreciation of network equipment used to deliver services, and amortization of network-related internal-use software. Our arrangements with network service providers require us to pay fees based on bandwidth use, in some cases subject to minimum commitments, which may be underutilized. Over the long term we expect cost of revenue to decrease as a percentage of revenue as we continue to drive efficiencies in our operations. However, our cost of revenue may fluctuate as a percentage of our revenue from period to period due to the timing and extent of these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gross margin has been and will continue to be affected by a number of factors, including utilization of our network, the timing of our investments in the expansion of our network, which can increase depreciation and colocation costs in advance of expected demand, our ability to manage our network service providers and cloud infrastructure-related fees, the timing of amortization of capitalized software development costs, changes in personnel costs to provide customer support and operate the network, and customer pricing. Over the long term we expect gross margin to increase as we continue to drive efficiencies in our operations and increase our revenue. However, our gross margin may fluctuate from period to period.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 costs, including salaries, benefits, bonuses, and stock-based compensation. Research and development expenses also include cloud infrastructure fees for development and testing, and an allocation of our general overhead expenses. We capitalize the portion of our software development costs that meet the criteria for capitalization.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focus our research and development efforts on adding new features and products including new use cases, improving the efficiency and performance of our network, and increasing the functionality of our existing products. Over the long term we expect our research and development expenses to decrease as a percentage of our revenue. However, our research and development expenses may fluctuate as a percentage of our revenue from period to period due to the timing and extent of these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personnel costs, including commissions for our sales employees, salaries, benefits, bonuses, and stock-based compensation. Sales and marketing expenses also include expenditures related to advertising, marketing, our brand awareness activities, bandwidth and co-location costs for free trial users, costs related to our customer events, including our customer conferences, professional services fees, amortization of our intangible assets, and an allocation of our general overhead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focus our sales and marketing efforts on generating awareness of our platform and products, creating sales leads, and establishing and promoting our brand, both domestically and internationally. Over the long term, we expect our sales and marketing expenses to decrease as a percentage of our revenue. However, our sales and marketing expenses may fluctuate as a percentage of our revenue from period to period due to the timing and extent of these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 costs, including salaries, benefits, bonuses, and stock-based compensation for our administrative support personnel. General and administrative expenses also include costs related to legal and other professional services fees, an allocation of our general overhead expenses, credit losses, and acquisition-related costs.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near term, we expect to continue to incur costs associated with supporting the growth of our business, including international expansion, but expect these costs to decrease as a percentage of our revenue over the long term as we continue to drive efficiencies in our operations. However, our general and administrative expenses may fluctuate as a percentage of our revenue from period to period due to the timing and extent of these expenses.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Impairment Expense</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impairment expense relates to non-recurring charges for our long-lived assets. </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Restructuring Charges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restructuring charges relate to a 2024 restructuring plan to reduce expenses including a reduction of the Company’s workforce. The charges incurred consist primarily of employee-related severance and termination benefits in connection with such 2024 workforce reduction. </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Net Gain on Extinguishment of Debt</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gain on extinguishment of debt relates to the partial retirement of our outstanding senior convertible notes.</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 xml:space="preserve">Other Income and Expenses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income consists primarily of interest earned on our cash, cash equivalents, and investments. Our interest expense consists primarily of the interest expense on our finance leases, amortization of discount, coupon interest expense, and debt issuance costs associated with our debt obligations. Our other expense, net, consists primarily of foreign currency transaction gains and losses. </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expense (benefit) consists primarily of income taxes in certain foreign jurisdictions where we conduct business and state minimum income taxes in the United States. We currently maintain a full valuation allowance on our U.S. Federal and state net deferred tax assets. We expect to maintain this valuation allowance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this section, we discuss the results of our operations for the year ended December 31, 2025 compared to the year ended December 31, 2024. For a discussion of the year ended December 31, 2024 compared to the year ended December 31, 2023, please refer to Part II, Item 7, “Management’s Discussion and Analysis of Financial Condition and Results of Operations” in our Annual Report on Form 10-K for the year ended December 31, 2024. </w:t>
      </w:r>
    </w:p>
    <w:tbl>
      <w:tblPr>
        <w:tblW w:w="6936" w:type="dxa"/>
        <w:jc w:val="left"/>
        <w:tblInd w:w="0" w:type="dxa"/>
        <w:tblLayout w:type="fixed"/>
        <w:tblCellMar>
          <w:top w:w="28" w:type="dxa"/>
          <w:left w:w="28" w:type="dxa"/>
          <w:bottom w:w="28" w:type="dxa"/>
          <w:right w:w="28" w:type="dxa"/>
        </w:tblCellMar>
      </w:tblPr>
      <w:tblGrid>
        <w:gridCol w:w="1375"/>
        <w:gridCol w:w="1209"/>
        <w:gridCol w:w="1211"/>
        <w:gridCol w:w="109"/>
        <w:gridCol w:w="109"/>
        <w:gridCol w:w="109"/>
        <w:gridCol w:w="211"/>
        <w:gridCol w:w="901"/>
        <w:gridCol w:w="109"/>
        <w:gridCol w:w="109"/>
        <w:gridCol w:w="109"/>
        <w:gridCol w:w="109"/>
        <w:gridCol w:w="211"/>
        <w:gridCol w:w="901"/>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(158,058)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 presented as a percentage of our revenue:</w:t>
      </w:r>
    </w:p>
    <w:tbl>
      <w:tblPr>
        <w:tblW w:w="8497" w:type="dxa"/>
        <w:jc w:val="left"/>
        <w:tblInd w:w="0" w:type="dxa"/>
        <w:tblLayout w:type="fixed"/>
        <w:tblCellMar>
          <w:top w:w="28" w:type="dxa"/>
          <w:left w:w="28" w:type="dxa"/>
          <w:bottom w:w="28" w:type="dxa"/>
          <w:right w:w="28" w:type="dxa"/>
        </w:tblCellMar>
      </w:tblPr>
      <w:tblGrid>
        <w:gridCol w:w="2130"/>
        <w:gridCol w:w="1872"/>
        <w:gridCol w:w="1877"/>
        <w:gridCol w:w="109"/>
        <w:gridCol w:w="109"/>
        <w:gridCol w:w="109"/>
        <w:gridCol w:w="233"/>
        <w:gridCol w:w="233"/>
        <w:gridCol w:w="403"/>
        <w:gridCol w:w="162"/>
        <w:gridCol w:w="162"/>
        <w:gridCol w:w="162"/>
        <w:gridCol w:w="233"/>
        <w:gridCol w:w="233"/>
        <w:gridCol w:w="470"/>
      </w:tblGrid>
      <w:tr>
        <w:trPr/>
        <w:tc>
          <w:tcPr>
            <w:tcW w:w="2130"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 as a 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Columns may not add up to 100% due to rounding.</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tbl>
      <w:tblPr>
        <w:tblW w:w="7605" w:type="dxa"/>
        <w:jc w:val="left"/>
        <w:tblInd w:w="0" w:type="dxa"/>
        <w:tblLayout w:type="fixed"/>
        <w:tblCellMar>
          <w:top w:w="28" w:type="dxa"/>
          <w:left w:w="28" w:type="dxa"/>
          <w:bottom w:w="28" w:type="dxa"/>
          <w:right w:w="28" w:type="dxa"/>
        </w:tblCellMar>
      </w:tblPr>
      <w:tblGrid>
        <w:gridCol w:w="624"/>
        <w:gridCol w:w="549"/>
        <w:gridCol w:w="551"/>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6"/>
        <w:gridCol w:w="186"/>
        <w:gridCol w:w="54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Network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Network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was $624.0 million for the year ended December 31, 2025 compared to $543.7 million for the year ended December 31, 2024, an increase of $80.3 million, or 15%. Revenue growth was driven by a $66.4 million increase in revenue related to further adoption of our modern edge platform and products.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approximately 96% and 95% of our revenue was driven by usage on our platform, respectively. Revenue was primarily from existing customers, as revenue from new customers contributed less than 10% of our revenue. The proportion of the revenue contribution between new and existing customers is consistent with prior periods and typical customer behavior as customers tend to contribute more revenue over time as their use of the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increases. The remainder of our revenue was generated by our other products and services, including support and professional services.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Network Services revenue was $477.8 million for the year ended December 31, 2025, compared to $427.7 million for the year ended December 31, 2024, an increase of $50.1 million, or 12%. The increase in Network Services revenue was primarily driven by growth in usage from existing customers. Security revenue was $125.1 million for the year ended December 31, 2025, compared to $103.0 million for the year ended December 31, 2024, an increase of $22.0 million, or 21%. The increase in Security revenue was primarily driven by an increase in Next-Gen WAF revenue, partially offset by a decrease in Fastly legacy WAF revenue. Other revenue was $21.2 million for the year ended December 31, 2025, compared to $12.9 million for the year ended December 31, 2024, an increase of $8.2 million, or 64%. The increase in Other revenue was primarily driven by further adoption of our Compute solutions.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6951" w:type="dxa"/>
        <w:jc w:val="left"/>
        <w:tblInd w:w="0" w:type="dxa"/>
        <w:tblLayout w:type="fixed"/>
        <w:tblCellMar>
          <w:top w:w="28" w:type="dxa"/>
          <w:left w:w="28" w:type="dxa"/>
          <w:bottom w:w="28" w:type="dxa"/>
          <w:right w:w="28" w:type="dxa"/>
        </w:tblCellMar>
      </w:tblPr>
      <w:tblGrid>
        <w:gridCol w:w="504"/>
        <w:gridCol w:w="444"/>
        <w:gridCol w:w="44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6"/>
        <w:gridCol w:w="186"/>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was $267.8 million for the year ended December 31, 2025 compared to $247.7 million for the year ended December 31, 2024, an increase of $20.1 million, or 8%. The increase in cost of revenue is a result of an increase in bandwidth costs of $8.0 million, a $5.5 million increase in amortization of capitalized software and a $4.4 million increase in software costs. There was also a $3.9 million increase in colocation costs, a $1.7 million increase in depreciation expense as a result of increased investments in our platform, as well as a $1.5 million increase in stock-based compensation expenses. This increase was partially offset by a $2.5 million decrease in intangible asset amortization, a $1.3 million decrease in personnel-related costs, a decrease in repair and maintenance cost of $0.6 million, as well as a $0.5 million decrease in network costs.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7066" w:type="dxa"/>
        <w:jc w:val="left"/>
        <w:tblInd w:w="0" w:type="dxa"/>
        <w:tblLayout w:type="fixed"/>
        <w:tblCellMar>
          <w:top w:w="28" w:type="dxa"/>
          <w:left w:w="28" w:type="dxa"/>
          <w:bottom w:w="28" w:type="dxa"/>
          <w:right w:w="28" w:type="dxa"/>
        </w:tblCellMar>
      </w:tblPr>
      <w:tblGrid>
        <w:gridCol w:w="430"/>
        <w:gridCol w:w="375"/>
        <w:gridCol w:w="380"/>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6"/>
        <w:gridCol w:w="186"/>
        <w:gridCol w:w="544"/>
      </w:tblGrid>
      <w:tr>
        <w:trPr/>
        <w:tc>
          <w:tcPr>
            <w:tcW w:w="43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was $356.2 million for the year ended December 31, 2025 compared to $295.9 million for the year ended December 31, 2024, an increase of $60.3 million, or 20%. Gross margin was 57% for the year ended December 31, 2025 compared to 54% for the year ended December 31, 2024, an increase of 3%. The increase in gross margin was driven by revenue growth during the year ended December 31, 2025 outpacing the increases in the costs incurred to support the growth of our network.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358"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69"/>
        <w:gridCol w:w="271"/>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$162.7 million for the year ended December 31, 2025 compared to $138.0 million for the year ended December 31, 2024, an increase of $24.7 million, or 18%. This increase was primarily due to a $10.8 million increase in stock-based compensation expense, a $9.2 million decrease in capitalized software, an increase of $5.7 million of personnel-related costs, as well as a $1.0 million increase in software costs. This increase was partially offset by a $1.4 million decrease in travel and entertainment expense, as well as a $0.6 million decrease in corporate costs.</w:t>
      </w:r>
    </w:p>
    <w:p>
      <w:pPr>
        <w:pStyle w:val="TextBody"/>
        <w:bidi w:val="0"/>
        <w:spacing w:lineRule="auto" w:line="288" w:before="0" w:after="240"/>
        <w:ind w:left="0" w:right="0" w:firstLine="7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Sales and Marketing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were $201.4 million for the year ended December 31, 2025 compared to $198.6 million for the year ended December 31, 2024, an increase of $2.8 million, or 1%. This increase was primarily due to a $3.9 million increase in stock-based compensation expenses, a $0.7 million increase in marketing expenses, and a $0.5 million increase in third party commissions. The increase was partially offset by a $0.8 million decrease in personnel related costs including sales commissions, a $0.6 million decrease in software costs, as well as a $0.5 million decrease in corporate costs.</w:t>
      </w:r>
    </w:p>
    <w:p>
      <w:pPr>
        <w:pStyle w:val="TextBody"/>
        <w:bidi w:val="0"/>
        <w:spacing w:lineRule="auto" w:line="288" w:before="0" w:after="240"/>
        <w:ind w:left="0" w:right="0" w:firstLine="7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General and Administrative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 were $110.7 million for the year ended December 31, 2025 compared to $113.4 million for the year ended December 31, 2024, a decrease of $2.7 million, or 2%. The decrease was primarily due to a $6.9 million decrease in stock-based compensation expenses as well as a $1.4 million decrease in personnel related costs. This decrease was partially offset by a $2.8 million increase in professional service fees, a $1.3 million increase in corporate costs, as well as a $1.0 million increase in executive transition costs.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Impairment Expense</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recognized an impairment charge of $0.4 million, which primarily consisted of the write-off of intangible assets no longer in use. During the year ended December 31, 2024, we recognized an impairment charge of $4.1 million related to property and equipment. </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Restructuring Charges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in an effort to streamline our organization, we initiated a restructuring plan to reduce expenses including a reduction of our workforce. In connection with this plan, we incurred charges of $9.7 million primarily consisting of employee-related severance and termination benefits. There were no restructuring activities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Gain on Extinguishment of Debt</w:t>
      </w:r>
    </w:p>
    <w:tbl>
      <w:tblPr>
        <w:tblW w:w="7870" w:type="dxa"/>
        <w:jc w:val="left"/>
        <w:tblInd w:w="0" w:type="dxa"/>
        <w:tblLayout w:type="fixed"/>
        <w:tblCellMar>
          <w:top w:w="28" w:type="dxa"/>
          <w:left w:w="28" w:type="dxa"/>
          <w:bottom w:w="28" w:type="dxa"/>
          <w:right w:w="28" w:type="dxa"/>
        </w:tblCellMar>
      </w:tblPr>
      <w:tblGrid>
        <w:gridCol w:w="1087"/>
        <w:gridCol w:w="954"/>
        <w:gridCol w:w="958"/>
        <w:gridCol w:w="109"/>
        <w:gridCol w:w="109"/>
        <w:gridCol w:w="109"/>
        <w:gridCol w:w="211"/>
        <w:gridCol w:w="466"/>
        <w:gridCol w:w="109"/>
        <w:gridCol w:w="109"/>
        <w:gridCol w:w="109"/>
        <w:gridCol w:w="109"/>
        <w:gridCol w:w="211"/>
        <w:gridCol w:w="616"/>
        <w:gridCol w:w="109"/>
        <w:gridCol w:w="109"/>
        <w:gridCol w:w="109"/>
        <w:gridCol w:w="109"/>
        <w:gridCol w:w="211"/>
        <w:gridCol w:w="541"/>
        <w:gridCol w:w="109"/>
        <w:gridCol w:w="109"/>
        <w:gridCol w:w="109"/>
        <w:gridCol w:w="109"/>
        <w:gridCol w:w="218"/>
        <w:gridCol w:w="218"/>
        <w:gridCol w:w="54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gain on extinguishment of debt was $0.9 million for the year ended December 31, 2025 compared to $1.4 million for the year ended December 31, 2024, a decrease of $0.4 million, or 31%. The decrease was primarily due to a lower aggregate principal amount of convertible notes retired in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and Expense</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tbl>
      <w:tblPr>
        <w:tblW w:w="6745" w:type="dxa"/>
        <w:jc w:val="left"/>
        <w:tblInd w:w="0" w:type="dxa"/>
        <w:tblLayout w:type="fixed"/>
        <w:tblCellMar>
          <w:top w:w="28" w:type="dxa"/>
          <w:left w:w="28" w:type="dxa"/>
          <w:bottom w:w="28" w:type="dxa"/>
          <w:right w:w="28" w:type="dxa"/>
        </w:tblCellMar>
      </w:tblPr>
      <w:tblGrid>
        <w:gridCol w:w="494"/>
        <w:gridCol w:w="433"/>
        <w:gridCol w:w="437"/>
        <w:gridCol w:w="109"/>
        <w:gridCol w:w="109"/>
        <w:gridCol w:w="10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54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was $12.3 million for the year ended December 31, 2025 compared to $14.9 million for the year ended December 31, 2024, a decrease of $2.6 million, or 17%. This decrease was primarily due to lower interest income on our cash equivalents and marketable security investments as a result of decreased interest rates.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tbl>
      <w:tblPr>
        <w:tblW w:w="6655" w:type="dxa"/>
        <w:jc w:val="left"/>
        <w:tblInd w:w="0" w:type="dxa"/>
        <w:tblLayout w:type="fixed"/>
        <w:tblCellMar>
          <w:top w:w="28" w:type="dxa"/>
          <w:left w:w="28" w:type="dxa"/>
          <w:bottom w:w="28" w:type="dxa"/>
          <w:right w:w="28" w:type="dxa"/>
        </w:tblCellMar>
      </w:tblPr>
      <w:tblGrid>
        <w:gridCol w:w="516"/>
        <w:gridCol w:w="452"/>
        <w:gridCol w:w="456"/>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33"/>
        <w:gridCol w:w="233"/>
        <w:gridCol w:w="54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$12.7 million for the year ended December 31, 2025 compared to $2.7 million for the year ended December 31, 2024, an increase of $10.0 million, or 362%. This increase was primarily due to the coupon interest on our 2028 Notes issued in December 2024.</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Expense, net</w:t>
      </w:r>
    </w:p>
    <w:tbl>
      <w:tblPr>
        <w:tblW w:w="6491" w:type="dxa"/>
        <w:jc w:val="left"/>
        <w:tblInd w:w="0" w:type="dxa"/>
        <w:tblLayout w:type="fixed"/>
        <w:tblCellMar>
          <w:top w:w="28" w:type="dxa"/>
          <w:left w:w="28" w:type="dxa"/>
          <w:bottom w:w="28" w:type="dxa"/>
          <w:right w:w="28" w:type="dxa"/>
        </w:tblCellMar>
      </w:tblPr>
      <w:tblGrid>
        <w:gridCol w:w="586"/>
        <w:gridCol w:w="516"/>
        <w:gridCol w:w="518"/>
        <w:gridCol w:w="109"/>
        <w:gridCol w:w="109"/>
        <w:gridCol w:w="109"/>
        <w:gridCol w:w="211"/>
        <w:gridCol w:w="466"/>
        <w:gridCol w:w="109"/>
        <w:gridCol w:w="109"/>
        <w:gridCol w:w="109"/>
        <w:gridCol w:w="109"/>
        <w:gridCol w:w="211"/>
        <w:gridCol w:w="616"/>
        <w:gridCol w:w="109"/>
        <w:gridCol w:w="109"/>
        <w:gridCol w:w="109"/>
        <w:gridCol w:w="109"/>
        <w:gridCol w:w="211"/>
        <w:gridCol w:w="541"/>
        <w:gridCol w:w="109"/>
        <w:gridCol w:w="109"/>
        <w:gridCol w:w="109"/>
        <w:gridCol w:w="109"/>
        <w:gridCol w:w="218"/>
        <w:gridCol w:w="218"/>
        <w:gridCol w:w="544"/>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expense, net was $0.7 million for the year ended December 31, 2025 compared to $1.0 million for the year ended December 31, 2024, a decrease of $0.3 million, or 30%. The decrease was mainly driven by our foreign currency transaction gains between the periods.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Taxes</w:t>
      </w:r>
    </w:p>
    <w:tbl>
      <w:tblPr>
        <w:tblW w:w="6682" w:type="dxa"/>
        <w:jc w:val="left"/>
        <w:tblInd w:w="0" w:type="dxa"/>
        <w:tblLayout w:type="fixed"/>
        <w:tblCellMar>
          <w:top w:w="28" w:type="dxa"/>
          <w:left w:w="28" w:type="dxa"/>
          <w:bottom w:w="28" w:type="dxa"/>
          <w:right w:w="28" w:type="dxa"/>
        </w:tblCellMar>
      </w:tblPr>
      <w:tblGrid>
        <w:gridCol w:w="625"/>
        <w:gridCol w:w="548"/>
        <w:gridCol w:w="552"/>
        <w:gridCol w:w="109"/>
        <w:gridCol w:w="109"/>
        <w:gridCol w:w="109"/>
        <w:gridCol w:w="211"/>
        <w:gridCol w:w="616"/>
        <w:gridCol w:w="109"/>
        <w:gridCol w:w="109"/>
        <w:gridCol w:w="109"/>
        <w:gridCol w:w="109"/>
        <w:gridCol w:w="211"/>
        <w:gridCol w:w="616"/>
        <w:gridCol w:w="109"/>
        <w:gridCol w:w="109"/>
        <w:gridCol w:w="109"/>
        <w:gridCol w:w="109"/>
        <w:gridCol w:w="211"/>
        <w:gridCol w:w="541"/>
        <w:gridCol w:w="109"/>
        <w:gridCol w:w="109"/>
        <w:gridCol w:w="109"/>
        <w:gridCol w:w="109"/>
        <w:gridCol w:w="186"/>
        <w:gridCol w:w="186"/>
        <w:gridCol w:w="54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was $2.5 million for the year ended December 31, 2025 compared to $2.6 million for the year ended December 31, 2024. The Company continues to maintain a full valuation allowance in the U.S. and the tax expense for the periods were primarily due to foreign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cash, cash equivalents, and marketable securities totaling $361.8 million. Our cash, cash equivalents, and marketable securities primarily consisted of money market funds, investment-grade commercial paper, corporate notes and bonds, U.S. treasury securities, certificates of deposit, and municipal bonds. As of December 31, 2025, we did not have any marketable securities classified as non-current.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financed our operations primarily through equity issuances, payments received from customers, the net proceeds we received through sales of our debt securities, and proceeds from our convertible notes. Our principal uses of cash in the near term have primarily been around funding our operations, our capital expenditures, business acquisitions, and investments and fulfilling our debt and contractual commitments. We have also entered into longer term commitments to support our operations, including arrangements to directly lease and operate our infrastructure assets and colocation facilities. We have not entered into any off-balance sheet arrangements and do not have any holdings in variable interest entities.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balances, available borrowing capacity under our credit facility, and the cash flows generated by our operations, net of the cash outflows used in our operations, will be sufficient to satisfy our anticipated cash needs for working capital and capital expenditures for at least the next 12 months. We have generated losses from operations in the past and may continue to incur operating losses for the foreseeable future due to the investments and strategic initiatives we intend to make to grow our business. Our uses of cash beyond the next 12 months will depend on many factors, including the general economic environment in which we operate and our ability to generate cash flow from operations, which are uncertain. We may also use our cash to buy back any outstanding debt on our convertible notes or on any future equity issuances.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Senior Secured Credit Facilities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2021, we entered into the Credit Agreement (as defined in Note 8 in our consolidated financial statements). As of December 31, 2025, we were in compliance with the covenants described in Note 8 to the consolidated financial statements in Part II, Item 8 of this Annual Report on Form 10-K, and we expect to continue to be in compliance for at least the next 12 months. During the year ended December 31, 2025 and 2024, no amounts were drawn down on the Credit Agreement.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2021, we issued approximately $948.8 million aggregate principal amount of 0% convertible senior unsecured notes due in 2026 (the “2026 Notes”) in a private placement to qualified institutional buyers pursuant to Rule144A under the Securities Act.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25, 2022, we entered into separate, privately negotiated transactions with certain holders of the 2026 Notes to repurchase (the “Repurchases”) $235.0 million aggregate principal amount of the 2026 Notes for an aggregate cash repurchase price of $176.4 million and aggregate transaction costs of $0.7 million.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we entered into several separate privately negotiated transactions with certain holders of the 2026 Notes to repurchase $367.3 million aggregate principal amount of the 2026 Notes for an aggregate cash repurchase price of $309.1 million and aggregate transaction costs of $2.0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we entered into separate, privately negotiated transactions with certain holders of the 2026 Notes to exchange $157.9 million aggregate principal amount of the 2026 Notes for $150.0 million aggregate principal amount of 7.75% convertible senior notes due 2028 (the “2028 Notes”) and aggregate transaction costs of $5.8 million. </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9, 2025, we entered into separate, privately negotiated transactions with certain holders of the 2026 Notes to repurchase $150.0 million aggregate principal amount of the 2026 Notes for an aggregate cash repurchase price of $148.9 million and aggregate transaction costs of $6.7 million. On December 17, 2025, we also issued $180.0 million aggregate principal amount of 0% convertible senior unsecured notes due in 2030 (the “2030 Notes”) in a private offering to persons reasonably believed to be qualified institutional buyers pursuant to Rule 144A under the Securities Act.</w:t>
      </w:r>
    </w:p>
    <w:p>
      <w:pPr>
        <w:pStyle w:val="TextBody"/>
        <w:bidi w:val="0"/>
        <w:spacing w:lineRule="auto" w:line="26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Capped Calls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issuance of the 2030 Notes, the Company entered into privately negotiated capped call transactions with certain counterparties (the “Capped Calls”). The Capped Calls resulted in a $18.2 million outflow of cash. Refer to Note 8 to the consolidated financial statements in Part II, Item 8 of this Annual Report on Form 10-K. </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material cash requirements include non-cancelable contractual obligations from the 2028 Notes, 2030 Notes, purchase commitments and lease obligations. Refer to Notes 5, 6, and 8 to the consolidated financial statements in Part II, Item 8 of this Annual Report on Form 10-K for more information regarding these material cash requirements.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contractual obligations described above, as of December 31, 2025, we had a $7.7 million purchase commitment for equipment due within the next twelve months. </w: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 indicated:</w:t>
      </w:r>
    </w:p>
    <w:tbl>
      <w:tblPr>
        <w:tblW w:w="8874" w:type="dxa"/>
        <w:jc w:val="left"/>
        <w:tblInd w:w="0" w:type="dxa"/>
        <w:tblLayout w:type="fixed"/>
        <w:tblCellMar>
          <w:top w:w="28" w:type="dxa"/>
          <w:left w:w="28" w:type="dxa"/>
          <w:bottom w:w="28" w:type="dxa"/>
          <w:right w:w="28" w:type="dxa"/>
        </w:tblCellMar>
      </w:tblPr>
      <w:tblGrid>
        <w:gridCol w:w="1542"/>
        <w:gridCol w:w="1357"/>
        <w:gridCol w:w="1361"/>
        <w:gridCol w:w="109"/>
        <w:gridCol w:w="109"/>
        <w:gridCol w:w="109"/>
        <w:gridCol w:w="211"/>
        <w:gridCol w:w="901"/>
        <w:gridCol w:w="109"/>
        <w:gridCol w:w="109"/>
        <w:gridCol w:w="109"/>
        <w:gridCol w:w="109"/>
        <w:gridCol w:w="211"/>
        <w:gridCol w:w="826"/>
        <w:gridCol w:w="109"/>
        <w:gridCol w:w="109"/>
        <w:gridCol w:w="109"/>
        <w:gridCol w:w="109"/>
        <w:gridCol w:w="211"/>
        <w:gridCol w:w="901"/>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provided by investing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provided by financing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cash provided by operating activities consisted primarily of our net loss of $121.7 million, adjusted for non-cash items of $239.0 million, and net cash flows used in operating assets and liabilities of $22.9 million. The main drivers of the changes in operating assets and liabilities were $20.7 million of operating lease payments, an increase in other assets of $19.5 million related to deferred contract costs, a $18.0 million increase in other liabilities, a $6.2 million increase in accounts receivable, primarily due to an increase in revenue and the timing of cash receipts, a $4.5 million decrease in accounts payable due to timing of payments, and a decrease of $1.6 million in prepaid expenses and other current assets due to pre-payments for hosting services and software licenses.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cash provided by operating activities consisted primarily of our net loss of $158.1 million, adjusted for non-cash items of $228.6 million, and net cash flows used in operating assets and liabilities of $54.1 million. The main drivers of the changes in operating assets and liabilities were $26.5 million of operating lease payments, an increase in other assets of $11.9 million related to deferred contract costs, an increase of $7.6 million in prepaid expenses and other current assets due to pre-payments for hosting services and software licenses, a $6.4 million decrease in other liabilities and a $2.9 million decrease in accrued expenses due to timing of payments.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2023, cash provided by operating activities consisted primarily of our net loss of $133.1 million, adjusted for non-cash items of $203.3 million, and net cash flows used in operating assets and liabilities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$69.9 million. The main drivers of the changes in operating assets and liabilities were an increase in accounts receivable of $32.9 million, primarily due to an increase in revenue and the timing of cash receipts, an increase in other assets of $23.1 million related to deferred contract costs as well as $22.1 million of operating lease payments. This was partially offset by decreases of $8.7 million in prepaid expenses.</w:t>
      </w:r>
    </w:p>
    <w:p>
      <w:pPr>
        <w:pStyle w:val="TextBody"/>
        <w:bidi w:val="0"/>
        <w:spacing w:lineRule="auto" w:line="268" w:before="24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cash used in investing activities was $389.8 million in purchases of marketable securities, $17.7 million of additions to capitalized internal-use software, and $28.7 million of payments related to purchases of property and equipment to expand our network. This was offset by $223.1 million of maturities and sales of marketable securities.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cash provided by investing activities was $178.9 million, primarily consisting of $371.2 million of maturities and sales of marketable securities. This was offset by $155.1 million in purchases of marketable securities, $26.1 million of additions to capitalized internal-use software, and $10.3 million of payments related to purchases of property and equipment to expand our network.</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cash provided by investing activities was $294.9 million, primarily consisting of $459.4 million of maturities and sales of marketable securities. This was offset by $132.2 million in purchases of marketable securities, $21.3 million of additions to capitalized internal-use software, and $11.0 million of payments related to purchases of property and equipment to expand our network.</w:t>
      </w:r>
    </w:p>
    <w:p>
      <w:pPr>
        <w:pStyle w:val="TextBody"/>
        <w:bidi w:val="0"/>
        <w:spacing w:lineRule="auto" w:line="288" w:before="24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240" w:after="240"/>
        <w:ind w:left="0" w:right="0" w:firstLine="720"/>
        <w:jc w:val="left"/>
        <w:rPr/>
      </w:pPr>
      <w:r>
        <w:rPr>
          <w:rFonts w:ascii="Times New Roman;serif" w:hAnsi="Times New Roman;serif"/>
          <w:b w:val="false"/>
          <w:color w:val="000000"/>
          <w:sz w:val="20"/>
        </w:rPr>
        <w:t>For the year ended December 31, 2025, cash provided by financing activities was $12.8 million, primarily consisting of proceeds of $180.0 million from issuance of convertible notes, $7.0 million in proceeds from the employee stock purchase plan (</w:t>
      </w:r>
      <w:r>
        <w:rPr>
          <w:color w:val="000000"/>
        </w:rPr>
        <w:t>“</w:t>
      </w:r>
      <w:r>
        <w:rPr>
          <w:rFonts w:ascii="Times New Roman;serif" w:hAnsi="Times New Roman;serif"/>
          <w:b w:val="false"/>
          <w:color w:val="000000"/>
          <w:sz w:val="20"/>
        </w:rPr>
        <w:t>ESPP”), and $1.0 million in proceeds from stock option exercises by our employees and directors. This was partially offset by $148.9 million paid for debt extinguishment, $18.2 million for purchase of capped calls, $5.9 million payment of debt issuance costs, and $2.3 million of finance lease liabilities repayments.</w:t>
      </w:r>
    </w:p>
    <w:p>
      <w:pPr>
        <w:pStyle w:val="TextBody"/>
        <w:bidi w:val="0"/>
        <w:spacing w:lineRule="auto" w:line="288" w:before="240" w:after="240"/>
        <w:ind w:left="0" w:right="0" w:firstLine="720"/>
        <w:jc w:val="left"/>
        <w:rPr/>
      </w:pPr>
      <w:r>
        <w:rPr>
          <w:rFonts w:ascii="Times New Roman;serif" w:hAnsi="Times New Roman;serif"/>
          <w:b w:val="false"/>
          <w:color w:val="000000"/>
          <w:sz w:val="20"/>
        </w:rPr>
        <w:t>For the year ended December 31, 2024, cash used in financing activities was $17.1 million, primarily consisting of $15.0 million of finance lease liabilities repayments, $5.7 million payment of debt issuance costs and $3.8 million in payments for deferred consideration for business acquisitions. This was partially offset by $6.2 million in proceeds from the employee stock purchase plan (</w:t>
      </w:r>
      <w:r>
        <w:rPr>
          <w:color w:val="000000"/>
        </w:rPr>
        <w:t>“</w:t>
      </w:r>
      <w:r>
        <w:rPr>
          <w:rFonts w:ascii="Times New Roman;serif" w:hAnsi="Times New Roman;serif"/>
          <w:b w:val="false"/>
          <w:color w:val="000000"/>
          <w:sz w:val="20"/>
        </w:rPr>
        <w:t>ESPP”) and $1.1 million in proceeds from stock option exercises by our employees and directors.</w:t>
      </w:r>
    </w:p>
    <w:p>
      <w:pPr>
        <w:pStyle w:val="TextBody"/>
        <w:bidi w:val="0"/>
        <w:spacing w:lineRule="auto" w:line="288" w:before="240" w:after="240"/>
        <w:ind w:left="0" w:right="0" w:firstLine="720"/>
        <w:jc w:val="left"/>
        <w:rPr/>
      </w:pPr>
      <w:r>
        <w:rPr>
          <w:rFonts w:ascii="Times New Roman;serif" w:hAnsi="Times New Roman;serif"/>
          <w:b w:val="false"/>
          <w:color w:val="000000"/>
          <w:sz w:val="20"/>
        </w:rPr>
        <w:t>For the year ended December 31, 2023, cash used in financing activities was $331.4 million, primarily consisting of $310.5 million used for the partial repurchase of our convertible debt, $27.2 million of finance lease liabilities repayments and $4.4 million in payments for deferred consideration for business acquisitions. This was partially offset by $8.6 million in proceeds from the employee stock purchase plan (</w:t>
      </w:r>
      <w:r>
        <w:rPr>
          <w:color w:val="000000"/>
        </w:rPr>
        <w:t>“</w:t>
      </w:r>
      <w:r>
        <w:rPr>
          <w:rFonts w:ascii="Times New Roman;serif" w:hAnsi="Times New Roman;serif"/>
          <w:b w:val="false"/>
          <w:color w:val="000000"/>
          <w:sz w:val="20"/>
        </w:rPr>
        <w:t>ESPP”) and $2.2 million in proceeds from stock option exercises by our employees and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accordance with U.S. GAAP. The preparation of our consolidated financial statements requires us to make estimates, judgments, and assumptions that affect the reported amounts of assets, liabilities, revenue, costs, expenses, and related disclosures. Actual results and outcomes could differ significantly from our estimates, judgments, and assumptions. To the extent that there are material differences between these estimates and actual results, our future financial statement presentation, financial condition, results of operations, and cash flows will be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revenue in accordance with ASC 606, where revenue is recognized upon transfer of control of promised services to customers in an amount that reflects the consideration we expect to receive in exchange for those services. The processing and recording of certain revenue requires a manual process, which uses a set of procedures to generate complete and accurate data to record these revenue transactions. We enter into contracts that can include various combinations of services, each of which are distinct and accounted for as separate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Please refer to Note 2—Summary of Significant Accounting Policies included in the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These risks primarily include interest rate and currency exchange risks as follows: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cash, cash equivalents, and marketable securities of $361.8 million, as of December 31, 2025 which primarily consisted of bank deposits, money market funds, investment-grade commercial paper and corporate notes and bonds. The cash and cash equivalents are held for working capital purposes. Our cash equivalents and our investment portfolio are subject to market risk due to fluctuations in interest rates. The primary objective of our investment activities is to preserve principal while generating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the period presented would not have had a material impact on our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Currency Exchange Risks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our foreign subsidiaries is the U.S. dollar and our results of operations and cash flows are subject to fluctuations due to changes in foreign currency exchange rates relative to the U.S. dollar. The majority of our revenue is denominated in U.S. dollars. Our expenses are generally denominated in the currencies of the countries in which our operations are located and are subject to fluctuations due to changes in their respective foreign currency exchange rates. We do not currently engage in any hedging activity to reduce our potential exposure to currency fluctuations, although we may choose to do so in the future. A hypothetical 10% change in foreign exchange rates during the period presented would not have had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before="0" w:after="24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are filed as part of this Annual Report on form 10-K:</w:t>
      </w:r>
    </w:p>
    <w:p>
      <w:pPr>
        <w:pStyle w:val="TextBody"/>
        <w:bidi w:val="0"/>
        <w:spacing w:before="0" w:after="240"/>
        <w:jc w:val="left"/>
        <w:rPr/>
      </w:pPr>
      <w:r>
        <w:rPr/>
      </w:r>
    </w:p>
    <w:p>
      <w:pPr>
        <w:pStyle w:val="TextBody"/>
        <w:bidi w:val="0"/>
        <w:spacing w:lineRule="auto" w:line="288" w:before="0" w:after="240"/>
        <w:jc w:val="left"/>
        <w:rPr/>
      </w:pPr>
      <w:hyperlink w:anchor="iec6e9f40c2ee46e583276b9482eee5a5_82">
        <w:r>
          <w:rPr>
            <w:rStyle w:val="InternetLink"/>
            <w:rFonts w:ascii="Times New Roman;serif" w:hAnsi="Times New Roman;serif"/>
            <w:b w:val="false"/>
            <w:color w:val="0000FF"/>
            <w:sz w:val="20"/>
            <w:u w:val="single"/>
          </w:rPr>
          <w:t>Report of Independent Registered Public Accounting Firm</w:t>
        </w:r>
      </w:hyperlink>
      <w:r>
        <w:rPr>
          <w:color w:val="000000"/>
          <w:u w:val="single"/>
        </w:rPr>
        <w:t xml:space="preserve"> </w:t>
      </w:r>
      <w:r>
        <w:rPr>
          <w:rFonts w:ascii="Times New Roman;serif" w:hAnsi="Times New Roman;serif"/>
          <w:b w:val="false"/>
          <w:color w:val="0000FF"/>
          <w:sz w:val="20"/>
          <w:u w:val="single"/>
        </w:rPr>
        <w:t>(PCAOB ID No. 34)</w:t>
      </w:r>
    </w:p>
    <w:p>
      <w:pPr>
        <w:pStyle w:val="TextBody"/>
        <w:bidi w:val="0"/>
        <w:spacing w:lineRule="auto" w:line="288" w:before="0" w:after="240"/>
        <w:jc w:val="left"/>
        <w:rPr/>
      </w:pPr>
      <w:hyperlink w:anchor="iec6e9f40c2ee46e583276b9482eee5a5_85">
        <w:r>
          <w:rPr>
            <w:rStyle w:val="InternetLink"/>
            <w:rFonts w:ascii="Times New Roman;serif" w:hAnsi="Times New Roman;serif"/>
            <w:b w:val="false"/>
            <w:color w:val="0000FF"/>
            <w:sz w:val="20"/>
            <w:u w:val="single"/>
          </w:rPr>
          <w:t>Consolidated Balance Sheets</w:t>
        </w:r>
      </w:hyperlink>
    </w:p>
    <w:p>
      <w:pPr>
        <w:pStyle w:val="TextBody"/>
        <w:bidi w:val="0"/>
        <w:spacing w:lineRule="auto" w:line="288" w:before="0" w:after="240"/>
        <w:jc w:val="left"/>
        <w:rPr/>
      </w:pPr>
      <w:hyperlink w:anchor="iec6e9f40c2ee46e583276b9482eee5a5_88">
        <w:r>
          <w:rPr>
            <w:rStyle w:val="InternetLink"/>
            <w:rFonts w:ascii="Times New Roman;serif" w:hAnsi="Times New Roman;serif"/>
            <w:b w:val="false"/>
            <w:color w:val="0000FF"/>
            <w:sz w:val="20"/>
            <w:u w:val="single"/>
          </w:rPr>
          <w:t>Consolidated Statements of Operations</w:t>
        </w:r>
      </w:hyperlink>
    </w:p>
    <w:p>
      <w:pPr>
        <w:pStyle w:val="TextBody"/>
        <w:bidi w:val="0"/>
        <w:spacing w:lineRule="auto" w:line="288" w:before="0" w:after="240"/>
        <w:jc w:val="left"/>
        <w:rPr/>
      </w:pPr>
      <w:hyperlink w:anchor="iec6e9f40c2ee46e583276b9482eee5a5_91">
        <w:r>
          <w:rPr>
            <w:rStyle w:val="InternetLink"/>
            <w:rFonts w:ascii="Times New Roman;serif" w:hAnsi="Times New Roman;serif"/>
            <w:b w:val="false"/>
            <w:color w:val="0000FF"/>
            <w:sz w:val="20"/>
            <w:u w:val="single"/>
          </w:rPr>
          <w:t>Consolidated Statements of Comprehensive Loss</w:t>
        </w:r>
      </w:hyperlink>
    </w:p>
    <w:p>
      <w:pPr>
        <w:pStyle w:val="TextBody"/>
        <w:bidi w:val="0"/>
        <w:spacing w:lineRule="auto" w:line="288" w:before="0" w:after="240"/>
        <w:jc w:val="left"/>
        <w:rPr/>
      </w:pPr>
      <w:hyperlink w:anchor="iec6e9f40c2ee46e583276b9482eee5a5_94">
        <w:r>
          <w:rPr>
            <w:rStyle w:val="InternetLink"/>
            <w:rFonts w:ascii="Times New Roman;serif" w:hAnsi="Times New Roman;serif"/>
            <w:b w:val="false"/>
            <w:color w:val="0000FF"/>
            <w:sz w:val="20"/>
            <w:u w:val="single"/>
          </w:rPr>
          <w:t>Consolidated Statements of Stockholders’ Equity</w:t>
        </w:r>
      </w:hyperlink>
    </w:p>
    <w:p>
      <w:pPr>
        <w:pStyle w:val="TextBody"/>
        <w:bidi w:val="0"/>
        <w:spacing w:lineRule="auto" w:line="288" w:before="0" w:after="240"/>
        <w:jc w:val="left"/>
        <w:rPr/>
      </w:pPr>
      <w:hyperlink w:anchor="iec6e9f40c2ee46e583276b9482eee5a5_97">
        <w:r>
          <w:rPr>
            <w:rStyle w:val="InternetLink"/>
            <w:rFonts w:ascii="Times New Roman;serif" w:hAnsi="Times New Roman;serif"/>
            <w:b w:val="false"/>
            <w:color w:val="0000FF"/>
            <w:sz w:val="20"/>
            <w:u w:val="single"/>
          </w:rPr>
          <w:t>Consolidated Statements of Cash Flows</w:t>
        </w:r>
      </w:hyperlink>
    </w:p>
    <w:p>
      <w:pPr>
        <w:pStyle w:val="TextBody"/>
        <w:bidi w:val="0"/>
        <w:spacing w:lineRule="auto" w:line="288" w:before="0" w:after="240"/>
        <w:jc w:val="left"/>
        <w:rPr/>
      </w:pPr>
      <w:hyperlink w:anchor="iec6e9f40c2ee46e583276b9482eee5a5_100">
        <w:r>
          <w:rPr>
            <w:rStyle w:val="InternetLink"/>
            <w:rFonts w:ascii="Times New Roman;serif" w:hAnsi="Times New Roman;serif"/>
            <w:b w:val="false"/>
            <w:color w:val="0000FF"/>
            <w:sz w:val="20"/>
            <w:u w:val="single"/>
          </w:rPr>
          <w:t>Notes to Consolidated Financial Statements</w:t>
        </w:r>
      </w:hyperlink>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Fastly, Inc.</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Fastly, Inc. and subsidiaries (the “Company”) as of December 31, 2025 and 2024, the related consolidated statements of operations, comprehensive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Control—Integrated Framework (2013) issued by the Committee of Sponsoring Organizations of the Treadway Commission and our report dated February 25, 2026, expressed an unqualified opinion on the Company’s internal control over financial reporting.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Revenue—Refer to Notes 2 and 3 to the financial statements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Revenue is recognized upon transfer of control of promised services to customers in an amount that reflects the consideration the Company expects to receive in exchange for those services. The processing and recording of certain revenue requires a manual process, and therefore the Company uses a complex set of procedures to generate complete and accurate data to record its revenue transactions.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identified manually processed revenue as a critical audit matter as the manually processed revenue requires a complex set of manual procedures to generate complete and accurate data to process and record revenue. This required an increased extent of effort to audit these manually processed revenue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How the Critical Audit Matter Was Addressed in the Audit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manually processed revenue included the following, among others: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tested the effectiveness of controls over the recognition of manually processed revenue.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obtained an understanding of the nature of the manually processed revenue through inquiry with the Company personnel responsible for the invoice as well as review of the contract with the customer.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For a sample of manually processed revenue transactions, we recalculated the manually processed revenue by comparing key attributes utilized in our recalculation to source information and documents, including usage, bandwidth, and other services provided. We compared our recalculation of manually processed revenue transactions to the Company’s recorded revenue and evaluated any differences.</w:t>
      </w:r>
    </w:p>
    <w:p>
      <w:pPr>
        <w:pStyle w:val="TextBody"/>
        <w:bidi w:val="0"/>
        <w:spacing w:before="0" w:after="10"/>
        <w:jc w:val="left"/>
        <w:rPr/>
      </w:pPr>
      <w:r>
        <w:rPr/>
      </w:r>
    </w:p>
    <w:p>
      <w:pPr>
        <w:pStyle w:val="TextBody"/>
        <w:bidi w:val="0"/>
        <w:spacing w:lineRule="auto" w:line="288" w:before="0" w:after="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2765"/>
        <w:gridCol w:w="1913"/>
        <w:gridCol w:w="1920"/>
        <w:gridCol w:w="109"/>
        <w:gridCol w:w="109"/>
        <w:gridCol w:w="109"/>
        <w:gridCol w:w="242"/>
        <w:gridCol w:w="1076"/>
        <w:gridCol w:w="134"/>
        <w:gridCol w:w="109"/>
        <w:gridCol w:w="109"/>
        <w:gridCol w:w="109"/>
        <w:gridCol w:w="240"/>
        <w:gridCol w:w="1069"/>
        <w:gridCol w:w="192"/>
      </w:tblGrid>
      <w:tr>
        <w:trPr/>
        <w:tc>
          <w:tcPr>
            <w:tcW w:w="2765"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286,175 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$6,262 and $8,254 as of December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115,988 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506,709 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440,195 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179,097 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50,433 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68,402 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1,499,477 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1,451,359 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193,998 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337,614 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569,899 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486,109 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$0.00002 par value; 1,000,000,000 shares authorized as of both December 31, 2025 and 2024; 151,537,271 and 142,086,129 shares issued and outstanding at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$0.00002 par value; 4,191,275 shares authorized as of both December 31, 2025 and 2024; no shares issued and outstanding as of both December 31, 2025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2,044,103 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1,958,157 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(1,114,487)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(992,810)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929,578 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965,250 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1,499,477 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1,451,359 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282"/>
        <w:gridCol w:w="1800"/>
        <w:gridCol w:w="1812"/>
        <w:gridCol w:w="109"/>
        <w:gridCol w:w="109"/>
        <w:gridCol w:w="109"/>
        <w:gridCol w:w="196"/>
        <w:gridCol w:w="789"/>
        <w:gridCol w:w="109"/>
        <w:gridCol w:w="109"/>
        <w:gridCol w:w="109"/>
        <w:gridCol w:w="109"/>
        <w:gridCol w:w="196"/>
        <w:gridCol w:w="789"/>
        <w:gridCol w:w="109"/>
        <w:gridCol w:w="109"/>
        <w:gridCol w:w="109"/>
        <w:gridCol w:w="109"/>
        <w:gridCol w:w="196"/>
        <w:gridCol w:w="789"/>
        <w:gridCol w:w="157"/>
      </w:tblGrid>
      <w:tr>
        <w:trPr/>
        <w:tc>
          <w:tcPr>
            <w:tcW w:w="2282"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266,328 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464,356 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before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(133,309)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(133,088)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per share attributable to common stockholders, basic and diluted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138,099 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128,770 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8874" w:type="dxa"/>
        <w:jc w:val="center"/>
        <w:tblInd w:w="0" w:type="dxa"/>
        <w:tblLayout w:type="fixed"/>
        <w:tblCellMar>
          <w:top w:w="28" w:type="dxa"/>
          <w:left w:w="28" w:type="dxa"/>
          <w:bottom w:w="28" w:type="dxa"/>
          <w:right w:w="28" w:type="dxa"/>
        </w:tblCellMar>
      </w:tblPr>
      <w:tblGrid>
        <w:gridCol w:w="1628"/>
        <w:gridCol w:w="1426"/>
        <w:gridCol w:w="1446"/>
        <w:gridCol w:w="109"/>
        <w:gridCol w:w="109"/>
        <w:gridCol w:w="109"/>
        <w:gridCol w:w="196"/>
        <w:gridCol w:w="811"/>
        <w:gridCol w:w="109"/>
        <w:gridCol w:w="109"/>
        <w:gridCol w:w="109"/>
        <w:gridCol w:w="109"/>
        <w:gridCol w:w="196"/>
        <w:gridCol w:w="811"/>
        <w:gridCol w:w="109"/>
        <w:gridCol w:w="109"/>
        <w:gridCol w:w="109"/>
        <w:gridCol w:w="109"/>
        <w:gridCol w:w="196"/>
        <w:gridCol w:w="811"/>
        <w:gridCol w:w="154"/>
      </w:tblGrid>
      <w:tr>
        <w:trPr/>
        <w:tc>
          <w:tcPr>
            <w:tcW w:w="162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on investments in available-for-sale-securities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(124,810)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FASTLY, INC.</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CONSOLIDATED STATEMENTS OF STOCKHOLDERS’ EQUITY</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1058"/>
        <w:gridCol w:w="876"/>
        <w:gridCol w:w="880"/>
        <w:gridCol w:w="109"/>
        <w:gridCol w:w="109"/>
        <w:gridCol w:w="109"/>
        <w:gridCol w:w="308"/>
        <w:gridCol w:w="308"/>
        <w:gridCol w:w="171"/>
        <w:gridCol w:w="109"/>
        <w:gridCol w:w="109"/>
        <w:gridCol w:w="109"/>
        <w:gridCol w:w="206"/>
        <w:gridCol w:w="240"/>
        <w:gridCol w:w="125"/>
        <w:gridCol w:w="109"/>
        <w:gridCol w:w="109"/>
        <w:gridCol w:w="109"/>
        <w:gridCol w:w="181"/>
        <w:gridCol w:w="721"/>
        <w:gridCol w:w="109"/>
        <w:gridCol w:w="109"/>
        <w:gridCol w:w="109"/>
        <w:gridCol w:w="109"/>
        <w:gridCol w:w="239"/>
        <w:gridCol w:w="636"/>
        <w:gridCol w:w="146"/>
        <w:gridCol w:w="109"/>
        <w:gridCol w:w="109"/>
        <w:gridCol w:w="109"/>
        <w:gridCol w:w="181"/>
        <w:gridCol w:w="772"/>
        <w:gridCol w:w="109"/>
        <w:gridCol w:w="109"/>
        <w:gridCol w:w="109"/>
        <w:gridCol w:w="109"/>
        <w:gridCol w:w="185"/>
        <w:gridCol w:w="632"/>
        <w:gridCol w:w="160"/>
      </w:tblGrid>
      <w:tr>
        <w:trPr/>
        <w:tc>
          <w:tcPr>
            <w:tcW w:w="105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Other</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Comprehensive</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xml:space="preserve">Equity </w:t>
            </w:r>
          </w:p>
        </w:tc>
      </w:tr>
      <w:tr>
        <w:trPr/>
        <w:tc>
          <w:tcPr>
            <w:tcW w:w="2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124,336 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1,666,106 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(9,286)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(701,664)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955,158 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under bonus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under employee stock 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121,679 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132,992 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1,815,245 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(1,008)</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(834,752)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979,488 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under bonus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under employee stock 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108,234 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(158,058)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at December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142,086 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1,958,157 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(992,810)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965,250 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under bonus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under employee stock 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(18,162)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89,463 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(121,677)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151,537 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2,044,103 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(1,114,487)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929,578 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8754" w:type="dxa"/>
        <w:jc w:val="center"/>
        <w:tblInd w:w="0" w:type="dxa"/>
        <w:tblLayout w:type="fixed"/>
        <w:tblCellMar>
          <w:top w:w="28" w:type="dxa"/>
          <w:left w:w="28" w:type="dxa"/>
          <w:bottom w:w="28" w:type="dxa"/>
          <w:right w:w="28" w:type="dxa"/>
        </w:tblCellMar>
      </w:tblPr>
      <w:tblGrid>
        <w:gridCol w:w="1734"/>
        <w:gridCol w:w="1522"/>
        <w:gridCol w:w="1529"/>
        <w:gridCol w:w="109"/>
        <w:gridCol w:w="109"/>
        <w:gridCol w:w="109"/>
        <w:gridCol w:w="181"/>
        <w:gridCol w:w="691"/>
        <w:gridCol w:w="109"/>
        <w:gridCol w:w="109"/>
        <w:gridCol w:w="109"/>
        <w:gridCol w:w="109"/>
        <w:gridCol w:w="181"/>
        <w:gridCol w:w="691"/>
        <w:gridCol w:w="109"/>
        <w:gridCol w:w="109"/>
        <w:gridCol w:w="109"/>
        <w:gridCol w:w="109"/>
        <w:gridCol w:w="181"/>
        <w:gridCol w:w="691"/>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Year ended December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2023</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(158,058)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Loss on disposals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Accretion of discounts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Impairment of operating lease right-of-use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(22,074)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(389,837)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(132,233)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Sales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197,176 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433,767 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Advance payment for 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Purchases of property and equipment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(21,292)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 xml:space="preserve">Net cash (used in) provided by investing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294,940 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Proceeds from issuance of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Payments of issuance costs for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Cash paid for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(148,875)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Payments for purchase of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Repayments of finance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 of deferred consideration for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exercise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 xml:space="preserve">Net cash (used in) provided by financing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(331,380)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Effects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84"/>
        <w:gridCol w:w="1892"/>
        <w:gridCol w:w="1903"/>
        <w:gridCol w:w="109"/>
        <w:gridCol w:w="109"/>
        <w:gridCol w:w="109"/>
        <w:gridCol w:w="196"/>
        <w:gridCol w:w="736"/>
        <w:gridCol w:w="109"/>
        <w:gridCol w:w="109"/>
        <w:gridCol w:w="109"/>
        <w:gridCol w:w="109"/>
        <w:gridCol w:w="196"/>
        <w:gridCol w:w="797"/>
        <w:gridCol w:w="109"/>
        <w:gridCol w:w="109"/>
        <w:gridCol w:w="109"/>
        <w:gridCol w:w="109"/>
        <w:gridCol w:w="211"/>
        <w:gridCol w:w="736"/>
        <w:gridCol w:w="155"/>
      </w:tblGrid>
      <w:tr>
        <w:trPr/>
        <w:tc>
          <w:tcPr>
            <w:tcW w:w="218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 of refunds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finance lease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Property and equipment additions not yet paid in cash or financed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Capitalized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obtained in exchange for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noncash change in operating lease assets and liabilities associated with modifications and terminations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Deployments of prepaid capital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Debt issued in exchange for extinguishment of existing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Debt retired in exchange for issuance of new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cash, cash equivalents, and restricted cash as shown in the statements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Restricted 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108,071 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FASTLY,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Fastly, Inc. is an edge cloud platform that can process, serve, and secure its customers' applications as close to their end users as possible. The Company was incorporated in Delaware in 2011 and is headquartered in San Francisco, California.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used herein, “Fastly,” “the Company,” “its” and similar terms include Fastly, Inc. and its subsidiaries,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and footnotes have been prepared in accordance with accounting principles generally accepted in the United States of America (“GAAP”). The accompanying consolidated financial statements include the accounts of the Company and its wholly-owned subsidiaries. All intercompany transactions and balances have been eliminated in consolidation.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changes to presentation have been made to conform the prior period presentation to the current period reporting. The Company has made certain presentation changes to separate out deferred revenue from other current liabilities on the consolidated balance sheets.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preparation of consolidated financial statements in conformity with GAAP requires management to make estimates, judgments, and assumptions that affect the reported amounts of assets, liabilities, revenue, costs and expenses, and related disclosures. Actual results and outcomes could differ significantly from the Company’s estimates, judgments, and assumptions. Significant estimates, judgments, and assumptions used in these financial statements include, but are not limited to, those related to revenue, accounts receivable and related reserves, internal-use software development costs, the incremental borrowing rate related to the Company’s lease liabilities,</w:t>
      </w:r>
      <w:r>
        <w:rPr>
          <w:color w:val="000000"/>
        </w:rPr>
        <w:t xml:space="preserve"> </w:t>
      </w:r>
      <w:r>
        <w:rPr>
          <w:rFonts w:ascii="Times New Roman;serif" w:hAnsi="Times New Roman;serif"/>
          <w:b w:val="false"/>
          <w:color w:val="000000"/>
          <w:sz w:val="20"/>
        </w:rPr>
        <w:t>fair value of assets acquired and liabilities assumed during business combinations, useful lives of acquired intangible assets and property and equipment, financial instruments, income tax reserves, and accounting for stock-based compensation. Estimates are periodically reviewed in light of changes in circumstances, facts, and experience. The effects of material revisions in estimates are reflected in the consolidated financial statements in the period of change and prospectively from the date of the change in estimate.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significant concentrations of credit risk consist primarily of cash, cash equivalents, marketable securities and accounts receivable.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cash, cash equivalents, and marketable securities primarily consisted of money market funds, investment-grade commercial paper, corporate notes and bonds, U.S. treasury securities, certificates of deposit, and municipal bonds. The primary focus of its investment strategy is to preserve capital and meet liquidity requirements. The Company’s investment policy limits the amount of credit exposure with any one financial institution or commercial issuer. The Company maintains deposits in federally insured financial institutions in excess of federally insured limits. The Company is exposed to credit risk in the event of default by the financial institutions holding its cash and cash equivalents to the extent recorded in the balance sheets.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Concentrations of credit risk with respect to accounts receivable are primarily limited to certain customers to which the Company makes substantial sales. The Company’s customer base consists of a large number of geographically dispersed customers diversified across several industries. No single customer accounted for more than 10% of revenue for the years ended December 31, 2025, 2024 and 2023. No single customer accounted for more than 10% of the total accounts receivable balance as of December 31, 2025 or 2024. Affiliated customers that are business units of a single company generated an aggregate of 10% of the Company’s revenue for the year ended December 31, 2025. No affiliated customers that are business units of a single company generated more than 10% of revenue for the year ended December 31, 2024. Affiliated customers that are business units of a single company generated an aggregate of 12% of the Company’s revenue for the year ended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2023. No affiliated customers that are business units of a single company accounted for more than 10% of the Company's accounts receivable balance as of December 31, 2025. Affiliated customers that are business units of a single company accounted for an aggregate of 11% of the Company’s accounts receivable balance as of December 31,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Cash Equivalents, and Marketable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 cash held in banks, highly liquid money market funds, U.S. treasury securities, municipal securities, and commercial paper, all with original maturities of three months or less when acquired. The Company’s short-term and long-term marketable securities consists of fixed income U.S. and foreign government agency securities, corporate bonds, municipal securities, certificates of deposit, and commercial paper. Management determines the appropriate classification of the Company’s investments at the time of purchase and reevaluates such designation at each balance sheet date. The Company classifies its marketable securities as either short-term or long-term based on each instrument’s underlying remaining contractual maturity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marketable securities as available-for-sale as it has the ability to sell the marketable securities prior to its maturity. The Company’s marketable securities are reported at fair value with unrealized gains and losses reported, net of tax, as a separate component of accumulated other comprehensive income (loss) in stockholders’ equity. Cash and cash equivalents are stated at cost, which approximate fair market value. Short-term and long-term marketable securities are classified as available-for-sale debt securities and are also carried at fair market value. When the available-for-sale debt securities are sold, cost is based on the specific identification method, and the realized gains and losses are included in other income (expense), net in the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the Company’s investments are subject to a periodic impairment review. The Company recognizes an impairment charge when the fair value of its investments decline below their respective cost basis. Factors considered in determining whether a credit impairment has occurred include whether the decline in fair value is due to credit related factors, the Company’s intent to sell the security, and whether or not the Company will be required to sell the security prior to the expected recovery of the investment’s amortized cost basis. No such impairment charges were recorded during the years ended December 31, 2025, 2024, and 2023.</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are recorded and carried at the original invoiced amount, net of an allowance for any potential credit losses. The allowance for credit losses is determined based upon the assessment of various factors, such as historical experience, credit quality of its customers, age of the accounts receivable balances, geographic related risks, economic conditions, and other factors that may affect a customer’s ability to pay. The Company records these charges as a component of general and administrative expenses in the consolidated statements of operations in the period in which the change occurs. The Company does not have any off-balance sheet credit exposure related to its customers.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Incremental Costs to Obtain a Contract with a Customer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capitalizes incremental costs associated with obtaining customer contracts, specifically certain commission payments. The Company pays commissions based on contract value upon signing an arrangement with a new customer and upon upgrades of existing contracts with customers only if the upgrades result in an incremental increase in contract value. These costs are deferred on the consolidated balance sheets and amortized over the expected period of benefit on a straight-line basis. The Company also pays commissions on an ongoing basis based upon revenue recognized. In these cases, no incremental costs are deferred, as the commissions are earned and expensed in the same period for which the associated revenue is recognized. Based on the nature of the Company’s technology and services, and the duration of its relationships with its customers, the expected period of benefit is determined to be five years. Management periodically reviews the carrying amount of deferred commission costs to determine whether events or changes in circumstances have occurred that could impact the period of benefit of these deferred costs. Amortization is included in sales and marketing expense in the consolidated statements of operations. Deferred commission are included in other assets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available-for-sale securities are recorded at fair value. The Company’s cash and cash equivalents are recorded at cost, which approximates fair value. Additionally, accounts receivable, accounts payable, and accrued expenses approximate fair value due to their short-term nature. For disclosure purposes, the Company measures the fair value of its outstanding senior convertible notes using a market approach based on actual bids and offers in an over-the-counter market, or Level 2 inputs, on the last trading day of the period.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less accumulated depreciation and amortization. Depreciation and amortization are computed on a straight-line basis over the estimated useful lives of the assets. The estimated useful life of each asset category is as follows:</w:t>
      </w:r>
    </w:p>
    <w:tbl>
      <w:tblPr>
        <w:tblW w:w="5790" w:type="dxa"/>
        <w:jc w:val="left"/>
        <w:tblInd w:w="0" w:type="dxa"/>
        <w:tblLayout w:type="fixed"/>
        <w:tblCellMar>
          <w:top w:w="28" w:type="dxa"/>
          <w:left w:w="28" w:type="dxa"/>
          <w:bottom w:w="28" w:type="dxa"/>
          <w:right w:w="28" w:type="dxa"/>
        </w:tblCellMar>
      </w:tblPr>
      <w:tblGrid>
        <w:gridCol w:w="1147"/>
        <w:gridCol w:w="1006"/>
        <w:gridCol w:w="1012"/>
        <w:gridCol w:w="768"/>
        <w:gridCol w:w="768"/>
        <w:gridCol w:w="1089"/>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networking equipment</w:t>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Shorter of lease term or 5 years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 years</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reviews the estimated useful lives of property and equipment and any changes to the estimated useful lives are recorded prospectively from the date of the change.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retirement or sale, the cost of the assets disposed of and the related accumulated depreciation are removed from the accounts, and any resulting gain or loss is included in the consolidated statements of operations. Repairs and maintenance costs are expensed as incurred.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Internal-Use Software Development Costs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Labor and related costs associated with internal-use software incurred during the application development stage are capitalized. Capitalization of costs begins when the preliminary project stage is completed, management has committed to funding the project, and it is probable that the project will be completed and the software will be used to perform the function intended. Capitalization ceases at the point when the project is fully tested, is substantially completed and is ready for its intended purpose. The capitalized amounts are included in property and equipment, net on the consolidated balance sheets. The Company amortizes such costs on a straight-line basis over the estimated useful life of the software, which is generally between three to five years. Completed internal-use software that is related to the Company’s network is amortized to cost of revenue over its estimated useful life. Costs incurred during the planning, training, and post-implementation stages of the software development life-cycle are expensed as incurred.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 Intangible Assets and Other Long-Lived Assets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of an acquired business over the fair value of the net tangible and identifiable intangible assets acquired. The carrying amount of goodwill is reviewed for impairment at least annually, in the fourth quarter, or whenever events or changes in circumstances indicate that the carrying value may not be recoverable. The Company has a single operating segment and reporting unit structure for all of the periods presented.</w:t>
      </w:r>
    </w:p>
    <w:p>
      <w:pPr>
        <w:pStyle w:val="TextBody"/>
        <w:bidi w:val="0"/>
        <w:spacing w:before="0" w:after="0"/>
        <w:ind w:left="0" w:right="0" w:firstLine="5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annual goodwill impairment test, the Company may first perform a qualitative assessment to determine whether further impairment testing is necessary. If, as a result of the qualitative assessment, it is more likely than not that the fair value of the reporting unit is less than its carrying amount, the quantitative impairment test will be required. If the Company has determined it necessary to perform a quantitative impairment assessment, the Company will compare the fair value of the reporting unit with its carrying amount and recognize an impairment charge for the amount by which the carrying amount exceeds the reporting unit’s fair value, limited to the total amount of goodwill of the reporting unit. The Company did not recognize any goodwill impairment charges for any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has historically been tested for impairment annually on October 31 or more frequently upon the occurrence of certain events or substantive changes in circumstances that indicate impairment is more likely than not. During the year ended December 31, 2025, the Company changed the date of its annual impairment test from October 31 to October 1 of each year. This change is preferable because it aligns the Company’s impairment testing procedures with its annual business planning and budgeting process and allows the Company to maximize time and resources required to perform the impairment analysis. The Company does not consider this change in impairment testing date to be a material change in the application of an accounting principle as it does not result in the delay, acceleration or avoidance of an impairment charge.</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 2025, the Company completed its annual goodwill impairment test associated with its single reporting unit and, based on the qualitative assessment, determined it was more likely than not that the fair value of the reporting unit exceeded its carrying value. The Company did not identify any events or changes in circumstances since the performance of its annual goodwill impairment test that would require the Company to perform another goodwill impairment test during the fiscal year.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definite lived intangible assets are carried at cost, net of accumulated amortization. Intangible assets are amortized on a straight-line basis over their estimated useful lives. The Company estimates the useful life by estimating the expected period of economic benefit.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useful lives of the intangible assets are as follows:</w:t>
      </w:r>
    </w:p>
    <w:p>
      <w:pPr>
        <w:pStyle w:val="TextBody"/>
        <w:bidi w:val="0"/>
        <w:spacing w:before="0" w:after="0"/>
        <w:jc w:val="left"/>
        <w:rPr/>
      </w:pPr>
      <w:r>
        <w:rPr/>
      </w:r>
    </w:p>
    <w:tbl>
      <w:tblPr>
        <w:tblW w:w="3375" w:type="dxa"/>
        <w:jc w:val="left"/>
        <w:tblInd w:w="0" w:type="dxa"/>
        <w:tblLayout w:type="fixed"/>
        <w:tblCellMar>
          <w:top w:w="28" w:type="dxa"/>
          <w:left w:w="28" w:type="dxa"/>
          <w:bottom w:w="28" w:type="dxa"/>
          <w:right w:w="28" w:type="dxa"/>
        </w:tblCellMar>
      </w:tblPr>
      <w:tblGrid>
        <w:gridCol w:w="831"/>
        <w:gridCol w:w="731"/>
        <w:gridCol w:w="733"/>
        <w:gridCol w:w="316"/>
        <w:gridCol w:w="316"/>
        <w:gridCol w:w="448"/>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8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 to 5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4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protocol addresses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Long-lived assets, including property and equipment, definite lived intangible assets, and operating lease right-of-use assets, are reviewed for impairment whenever events or changes in circumstances, such as service discontinuance, technological obsolescence, significant decreases in market capitalization, facility closures, or work-force reductions indicate that the carrying amount of the long-lived asset or asset group may not be recoverable. When such events occur, the Company compares the carrying amount of the asset or asset group to the undiscounted expected future cash flows related to the asset or asset group. If this comparison indicates that an impairment is present, the amount of impairment is calculate as the difference between the carrying amount and the fair value of the asset or asset group. In addition to the recoverability assessment, the Company periodically reviews the remaining estimated useful lives of long-lived assets. If the estimated useful life assumption for any asset is changed due to new information, the remaining unamortized balance would be depreciated or amortized over the revised estimated useful life, on a prospective basis. Refer to Note 5 — Balance Sheet Information and Note 6 — Leases for discussion of impairment of property and equipment and impairment of operating lease right-of-use asset,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Leases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leases office space and data centers (“colocation leases”) under non-cancelable operating leases with various expiration dates. The Company also leases server equipment under non-cancelable finance leases with various expiration dates. The Company determines if an arrangement contains a lease at inception.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exclude lease incentives.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expense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 The lease agreements may contain variable costs such as common area maintenance, operating expenses or other costs. Variable lease costs are expensed as incurred on the consolidated statements of operations. The Company’s lease agreements generally do not contain any residual value guarantees or restrictive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operating leases contain both lease and non-lease components. Non-lease components for our office spaces include fixed payments for maintenance, utilities, real estate taxes, and management fees. Non-lease components for colocation leases include fixed payments for utilities and other operating costs. For both office spaces and colocation leases, the Company combines fixed lease and non-lease components and account for them as a single lease component.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networking equipment from a third party through equipment finance leases. These leases include a bargain purchase option, resulting in a full transfer of ownership at the completion of the lease term.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leases are reflected in operating lease right-of-use assets, operating lease liabilities, and operating lease liabilities, non-current on the consolidated balance sheets. Finance leases are included in property and equipment, net, finance lease liabilities, and finance lease liabilities, non-current on the consolidated balance sheets.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Convertible Debt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evaluated the terms of its debt in line with ASC 470-20, as amended by Accounting Standards Update (“ASU”) 2020-06, and concluded that the instrument does not require separation and that there were no other derivatives that required separation. The Company has combined these features with the host contract and accounted for the convertible debt as a single liability in long-term debt on the consolidated balance sheets. The carrying amount of the liability is either based on fair value or the gross proceeds, net of the unamortized transaction costs incurred related to the issuance of the convertible debt instrument, and any partial repurchases made. The debt discount from the net unamortized transaction cost is amortized to interest expense over the term of the convertible debt instrument using the effective interest rate method.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primarily derives revenue from the sale of services to customers executing contracts in which the standard contract term is one year, although terms may vary by contract. Most of the Company’s contracts are non-cancelable over the contractual term. The majority of the Company’s usage-based contracts commit the customer to a minimum monthly level of usage and specify the rate at which the customer must pay for actual usage above the monthly minimum. The Company also offers subscriptions to access security services at a fixed rate. Revenue is recognized net of any taxes collected from customers, which are subsequently remitted to governmental authorities.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Revenue from Contracts with Customers (“ASC 606”), revenue is recognized when a customer obtains control of promised services. The amount of revenue recognized reflects the consideration that the Company expects to be entitled to receive in exchange for these services. To achieve the core principle of this standard, the Company applies the following five steps: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Identify the contract with a customer</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considers the terms and conditions of contracts with customers and its customary business practices in identifying contracts under ASC 606. 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Identify the performance obligations in the contract</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the Company or from third parties, and are distinct in the context of the contract, whereby the transfer of the services is separately identifiable from other promises in the contract. The Company’s contracts with customers often include promises to transfer multiple services to a customer. Determining whether services are considered distinct performance obligations that should be accounted for separately versus together may require judgment. Performance obligations generally represent stand-ready obligations that are satisfied over time as the customer simultaneously receives and consumes the benefits provided by the Company.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Determine the transaction price</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price is determined based on the consideration to which the Company is expected to be entitled in exchange for transferring services to the customer. Variable consideration is included in the transaction price if it is probable that a significant future reversal of cumulative revenue under the contract will not occur. The transaction price in a contract for usage-based services is typically equal to the minimum commit price in the contract plus any variable amounts of usage above the minimum commitment, less any discounts provided. The transaction price in a contract that does not contain usage-based services is equal to the total contract value.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Allocate the transaction price to performance obligations in the contract</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For contracts with multiple performance obligations that are delivered over different time periods, the Company allocates the contract transaction price to each performance obligation using the estimated SSP of each distinct good or service in the contract. Judgment is required to determine the SSP for each distinct performance obligation. The Company analyzes separate sales of its services or the discounted list price per management’s approved price list as a basis for estimating the SSP of these services. In instances where SSP is not directly observable, such as when the Company does not sell the service separately, the Company determines the SSP using information that may include market conditions and other observable inputs. The Company typically has more than one SSP for individual products and services due to the stratification of those services by customers and circumstances. In these instances, the Company may use information, such as geographic region and distribution channel, in determining the SSP.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the Company’s typical contracts represent distinct services delivered over time with the same pattern of transfer to the customer, usage-based consideration primarily related to actual consumption over the minimum commit levels is allocated to the period to which it relates. The amount of consideration recognized for usage above the minimum commit price is limited to the amount the Company expects to be entitled to receive in exchange for providing services. The Company has elected to apply the practical expedient for estimating and disclosing the variable consideration when variable consideration is allocated entirely to a wholly unsatisfied performance obligation or to a wholly unsatisfied promise to transfer a distinct good or service that forms part of a performance obligation from its remaining performance obligations under these contracts. For contracts to which such practical expedient cannot be applied, consideration is estimated. </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Recognize revenue when or as performance obligations are satisfied</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control of the services is transferred to the customer, in an amount that reflects the consideration expected to be received in exchange for those services. The Company generates all its revenue from contracts with customers. The Company’s revenue is recognized over time, consistent with the pattern of benefit provided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 over the term of the agreement. Revenue on the Company’s subscription services are recognized ratably over their respective contractual term.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times, customers may request changes that either amend, replace, or cancel existing contracts. Judgment is required to determine whether the specific facts and circumstances within the contracts should be accounted for as a separate contract or as a prospective modification.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contracts where there are timing differences between when the Company transfers a promised good or service to the customer and when the customer pays for that good or service, the Company has determined its contracts do not include a significant financing component. The Company has also elected the practical expedient to not measure financing components for any contract where the timing difference is less than one year.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consists primarily of fees paid to network providers for bandwidth and to third-party network data centers for housing servers, also known as colocation costs. Cost of revenue also includes employee costs for network operation, build-out and support and services delivery, network storage costs, cost of managed services and software-as-a-service, depreciation of network equipment used to deliver services, and amortization of network-related internal-use software. The Company enters into contracts for bandwidth with third-party network providers with terms of typically one year. These contracts generally commit the Company to pay minimum monthly fees plus additional fees for bandwidth usage above the committed level. The Company enters into contracts for colocation services with third-party providers with terms typically ranging from one to six years.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consist of primarily payroll and related personnel costs for the design, development, testing, and enhancement of the Company’s edge cloud platform. Research and development expenses also include cloud infrastructure fees for development and testing. Costs incurred in the development of the Company’s edge cloud platform are expensed as incurred, excluding those expenses which meet the criteria for the capitalization of internal-use software.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Advertising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advertising expense as incurred. The Company recognized total advertising expense of approximately $5.1 million, $5.8 million and $4.6 million for the years ended December 31, 2025, 2024, and 2023,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Accounting for Stock-Based Compensation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based on the grant-date fair value of the awards. The fair values of the restricted stock units (“RSUs”) and performance stock awards (“PSUs”) are based on the fair value of the Company’s stock price on the grant date. The fair values of stock options and employee stock purchase program (“ESPP”) are based on the Black-Scholes option-pricing model. The fair value of the market-based performance stock awards (“MPSUs”) and Relative Total Shareholder Return Award PSUs (“rTSR PSUs”) are measured using a Monte Carlo simulation valuation model.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determination of the fair value of a stock-based award is affected by the deemed fair value of the underlying stock price on the grant date, as well as assumptions regarding a number of other complex and subjective variables, including expected term and stock price volatility of the awards.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for awards with service-based vesting only is recognized on a straight-line basis over the requisite service period of the awards, which is generally three or four years. In addition to service-based conditions, stock-based compensation expense for awards that have performance-based or market-based conditions are recognized over the requisite service period for each separately-vesting tranche as though each tranche of the award is its own separate grant, which results in an accelerated recognition of compensation cost. The Company accounts for forfeitures as they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Foreign Currency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functional currency of the Company’s foreign subsidiaries is the U.S. dollar. Transaction gains and losses that arise from exchange rate fluctuations on transactions denominated in a currency other than the functional currency are included in other income (expense), net in the consolidated statements of operations. The aggregate transaction gain or loss for the years ended December 31, 2025, 2024 and 2023 is included in the determination of net income for the period and was not material to the respective periods.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for the year in which the differences are expected to reverse. The effect of a change in tax rates on deferred tax assets and liabilities is recognized in income in the period that includes the enactment date.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related to unrecognized tax benefits on the income tax expense line in the accompanying consolidated statement of operations and consolidated statement of comprehensive loss. Accrued interest and penalties are included in accrued expenses on the consolidated balance sheet.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Loss Per Share Attributable to Common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net loss per share is computed by dividing net loss by the weighted-average number of shares of common stock outstanding during the period. Diluted earnings per share attributable to common stockholders adjusts basic earnings per share for the potentially dilutive impact of stock options, restricted stock units, restricted stock awards, shares issuable under its employee stock purchase plans and performance stock awards. The Company also applies the if-converted method for calculation of diluted earnings per share for its convertible debt instruments. As the Company has reported losses for all periods presented, all potentially dilutive securities are antidilutive and accordingly, basic net loss per share equals diluted net loss per share.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one reportable and operating segment. Financial information about the Company’s operating segment and geographic areas is presented in Note 13 to these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Issued and Adopted Accounting Pronouncements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ASU 2023-09 “Income Taxes (Topic 740): Improvements to Income Tax Disclosures”, which expands disclosures in an entity’s income tax rate reconciliation table and regarding cash taxes paid both in the U.S. and foreign jurisdictions. The guidance is effective for the Company's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periods beginning in 2025. The Company adopted the standard on December 31, 2025. For further information, refer to Note 12—Income Taxes, in these financial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“Disaggregation of Income Statement Expenses,”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2027 and interim periods beginning in the first quarter of fiscal year 2028. The Company is currently evaluating the impact of the new guidance.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2024-04 “Induced Conversions of Convertible Debt Instruments,” which amends ASC 470-202 to clarify the requirements related to accounting for the settlement of a debt instrument as an induced conversion. The guidance is effective for the Company's annual periods beginning in 2026 and interim periods within those annual reporting periods. The Company did not early adopt and is currently evaluating the impact of the new guidance.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which aims to clarify and modernize the accounting for costs related to internal-use software. The guidance is effective for the Company's interim and annual periods beginning in 2028. The Company is currently evaluating the impact of the new guidance.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geography is based on the billing address of the customer. Aside from the United States, no other single country accounted for more than 10% of revenue for the years ended December 31, 2025, 2024 and 2023. The following table presents the Company’s net revenue by geographic region:</w:t>
      </w:r>
    </w:p>
    <w:tbl>
      <w:tblPr>
        <w:tblW w:w="6098" w:type="dxa"/>
        <w:jc w:val="left"/>
        <w:tblInd w:w="0" w:type="dxa"/>
        <w:tblLayout w:type="fixed"/>
        <w:tblCellMar>
          <w:top w:w="28" w:type="dxa"/>
          <w:left w:w="28" w:type="dxa"/>
          <w:bottom w:w="28" w:type="dxa"/>
          <w:right w:w="28" w:type="dxa"/>
        </w:tblCellMar>
      </w:tblPr>
      <w:tblGrid>
        <w:gridCol w:w="593"/>
        <w:gridCol w:w="519"/>
        <w:gridCol w:w="52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reports its revenue by three product lines: Network Services, Security, and Other. Network Services include solutions designed to improve performance of websites, apps, application programming interfaces (“APIs”), and digital media. Security includes products designed to protect websites, apps, APIs and users. Other includes Compute solutions that allow developers to build and deploy modern web applications on Fastly's edge cloud platform and Observability solutions that provide real-time logs, data, and metrics streamed from Fastly's edge platform for actionable insights. The following table presents the Company’s revenue by product line:</w:t>
      </w:r>
    </w:p>
    <w:tbl>
      <w:tblPr>
        <w:tblW w:w="5994" w:type="dxa"/>
        <w:jc w:val="left"/>
        <w:tblInd w:w="0" w:type="dxa"/>
        <w:tblLayout w:type="fixed"/>
        <w:tblCellMar>
          <w:top w:w="28" w:type="dxa"/>
          <w:left w:w="28" w:type="dxa"/>
          <w:bottom w:w="28" w:type="dxa"/>
          <w:right w:w="28" w:type="dxa"/>
        </w:tblCellMar>
      </w:tblPr>
      <w:tblGrid>
        <w:gridCol w:w="555"/>
        <w:gridCol w:w="487"/>
        <w:gridCol w:w="488"/>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Network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may differ from the timing of invoicing to customers. The Company’s payment terms and conditions vary by contract type, and generally range from 30 to 90 days.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assets are recognized when a conditional right to consideration exists and transfer of control has occurred. The Company records a contract asset, or unbilled receivable, when revenue is recognized prior to invoicing. Contract assets are typically related to the Company's subscription services and cloud usage. Contract assets are included in accounts receivable, net on the Company's Consolidated Balance Sheets.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a contract liability, or deferred revenue, when a contract is billed to customers in advance of revenue being recognized. Deferred revenue primarily consists of the unearned portions of billings for the Company’s security subscription services and the unearned portion of committed edge cloud platform usage. Contract liabilities are included in deferred revenue for the current portion and other long term liabilities for the long-term portion on the Consolidated Balance Sheets.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contract assets and contract liabilities as of December 31, 2025 and 2024:</w:t>
      </w:r>
    </w:p>
    <w:tbl>
      <w:tblPr>
        <w:tblW w:w="5861" w:type="dxa"/>
        <w:jc w:val="left"/>
        <w:tblInd w:w="0" w:type="dxa"/>
        <w:tblLayout w:type="fixed"/>
        <w:tblCellMar>
          <w:top w:w="28" w:type="dxa"/>
          <w:left w:w="28" w:type="dxa"/>
          <w:bottom w:w="28" w:type="dxa"/>
          <w:right w:w="28" w:type="dxa"/>
        </w:tblCellMar>
      </w:tblPr>
      <w:tblGrid>
        <w:gridCol w:w="597"/>
        <w:gridCol w:w="525"/>
        <w:gridCol w:w="528"/>
        <w:gridCol w:w="389"/>
        <w:gridCol w:w="1330"/>
        <w:gridCol w:w="201"/>
        <w:gridCol w:w="109"/>
        <w:gridCol w:w="109"/>
        <w:gridCol w:w="109"/>
        <w:gridCol w:w="381"/>
        <w:gridCol w:w="1305"/>
        <w:gridCol w:w="278"/>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recognized during the years ended December 31, 2025 and 2024 from amounts included in the contract liability at the beginning of the period:</w:t>
      </w:r>
    </w:p>
    <w:tbl>
      <w:tblPr>
        <w:tblW w:w="10205" w:type="dxa"/>
        <w:jc w:val="center"/>
        <w:tblInd w:w="0" w:type="dxa"/>
        <w:tblLayout w:type="fixed"/>
        <w:tblCellMar>
          <w:top w:w="28" w:type="dxa"/>
          <w:left w:w="28" w:type="dxa"/>
          <w:bottom w:w="28" w:type="dxa"/>
          <w:right w:w="28" w:type="dxa"/>
        </w:tblCellMar>
      </w:tblPr>
      <w:tblGrid>
        <w:gridCol w:w="2808"/>
        <w:gridCol w:w="2467"/>
        <w:gridCol w:w="2474"/>
        <w:gridCol w:w="211"/>
        <w:gridCol w:w="721"/>
        <w:gridCol w:w="109"/>
        <w:gridCol w:w="109"/>
        <w:gridCol w:w="109"/>
        <w:gridCol w:w="109"/>
        <w:gridCol w:w="211"/>
        <w:gridCol w:w="721"/>
        <w:gridCol w:w="156"/>
      </w:tblGrid>
      <w:tr>
        <w:trPr/>
        <w:tc>
          <w:tcPr>
            <w:tcW w:w="2808"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from amounts included in contract liability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represents deferred revenue and amounts that were and will be invoiced and recognized as revenue in future periods for non-cancelable subscription arrangements and usage commitments. The Company’s RPO excludes performance obligations from on-demand arrangements when there are no minimum purchase commitments associated with these arrangements.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aggregate amount of the transaction price in our contracts allocated to remaining performance obligations that are unsatisfied or partially unsatisfied was $353.8 million. This amount includes future committed revenue for periods within current contracts with customers, as well as deferred revenue arising from consideration invoiced for which the related performance obligations have not been satisfied. As of December 31, 2025, the Company expects to recognize approximately 70% of its remaining performance obligations over the next 12 months. The Company’s typical contractual term with its customers is one year, although terms may vary by contract. </w:t>
      </w:r>
    </w:p>
    <w:p>
      <w:pPr>
        <w:pStyle w:val="TextBody"/>
        <w:bidi w:val="0"/>
        <w:spacing w:lineRule="auto" w:line="288" w:before="0" w:after="240"/>
        <w:jc w:val="left"/>
        <w:rPr/>
      </w:pPr>
      <w:r>
        <w:rPr>
          <w:rFonts w:ascii="Times New Roman;serif" w:hAnsi="Times New Roman;serif"/>
          <w:b/>
          <w:i/>
          <w:color w:val="000000"/>
          <w:sz w:val="20"/>
        </w:rPr>
        <w:t>Costs to Obtain a Contract</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 Company’s costs to obtain contracts were as follows:</w:t>
      </w:r>
    </w:p>
    <w:tbl>
      <w:tblPr>
        <w:tblW w:w="6521" w:type="dxa"/>
        <w:jc w:val="left"/>
        <w:tblInd w:w="0" w:type="dxa"/>
        <w:tblLayout w:type="fixed"/>
        <w:tblCellMar>
          <w:top w:w="28" w:type="dxa"/>
          <w:left w:w="28" w:type="dxa"/>
          <w:bottom w:w="28" w:type="dxa"/>
          <w:right w:w="28" w:type="dxa"/>
        </w:tblCellMar>
      </w:tblPr>
      <w:tblGrid>
        <w:gridCol w:w="837"/>
        <w:gridCol w:w="735"/>
        <w:gridCol w:w="738"/>
        <w:gridCol w:w="389"/>
        <w:gridCol w:w="1330"/>
        <w:gridCol w:w="201"/>
        <w:gridCol w:w="109"/>
        <w:gridCol w:w="109"/>
        <w:gridCol w:w="109"/>
        <w:gridCol w:w="381"/>
        <w:gridCol w:w="1305"/>
        <w:gridCol w:w="278"/>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 net</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recognized $19.4 million, $18.6 million and $15.5 million of amortization related to deferred contract costs, respectively. These costs are recorded within sales and marketing expenses on the accompanying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Investments and Fair Value Measurements</w:t>
      </w:r>
    </w:p>
    <w:p>
      <w:pPr>
        <w:pStyle w:val="TextBody"/>
        <w:bidi w:val="0"/>
        <w:spacing w:lineRule="auto" w:line="256" w:before="0" w:after="24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certain of the Company’s financial instruments, including cash held in banks, accounts receivable, and accounts payable, the carrying amounts approximate fair value due to their short maturities, and are therefore excluded from the fair value tables below.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There is a three-tier fair value hierarchy, which prioritizes the inputs used in measuring fair value as follows: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1—Observable inputs such as quoted prices in active markets for identical assets or liabilities;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3—Unobservable inputs that are supported by little or no market activity, which require management judgment or estimation.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measures its cash equivalents and marketable securities at fair value. The Company classifies its cash equivalents and marketable securities within Level 1 or Level 2 because the Company values these investments using quoted market prices or alternative pricing sources and models utilizing market observable inputs.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investments, which are comprised of corporate notes and bonds, commercial paper, U.S. treasury securities, securities of deposit, and municipal securities within Level 2 of the fair value hierarchy because the fair value of these securities is priced by using inputs based on non-binding market consensus prices that are primarily corroborated by observable market data or quoted market prices for similar instruments. Financial assets and liabilities are measured and recorded at fair value on a recurring basis.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cash and marketable securities' amortized cost, unrealized gains (losses), and fair value by significant investment category reported as cash and cash equivalents or marketable securities as of December 31,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34"/>
        <w:gridCol w:w="364"/>
        <w:gridCol w:w="345"/>
        <w:gridCol w:w="109"/>
        <w:gridCol w:w="109"/>
        <w:gridCol w:w="109"/>
        <w:gridCol w:w="211"/>
        <w:gridCol w:w="826"/>
        <w:gridCol w:w="109"/>
        <w:gridCol w:w="109"/>
        <w:gridCol w:w="109"/>
        <w:gridCol w:w="109"/>
        <w:gridCol w:w="257"/>
        <w:gridCol w:w="495"/>
        <w:gridCol w:w="134"/>
        <w:gridCol w:w="109"/>
        <w:gridCol w:w="109"/>
        <w:gridCol w:w="109"/>
        <w:gridCol w:w="257"/>
        <w:gridCol w:w="495"/>
        <w:gridCol w:w="134"/>
        <w:gridCol w:w="109"/>
        <w:gridCol w:w="109"/>
        <w:gridCol w:w="109"/>
        <w:gridCol w:w="211"/>
        <w:gridCol w:w="826"/>
        <w:gridCol w:w="109"/>
        <w:gridCol w:w="109"/>
        <w:gridCol w:w="109"/>
        <w:gridCol w:w="109"/>
        <w:gridCol w:w="254"/>
        <w:gridCol w:w="998"/>
        <w:gridCol w:w="131"/>
        <w:gridCol w:w="109"/>
        <w:gridCol w:w="109"/>
        <w:gridCol w:w="109"/>
        <w:gridCol w:w="239"/>
        <w:gridCol w:w="936"/>
        <w:gridCol w:w="178"/>
      </w:tblGrid>
      <w:tr>
        <w:trPr/>
        <w:tc>
          <w:tcPr>
            <w:tcW w:w="73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Marketable securities:</w:t>
            </w:r>
          </w:p>
        </w:tc>
      </w:tr>
      <w:tr>
        <w:trPr/>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0"/>
        <w:gridCol w:w="386"/>
        <w:gridCol w:w="370"/>
        <w:gridCol w:w="109"/>
        <w:gridCol w:w="109"/>
        <w:gridCol w:w="109"/>
        <w:gridCol w:w="211"/>
        <w:gridCol w:w="826"/>
        <w:gridCol w:w="109"/>
        <w:gridCol w:w="109"/>
        <w:gridCol w:w="109"/>
        <w:gridCol w:w="109"/>
        <w:gridCol w:w="257"/>
        <w:gridCol w:w="495"/>
        <w:gridCol w:w="134"/>
        <w:gridCol w:w="109"/>
        <w:gridCol w:w="109"/>
        <w:gridCol w:w="109"/>
        <w:gridCol w:w="257"/>
        <w:gridCol w:w="495"/>
        <w:gridCol w:w="134"/>
        <w:gridCol w:w="109"/>
        <w:gridCol w:w="109"/>
        <w:gridCol w:w="109"/>
        <w:gridCol w:w="211"/>
        <w:gridCol w:w="826"/>
        <w:gridCol w:w="109"/>
        <w:gridCol w:w="109"/>
        <w:gridCol w:w="109"/>
        <w:gridCol w:w="109"/>
        <w:gridCol w:w="265"/>
        <w:gridCol w:w="1039"/>
        <w:gridCol w:w="137"/>
        <w:gridCol w:w="109"/>
        <w:gridCol w:w="109"/>
        <w:gridCol w:w="109"/>
        <w:gridCol w:w="266"/>
        <w:gridCol w:w="778"/>
        <w:gridCol w:w="198"/>
      </w:tblGrid>
      <w:tr>
        <w:trPr/>
        <w:tc>
          <w:tcPr>
            <w:tcW w:w="7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Marketable securities:</w:t>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286,175 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of assets and liabilities measured at fair value between Level 1 and Level 2, or between Level 2 and Level 3, during the years ended December 31, 2025 and 2024.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material realized gains or losses from sales of marketable securities that were reclassified out of accumulated other comprehensive loss into other expense, net as of December 31, 2025 and December 31, 2024. For the years ended December 31, 2025, 2024 and 2023, the Company did not record any impairment charges for its marketable debt securities in its consolidated statements of operations. No impairment loss has been recorded on the securities as the Company does not intend to sell any impaired securities, nor is it more likely than not that the Company would be required to sell impaired securities before recovery of amortized cost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5.     Balance Sheet Information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activity in the accounts receivable reserves is as follows:</w:t>
      </w:r>
    </w:p>
    <w:tbl>
      <w:tblPr>
        <w:tblW w:w="6129" w:type="dxa"/>
        <w:jc w:val="center"/>
        <w:tblInd w:w="0" w:type="dxa"/>
        <w:tblLayout w:type="fixed"/>
        <w:tblCellMar>
          <w:top w:w="28" w:type="dxa"/>
          <w:left w:w="28" w:type="dxa"/>
          <w:bottom w:w="28" w:type="dxa"/>
          <w:right w:w="28" w:type="dxa"/>
        </w:tblCellMar>
      </w:tblPr>
      <w:tblGrid>
        <w:gridCol w:w="832"/>
        <w:gridCol w:w="729"/>
        <w:gridCol w:w="734"/>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the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jc w:val="left"/>
        <w:rPr>
          <w:rFonts w:ascii="Times New Roman;serif" w:hAnsi="Times New Roman;serif"/>
          <w:b/>
          <w:i/>
          <w:color w:val="000000"/>
          <w:sz w:val="20"/>
        </w:rPr>
      </w:pPr>
      <w:r>
        <w:rPr>
          <w:rFonts w:ascii="Times New Roman;serif" w:hAnsi="Times New Roman;serif"/>
          <w:b/>
          <w:i/>
          <w:color w:val="000000"/>
          <w:sz w:val="20"/>
        </w:rPr>
        <w:t>Revenue Reserve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activity in the revenue reserve is as follows:</w:t>
      </w:r>
    </w:p>
    <w:tbl>
      <w:tblPr>
        <w:tblW w:w="6129" w:type="dxa"/>
        <w:jc w:val="center"/>
        <w:tblInd w:w="0" w:type="dxa"/>
        <w:tblLayout w:type="fixed"/>
        <w:tblCellMar>
          <w:top w:w="28" w:type="dxa"/>
          <w:left w:w="28" w:type="dxa"/>
          <w:bottom w:w="28" w:type="dxa"/>
          <w:right w:w="28" w:type="dxa"/>
        </w:tblCellMar>
      </w:tblPr>
      <w:tblGrid>
        <w:gridCol w:w="832"/>
        <w:gridCol w:w="729"/>
        <w:gridCol w:w="734"/>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the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6681" w:type="dxa"/>
        <w:jc w:val="left"/>
        <w:tblInd w:w="0" w:type="dxa"/>
        <w:tblLayout w:type="fixed"/>
        <w:tblCellMar>
          <w:top w:w="28" w:type="dxa"/>
          <w:left w:w="28" w:type="dxa"/>
          <w:bottom w:w="28" w:type="dxa"/>
          <w:right w:w="28" w:type="dxa"/>
        </w:tblCellMar>
      </w:tblPr>
      <w:tblGrid>
        <w:gridCol w:w="1337"/>
        <w:gridCol w:w="1173"/>
        <w:gridCol w:w="1180"/>
        <w:gridCol w:w="109"/>
        <w:gridCol w:w="109"/>
        <w:gridCol w:w="109"/>
        <w:gridCol w:w="211"/>
        <w:gridCol w:w="826"/>
        <w:gridCol w:w="109"/>
        <w:gridCol w:w="109"/>
        <w:gridCol w:w="109"/>
        <w:gridCol w:w="109"/>
        <w:gridCol w:w="211"/>
        <w:gridCol w:w="82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recognize any material impairment charge during the year ended December 31, 2025,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Company recognized an impairment charge of $2.8 million related to equipment and an internal-use software project that the Company did not plan to continue with and therefore abandoned.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the Company recognized an impairment charge of $4.3 million, of which $3.0 million related to property and equipment, net and $1.3 million related to advance payments for the purchase of property and equipment. The write-off was primarily related to excess computer and networking equipment including software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Company did not expect to use and therefore abandoned. Impairment charges are included within impairment expense in the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on property and equipment for the years ended December 31, 2025, 2024 and 2023 was $61.0 million, $54.0 million, and $51.6 million, respectively. Included in these amounts was amortization expense for capitalized internal-use software costs of $22.6 million, $17.0 million and $14.0 million for the years ended December 31, 2025, 2024 and 2023, respectively. As of December 31, 2025 and 2024, the unamortized balance of capitalized internal-use software costs on the Company’s consolidated balance sheets was approximately $81.4 million and $79.5 million, respectively.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w:t>
      </w:r>
    </w:p>
    <w:tbl>
      <w:tblPr>
        <w:tblW w:w="7611" w:type="dxa"/>
        <w:jc w:val="left"/>
        <w:tblInd w:w="0" w:type="dxa"/>
        <w:tblLayout w:type="fixed"/>
        <w:tblCellMar>
          <w:top w:w="28" w:type="dxa"/>
          <w:left w:w="28" w:type="dxa"/>
          <w:bottom w:w="28" w:type="dxa"/>
          <w:right w:w="28" w:type="dxa"/>
        </w:tblCellMar>
      </w:tblPr>
      <w:tblGrid>
        <w:gridCol w:w="1750"/>
        <w:gridCol w:w="1537"/>
        <w:gridCol w:w="1543"/>
        <w:gridCol w:w="109"/>
        <w:gridCol w:w="109"/>
        <w:gridCol w:w="109"/>
        <w:gridCol w:w="211"/>
        <w:gridCol w:w="721"/>
        <w:gridCol w:w="109"/>
        <w:gridCol w:w="109"/>
        <w:gridCol w:w="109"/>
        <w:gridCol w:w="109"/>
        <w:gridCol w:w="211"/>
        <w:gridCol w:w="721"/>
        <w:gridCol w:w="154"/>
      </w:tblGrid>
      <w:tr>
        <w:trPr/>
        <w:tc>
          <w:tcPr>
            <w:tcW w:w="175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 for 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4475" w:type="dxa"/>
        <w:jc w:val="left"/>
        <w:tblInd w:w="0" w:type="dxa"/>
        <w:tblLayout w:type="fixed"/>
        <w:tblCellMar>
          <w:top w:w="28" w:type="dxa"/>
          <w:left w:w="28" w:type="dxa"/>
          <w:bottom w:w="28" w:type="dxa"/>
          <w:right w:w="28" w:type="dxa"/>
        </w:tblCellMar>
      </w:tblPr>
      <w:tblGrid>
        <w:gridCol w:w="614"/>
        <w:gridCol w:w="538"/>
        <w:gridCol w:w="542"/>
        <w:gridCol w:w="109"/>
        <w:gridCol w:w="109"/>
        <w:gridCol w:w="109"/>
        <w:gridCol w:w="211"/>
        <w:gridCol w:w="721"/>
        <w:gridCol w:w="109"/>
        <w:gridCol w:w="109"/>
        <w:gridCol w:w="109"/>
        <w:gridCol w:w="109"/>
        <w:gridCol w:w="211"/>
        <w:gridCol w:w="721"/>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Accrued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6395" w:type="dxa"/>
        <w:jc w:val="left"/>
        <w:tblInd w:w="0" w:type="dxa"/>
        <w:tblLayout w:type="fixed"/>
        <w:tblCellMar>
          <w:top w:w="28" w:type="dxa"/>
          <w:left w:w="28" w:type="dxa"/>
          <w:bottom w:w="28" w:type="dxa"/>
          <w:right w:w="28" w:type="dxa"/>
        </w:tblCellMar>
      </w:tblPr>
      <w:tblGrid>
        <w:gridCol w:w="1310"/>
        <w:gridCol w:w="1149"/>
        <w:gridCol w:w="1155"/>
        <w:gridCol w:w="109"/>
        <w:gridCol w:w="109"/>
        <w:gridCol w:w="109"/>
        <w:gridCol w:w="211"/>
        <w:gridCol w:w="721"/>
        <w:gridCol w:w="109"/>
        <w:gridCol w:w="109"/>
        <w:gridCol w:w="109"/>
        <w:gridCol w:w="109"/>
        <w:gridCol w:w="211"/>
        <w:gridCol w:w="721"/>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colocation and bandwidth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Current Liabilities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current liabilities consisted of the following:</w:t>
      </w:r>
    </w:p>
    <w:tbl>
      <w:tblPr>
        <w:tblW w:w="6410" w:type="dxa"/>
        <w:jc w:val="center"/>
        <w:tblInd w:w="0" w:type="dxa"/>
        <w:tblLayout w:type="fixed"/>
        <w:tblCellMar>
          <w:top w:w="28" w:type="dxa"/>
          <w:left w:w="28" w:type="dxa"/>
          <w:bottom w:w="28" w:type="dxa"/>
          <w:right w:w="28" w:type="dxa"/>
        </w:tblCellMar>
      </w:tblPr>
      <w:tblGrid>
        <w:gridCol w:w="1392"/>
        <w:gridCol w:w="1220"/>
        <w:gridCol w:w="1227"/>
        <w:gridCol w:w="109"/>
        <w:gridCol w:w="109"/>
        <w:gridCol w:w="109"/>
        <w:gridCol w:w="211"/>
        <w:gridCol w:w="616"/>
        <w:gridCol w:w="109"/>
        <w:gridCol w:w="109"/>
        <w:gridCol w:w="109"/>
        <w:gridCol w:w="109"/>
        <w:gridCol w:w="211"/>
        <w:gridCol w:w="616"/>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computer and networking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corporate offices and data centers (“colocation” leases) and finance leases for networking equipment. The Company’s operating leases have remaining lease terms ranging from less than 1 year to 9 years, some of which include options to extend the leases. The Company also subleases a portion of its corporate office spaces. The Company’s subleases have remaining lease terms ranging from less than 1 year to 4 years. Sublease income was $0.8 million, $1.4 million, and $1.2 million for the years ended December 31, 2025, 2024 and 2023, respectively.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 were as follows:</w:t>
      </w:r>
    </w:p>
    <w:tbl>
      <w:tblPr>
        <w:tblW w:w="7346" w:type="dxa"/>
        <w:jc w:val="left"/>
        <w:tblInd w:w="0" w:type="dxa"/>
        <w:tblLayout w:type="fixed"/>
        <w:tblCellMar>
          <w:top w:w="28" w:type="dxa"/>
          <w:left w:w="28" w:type="dxa"/>
          <w:bottom w:w="28" w:type="dxa"/>
          <w:right w:w="28" w:type="dxa"/>
        </w:tblCellMar>
      </w:tblPr>
      <w:tblGrid>
        <w:gridCol w:w="1276"/>
        <w:gridCol w:w="1120"/>
        <w:gridCol w:w="1128"/>
        <w:gridCol w:w="211"/>
        <w:gridCol w:w="721"/>
        <w:gridCol w:w="109"/>
        <w:gridCol w:w="109"/>
        <w:gridCol w:w="109"/>
        <w:gridCol w:w="109"/>
        <w:gridCol w:w="211"/>
        <w:gridCol w:w="721"/>
        <w:gridCol w:w="109"/>
        <w:gridCol w:w="109"/>
        <w:gridCol w:w="109"/>
        <w:gridCol w:w="109"/>
        <w:gridCol w:w="211"/>
        <w:gridCol w:w="721"/>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assets under finance lease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short-term lease costs were not material for the years ended December 31, 2025, 2024 and 2023.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did not recognize any material impairment charge on its operating lease right-of-use assets during the year ended December 31, 2025. During the year ended December 31, 2024, the Company recognized an impairment charge of $1.7 million related to right-of-use assets, of which $1.3 million was related to the Company exiting a certain office facility and is included within the impairment expense line in the Company's consolidated statements of operations. During the year ended December 31, 2023, the Company recognized impairment on its operating lease right-of-use assets of $0.7 million.</w:t>
      </w:r>
    </w:p>
    <w:tbl>
      <w:tblPr>
        <w:tblW w:w="7394" w:type="dxa"/>
        <w:jc w:val="left"/>
        <w:tblInd w:w="0" w:type="dxa"/>
        <w:tblLayout w:type="fixed"/>
        <w:tblCellMar>
          <w:top w:w="28" w:type="dxa"/>
          <w:left w:w="28" w:type="dxa"/>
          <w:bottom w:w="28" w:type="dxa"/>
          <w:right w:w="28" w:type="dxa"/>
        </w:tblCellMar>
      </w:tblPr>
      <w:tblGrid>
        <w:gridCol w:w="1576"/>
        <w:gridCol w:w="1384"/>
        <w:gridCol w:w="1389"/>
        <w:gridCol w:w="255"/>
        <w:gridCol w:w="256"/>
        <w:gridCol w:w="271"/>
        <w:gridCol w:w="109"/>
        <w:gridCol w:w="109"/>
        <w:gridCol w:w="109"/>
        <w:gridCol w:w="255"/>
        <w:gridCol w:w="256"/>
        <w:gridCol w:w="271"/>
        <w:gridCol w:w="109"/>
        <w:gridCol w:w="109"/>
        <w:gridCol w:w="109"/>
        <w:gridCol w:w="255"/>
        <w:gridCol w:w="256"/>
        <w:gridCol w:w="316"/>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as of December 31, 2025 were as follows:</w:t>
      </w:r>
    </w:p>
    <w:tbl>
      <w:tblPr>
        <w:tblW w:w="4590" w:type="dxa"/>
        <w:jc w:val="left"/>
        <w:tblInd w:w="0" w:type="dxa"/>
        <w:tblLayout w:type="fixed"/>
        <w:tblCellMar>
          <w:top w:w="28" w:type="dxa"/>
          <w:left w:w="28" w:type="dxa"/>
          <w:bottom w:w="28" w:type="dxa"/>
          <w:right w:w="28" w:type="dxa"/>
        </w:tblCellMar>
      </w:tblPr>
      <w:tblGrid>
        <w:gridCol w:w="1151"/>
        <w:gridCol w:w="1011"/>
        <w:gridCol w:w="1018"/>
        <w:gridCol w:w="274"/>
        <w:gridCol w:w="936"/>
        <w:gridCol w:w="200"/>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Year ending December 31, </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90,979 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liability</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77,453 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has undiscounted commitments of $9.1 million for operating leases that have not yet commenced, and therefore are not included in the right-of-use asset or operating lease liability. These operating leases will commence in the first quarter of 2026 with lease terms ranging from 2 years to 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Goodwill and Intangible Assets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Company’s goodwill was $670.4 million. The Company did not record an impairment charge on goodwill for the fiscal years ended December 31, 2025, 2024 and 2023. </w:t>
      </w:r>
    </w:p>
    <w:p>
      <w:pPr>
        <w:pStyle w:val="TextBody"/>
        <w:bidi w:val="0"/>
        <w:spacing w:lineRule="auto" w:line="288" w:before="0" w:after="240"/>
        <w:jc w:val="left"/>
        <w:rPr/>
      </w:pPr>
      <w:r>
        <w:rPr>
          <w:rFonts w:ascii="Times New Roman;serif" w:hAnsi="Times New Roman;serif"/>
          <w:b/>
          <w:i/>
          <w:color w:val="000000"/>
          <w:sz w:val="20"/>
        </w:rPr>
        <w:t>Intangible Assets, net</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 Company’s intangible assets consisted of the following:</w:t>
      </w:r>
    </w:p>
    <w:tbl>
      <w:tblPr>
        <w:tblW w:w="10205" w:type="dxa"/>
        <w:jc w:val="left"/>
        <w:tblInd w:w="0" w:type="dxa"/>
        <w:tblLayout w:type="fixed"/>
        <w:tblCellMar>
          <w:top w:w="28" w:type="dxa"/>
          <w:left w:w="28" w:type="dxa"/>
          <w:bottom w:w="28" w:type="dxa"/>
          <w:right w:w="28" w:type="dxa"/>
        </w:tblCellMar>
      </w:tblPr>
      <w:tblGrid>
        <w:gridCol w:w="570"/>
        <w:gridCol w:w="335"/>
        <w:gridCol w:w="332"/>
        <w:gridCol w:w="109"/>
        <w:gridCol w:w="109"/>
        <w:gridCol w:w="109"/>
        <w:gridCol w:w="216"/>
        <w:gridCol w:w="847"/>
        <w:gridCol w:w="111"/>
        <w:gridCol w:w="109"/>
        <w:gridCol w:w="109"/>
        <w:gridCol w:w="109"/>
        <w:gridCol w:w="219"/>
        <w:gridCol w:w="880"/>
        <w:gridCol w:w="113"/>
        <w:gridCol w:w="109"/>
        <w:gridCol w:w="109"/>
        <w:gridCol w:w="109"/>
        <w:gridCol w:w="216"/>
        <w:gridCol w:w="738"/>
        <w:gridCol w:w="111"/>
        <w:gridCol w:w="109"/>
        <w:gridCol w:w="109"/>
        <w:gridCol w:w="109"/>
        <w:gridCol w:w="216"/>
        <w:gridCol w:w="847"/>
        <w:gridCol w:w="111"/>
        <w:gridCol w:w="109"/>
        <w:gridCol w:w="109"/>
        <w:gridCol w:w="109"/>
        <w:gridCol w:w="221"/>
        <w:gridCol w:w="779"/>
        <w:gridCol w:w="114"/>
        <w:gridCol w:w="109"/>
        <w:gridCol w:w="109"/>
        <w:gridCol w:w="109"/>
        <w:gridCol w:w="213"/>
        <w:gridCol w:w="730"/>
        <w:gridCol w:w="324"/>
      </w:tblGrid>
      <w:tr>
        <w:trPr/>
        <w:tc>
          <w:tcPr>
            <w:tcW w:w="57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32,496 </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32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protocol addresses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(101,113)</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(86,008)</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42,876 </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customer relationships, developed technology, trade names and Internet protocol addresses represent intangible assets subject to amortization. Amortization expense was $16.8 million, $19.6 million and $20.4 million, for the years ended December 31, 2025, 2024 and 2023, respectively. </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did not purchase any intangible assets during the years ended December 31, 2025, 2024 and 2023.</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an impairment charge of $0.3 million for the year ended December 31, 2025 related to the write-off of intangible assets no longer in use. The Company did not record an impairment charge on its intangible assets for either of the years ended December 31, 2024 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expected amortization expense of intangible assets subject to amortization as of December 31, 2025 is as follows:</w:t>
      </w:r>
    </w:p>
    <w:tbl>
      <w:tblPr>
        <w:tblW w:w="4229" w:type="dxa"/>
        <w:jc w:val="left"/>
        <w:tblInd w:w="0" w:type="dxa"/>
        <w:tblLayout w:type="fixed"/>
        <w:tblCellMar>
          <w:top w:w="28" w:type="dxa"/>
          <w:left w:w="28" w:type="dxa"/>
          <w:bottom w:w="28" w:type="dxa"/>
          <w:right w:w="28" w:type="dxa"/>
        </w:tblCellMar>
      </w:tblPr>
      <w:tblGrid>
        <w:gridCol w:w="820"/>
        <w:gridCol w:w="720"/>
        <w:gridCol w:w="725"/>
        <w:gridCol w:w="381"/>
        <w:gridCol w:w="1305"/>
        <w:gridCol w:w="278"/>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25,771 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Debt Instruments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Senior Secured Credit Facilities Credit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16, 2021, the Company entered into a Senior Secured Credit Facilities Credit Agreement (as amended, restated, amended and restated, supplemented, restructured, or otherwise modified from time to time, the “Credit Agreement”) with the lenders from time to time party thereto (the “Lenders”) and Silicon Valley Bank, a division of First-Citizens Bank &amp; Trust Company, as a lender and as administrative agent and collateral agent for the Lenders. The Credit Agreement provides for a $60.0 million senior secured revolving facility, with a maturity date of the earlier of (i) April 30, 2027 and (ii) so long as any of our permitted convertible debt is outstanding after January 30, 2027 and if Net Liquidity is less than $200.0 million (or, if the amount of outstanding permitted convertible debt is less than $35.0 million, $120.0 million), such date. The Company recorded $0.6 million of debt issuance costs associated with the Credit Agreement in other assets on the Company’s consolidated balance sheet.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revolving loans bear interest, at the Company’s election, at an annual rate based on the ABR (as defined in the Credit Agreement) plus 1.00% (such loans, the “ABR Loans”) or the Adjusted Term SOFR (as defined in the Credit Agreement) plus 2.00% (such loans, the “SOFR Loans”).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payments on outstanding borrowings are due, with respect to SOFR Loans, on the last day of each interest period and with respect to ABR Loans, on the last calendar day of each month. The Credit Agreement has a commitment fee on the unused portion of the borrowing commitment, which is payable on the last day of each calendar quarter at a rate per annum of 0.20% to 0.25% depending on the average daily outstanding balance of all loans and letters of credit under the Credit Agreement. In addition, the Credit Agreement contains a financial covenant that requires the Company to maintain a consolidated adjusted quick ratio of at least 1.25 to 1:00 tested on a quarterly basis as well as a springing revenue growth covenant not to be less than 5% on a quarterly basis for certain periods if the Company’s consolidated adjusted quick ratio falls below 1.75 to 1:00 on the last day of any fiscal quarter. The Credit Agreement requires the Company to comply with various affirmative and negative covenants, and contains customary events of default.</w:t>
      </w:r>
    </w:p>
    <w:p>
      <w:pPr>
        <w:pStyle w:val="TextBody"/>
        <w:bidi w:val="0"/>
        <w:spacing w:before="0" w:after="0"/>
        <w:ind w:left="0" w:right="0" w:firstLine="720"/>
        <w:jc w:val="left"/>
        <w:rPr/>
      </w:pPr>
      <w:r>
        <w:rPr/>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and its subsidiaries were in compliance with all of the Credit Agreement’s covenants. During the years ended December 31, 2025 and 2024, no amounts were drawn down on the Company’s Credit Agreement. As of the years ended December 31, 2025 and 2024, no amounts were outstanding under the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5, 2021, the Company issued approximately $948.8 million aggregate principal amount of 0% convertible senior notes due 2026 (the “2026 Notes”), including the exercise in full by the initial purchasers of their option to purchase up to an additional approximately $123.8 million principal amount of the 2026 Notes. The 2026 Notes were issued in a private placement to qualified institutional buyers pursuant to Rule 144A under the Securities Act. The 2026 Notes will mature on March 15, 2026, unless earlier converted, redeemed or repurchased. The net proceeds from the issuance of the 2026 Notes were approximately $930.0 million after deducting the initial purchasers’ discounts and transaction costs.</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25, 2022, the Company entered into separate, privately negotiated transactions with certain holders of the 2026 Notes to repurchase (the “Repurchases”) $235.0 million aggregate principal amount of the 2026 Notes for an aggregate cash repurchase price of $176.4 million and aggregate transaction costs of $0.7 million. The Repurchases were accounted for as a debt extinguishment that resulted in a net gain of $54.4 million, which was recorded as non-operating income on the Company's consolidated statement of operations for the year ended December 31, 2022.</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entered into several separate privately negotiated transactions with certain holders of the 2026 Notes to repurchase $367.3 million aggregate principal amount of the 2026 Notes for an aggregate cash repurchase price of $309.1 million and aggregate transaction costs of $2.0 million. The Repurchases were accounted for as a debt extinguishment that resulted in a net gain of $52.4 million, which was recorded as non-operating income on the Company’s consolidated statement of operations for the year ended December 31, 2023.</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entered into separate, privately negotiated transactions with certain holders of the 2026 Notes to exchange $157.9 million aggregate principal amount of the 2026 Notes for $150.0 million aggregate principal amount of 7.75% convertible senior notes due 2028 (the “2028 Notes”), which were issued in a private placement to qualified institutional buyers pursuant to Rule 144A under the Securities Act. The exchange was accounted for as a debt extinguishment and an issuance of new debt that resulted in a net gain of $1.4 million, which was recorded as non-operating income on the Company’s consolidated statement of operations for the year ended December 31, 2024.</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issued $180.0 million aggregate principal amount of 0% convertible senior unsecured notes due in 2030 (the “2030 Notes”) in a private offering to persons reasonably believed to be qualified institutional buyers pursuant to Rule 144A under the Securities Act. Concurrently with issuance of the 2030 Notes, the Company also entered into separate, privately negotiated transactions with certain holders of the 2026 Notes to repurchase $150.0 million aggregate principal amount of the 2026 Notes for an aggregate cash repurchase price of $148.9 million. The repurchase was accounted for as a debt extinguishment and resulted in a net gain of $0.9 million, which was recorded as non-operating income on the Company’s consolidated statement of operations for the year ended December 31, 2025.</w:t>
      </w:r>
    </w:p>
    <w:p>
      <w:pPr>
        <w:pStyle w:val="TextBody"/>
        <w:bidi w:val="0"/>
        <w:spacing w:lineRule="auto" w:line="26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Company's outstanding convertible senior notes (collectively, the "Notes") had a par value totaling $368.6 million. The following table summarizes further details of the Notes:</w:t>
      </w:r>
    </w:p>
    <w:tbl>
      <w:tblPr>
        <w:tblW w:w="10205" w:type="dxa"/>
        <w:jc w:val="left"/>
        <w:tblInd w:w="0" w:type="dxa"/>
        <w:tblLayout w:type="fixed"/>
        <w:tblCellMar>
          <w:top w:w="28" w:type="dxa"/>
          <w:left w:w="28" w:type="dxa"/>
          <w:bottom w:w="28" w:type="dxa"/>
          <w:right w:w="28" w:type="dxa"/>
        </w:tblCellMar>
      </w:tblPr>
      <w:tblGrid>
        <w:gridCol w:w="312"/>
        <w:gridCol w:w="275"/>
        <w:gridCol w:w="279"/>
        <w:gridCol w:w="109"/>
        <w:gridCol w:w="109"/>
        <w:gridCol w:w="109"/>
        <w:gridCol w:w="473"/>
        <w:gridCol w:w="420"/>
        <w:gridCol w:w="422"/>
        <w:gridCol w:w="109"/>
        <w:gridCol w:w="109"/>
        <w:gridCol w:w="109"/>
        <w:gridCol w:w="491"/>
        <w:gridCol w:w="444"/>
        <w:gridCol w:w="445"/>
        <w:gridCol w:w="109"/>
        <w:gridCol w:w="109"/>
        <w:gridCol w:w="109"/>
        <w:gridCol w:w="374"/>
        <w:gridCol w:w="1468"/>
        <w:gridCol w:w="193"/>
        <w:gridCol w:w="109"/>
        <w:gridCol w:w="109"/>
        <w:gridCol w:w="109"/>
        <w:gridCol w:w="377"/>
        <w:gridCol w:w="305"/>
        <w:gridCol w:w="762"/>
        <w:gridCol w:w="109"/>
        <w:gridCol w:w="109"/>
        <w:gridCol w:w="109"/>
        <w:gridCol w:w="365"/>
        <w:gridCol w:w="294"/>
        <w:gridCol w:w="871"/>
      </w:tblGrid>
      <w:tr>
        <w:trPr/>
        <w:tc>
          <w:tcPr>
            <w:tcW w:w="3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Issuance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Coupon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Interest Rate</w:t>
            </w:r>
          </w:p>
        </w:tc>
      </w:tr>
      <w:tr>
        <w:trPr/>
        <w:tc>
          <w:tcPr>
            <w:tcW w:w="8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March 5,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March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38,594 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June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June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December 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December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Redemption Rights of the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may redeem for cash, all or any portion of the 2026 Notes, at the Company’s option, at a redemption price equal to 100% of the principal amount of the 2026 Notes to be redeemed, plus accrued and unpaid special interest, if any, to, but excluding, the redemption date, if the last reported sale price of the Company’s common stock has been at least 130% of the conversion price for the 2026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No sinking fund is provided for the 2026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may not redeem the 2028 Notes prior to the maturity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2030 Notes may not be redeemed by the Company prior to December 20, 2028. On or after December 20, 2028, if the common stock price is at least 130% of the conversion price for the 2030 Notes in effect for at least 20 of any 30 consecutive trading day period, the Company may redeem all or part of the Notes at a redemption price equal to the principal amount and accrued and unpaid interest with at least 35 days’ notice to holders.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at any time prior to the maturity date, holders of the Notes will have the right, at their option, to require the Company to repurchase for cash all or any portion of their Notes at a repurchase price equal to 100% of the principal amount of the Notes to be repurchased, plus accrued and unpaid interest up to, but excluding, the fundamental change repurchase date.</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Conversion Rights of the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the conversion date, as noted in the table below, under the following circumstances a holder may exercise their conversion right: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During any calendar quarter commencing after the calendar quarter ended June 30, 2021 for the 2026 Notes, March 31, 2025 for the 2028 Notes and March 31, 2026 for the 2030 Notes (and only during such calendar quarter), if the last reported sale price of the Company's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During the five business day period after any five consecutive trading day period in which the trading price per $1,000 principal amount of the respective Notes for each trading day of the measurement period was less than 98% of the product of the last reported sale price of the Company's common stock and the conversion rate on each such trading day;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Upon the occurrence of specified corporate events.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the respective conversion date, as noted in the table below, holders may convert all or any portion of their respective Notes at any time prior to the close of business on the second scheduled trading day immediately preceding the maturity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conversion, the Company may satisfy its conversion obligation by paying or delivering, as the case may be, cash, shares of its common stock or a combination of cash and shares of its common stock, at the Company’s election.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conversion rights of the Notes are as follows:</w:t>
      </w:r>
    </w:p>
    <w:tbl>
      <w:tblPr>
        <w:tblW w:w="8372" w:type="dxa"/>
        <w:jc w:val="left"/>
        <w:tblInd w:w="0" w:type="dxa"/>
        <w:tblLayout w:type="fixed"/>
        <w:tblCellMar>
          <w:top w:w="28" w:type="dxa"/>
          <w:left w:w="28" w:type="dxa"/>
          <w:bottom w:w="28" w:type="dxa"/>
          <w:right w:w="28" w:type="dxa"/>
        </w:tblCellMar>
      </w:tblPr>
      <w:tblGrid>
        <w:gridCol w:w="380"/>
        <w:gridCol w:w="333"/>
        <w:gridCol w:w="337"/>
        <w:gridCol w:w="109"/>
        <w:gridCol w:w="109"/>
        <w:gridCol w:w="109"/>
        <w:gridCol w:w="574"/>
        <w:gridCol w:w="574"/>
        <w:gridCol w:w="576"/>
        <w:gridCol w:w="268"/>
        <w:gridCol w:w="268"/>
        <w:gridCol w:w="270"/>
        <w:gridCol w:w="559"/>
        <w:gridCol w:w="559"/>
        <w:gridCol w:w="561"/>
        <w:gridCol w:w="109"/>
        <w:gridCol w:w="109"/>
        <w:gridCol w:w="109"/>
        <w:gridCol w:w="476"/>
        <w:gridCol w:w="1632"/>
        <w:gridCol w:w="351"/>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Conversion Date</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Conversion Rate</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Conversion Price per share</w:t>
            </w:r>
          </w:p>
        </w:tc>
      </w:tr>
      <w:tr>
        <w:trPr/>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December 15, 2025</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March 1, 2028</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50.6586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16, 2030</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65.5136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 xml:space="preserve">(1) The conversion rate for the Notes is established as a number of shares of the Company's common stock per $1,000 principal amount of the Notes, that is equivalent to the conversion price per share, subject to adjustments in certain events. Upon the occurrence of certain corporate events the Company will increase the conversion rate for a holder that elects to convert its Notes.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conversion conditions had not been met by any of the Notes, and therefore were not yet convertible.</w:t>
      </w:r>
    </w:p>
    <w:p>
      <w:pPr>
        <w:pStyle w:val="TextBody"/>
        <w:bidi w:val="0"/>
        <w:spacing w:lineRule="auto" w:line="288" w:before="0" w:after="240"/>
        <w:ind w:left="0" w:right="0" w:firstLine="720"/>
        <w:jc w:val="left"/>
        <w:rPr/>
      </w:pPr>
      <w:r>
        <w:rPr>
          <w:rFonts w:ascii="Times New Roman;serif" w:hAnsi="Times New Roman;serif"/>
          <w:b/>
          <w:i/>
          <w:color w:val="000000"/>
          <w:sz w:val="20"/>
        </w:rPr>
        <w:t>Carrying Value of the Notes as of December 31, 2025</w:t>
      </w:r>
      <w:r>
        <w:rPr>
          <w:color w:val="000000"/>
          <w:shd w:fill="FFFFFF" w:val="clear"/>
        </w:rPr>
        <w:t xml:space="preserve"> </w:t>
      </w:r>
      <w:r>
        <w:rPr>
          <w:rFonts w:ascii="Times New Roman;serif" w:hAnsi="Times New Roman;serif"/>
          <w:b/>
          <w:i/>
          <w:color w:val="000000"/>
          <w:sz w:val="20"/>
          <w:shd w:fill="FFFFFF" w:val="clear"/>
        </w:rPr>
        <w:t xml:space="preserve">and </w:t>
      </w:r>
      <w:r>
        <w:rPr>
          <w:rFonts w:ascii="Times New Roman;serif" w:hAnsi="Times New Roman;serif"/>
          <w:b/>
          <w:i/>
          <w:color w:val="000000"/>
          <w:sz w:val="20"/>
        </w:rPr>
        <w:t>2024</w:t>
      </w:r>
      <w:r>
        <w:rPr>
          <w:color w:val="000000"/>
          <w:shd w:fill="FFFFFF" w:val="clear"/>
        </w:rPr>
        <w:t xml:space="preserve"> </w:t>
      </w:r>
      <w:r>
        <w:rPr>
          <w:rFonts w:ascii="Times New Roman;serif" w:hAnsi="Times New Roman;serif"/>
          <w:b/>
          <w:i/>
          <w:color w:val="000000"/>
          <w:sz w:val="20"/>
          <w:shd w:fill="FFFFFF" w:val="clear"/>
        </w:rPr>
        <w:t>as follows</w:t>
      </w:r>
      <w:r>
        <w:rPr>
          <w:rFonts w:ascii="Times New Roman;serif" w:hAnsi="Times New Roman;serif"/>
          <w:b/>
          <w:i/>
          <w:color w:val="000000"/>
          <w:sz w:val="20"/>
        </w:rPr>
        <w:t>:</w:t>
      </w:r>
    </w:p>
    <w:tbl>
      <w:tblPr>
        <w:tblW w:w="7227" w:type="dxa"/>
        <w:jc w:val="left"/>
        <w:tblInd w:w="0" w:type="dxa"/>
        <w:tblLayout w:type="fixed"/>
        <w:tblCellMar>
          <w:top w:w="28" w:type="dxa"/>
          <w:left w:w="28" w:type="dxa"/>
          <w:bottom w:w="28" w:type="dxa"/>
          <w:right w:w="28" w:type="dxa"/>
        </w:tblCellMar>
      </w:tblPr>
      <w:tblGrid>
        <w:gridCol w:w="1157"/>
        <w:gridCol w:w="1016"/>
        <w:gridCol w:w="1022"/>
        <w:gridCol w:w="211"/>
        <w:gridCol w:w="826"/>
        <w:gridCol w:w="109"/>
        <w:gridCol w:w="109"/>
        <w:gridCol w:w="109"/>
        <w:gridCol w:w="109"/>
        <w:gridCol w:w="211"/>
        <w:gridCol w:w="826"/>
        <w:gridCol w:w="109"/>
        <w:gridCol w:w="109"/>
        <w:gridCol w:w="109"/>
        <w:gridCol w:w="109"/>
        <w:gridCol w:w="211"/>
        <w:gridCol w:w="721"/>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2030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Notes</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2024</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interest expense related to the Company’s debt obligations was $12.6 million, $2.3 million, and $2.7 million respectively. As of December 31, 2025 and 2024, the total estimated fair value of the Company's convertible senior notes were $379.5 million and $327.7 million, respectively.</w:t>
      </w:r>
    </w:p>
    <w:p>
      <w:pPr>
        <w:pStyle w:val="TextBody"/>
        <w:bidi w:val="0"/>
        <w:spacing w:lineRule="auto" w:line="26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Capped Calls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issuance of the 2030 Notes, the Company entered into the Capped Calls. The Capped Calls associated with the 2030 Notes each had an initial strike price of approximately $15.26 per share. These Capped Calls had initial cap prices of $23.04 per share, subject to certain adjustments. The Capped Calls are expected to partially offset the potential dilution to the Company’s common stock upon any conversion of the 2030 Notes, with such offset subject to a cap based on the cap price. The Capped Calls are subject to adjustment upon the occurrence of specified extraordinary events affecting the Company, including merger events, tender offers and the announcement of such events. In addition, the Capped Calls are subject to certain specified additional disruption events that may give rise to a termination of the Capped Calls, including nationalization, insolvency or delisting, changes in law, failures to deliver, increased cost of hedging and hedging disruptions. For accounting purposes, the Capped Calls are separate transactions and not part of the terms of the 2030 Notes. As these transactions meet certain accounting criteria, the Capped Calls are recorded in stockholders' equity resulting in a $18.2 million decrease in additional paid in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long-term commitments for cost of revenue related agreements (i.e., bandwidth usage, peering and other managed services with various networks, fixed asset vendors, Internet service providers and other third-party vendors). The Company also has non-cost of revenue long-term commitments for various non-cancelable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Aside from the Company’s finance and operating lease commitments, including its colocation operating commitments, which have been disclosed in Note 6—Leases, the minimum future commitments related to the Company’s purchase commitments as of December 31, 2025 were as follows: </w:t>
      </w:r>
    </w:p>
    <w:tbl>
      <w:tblPr>
        <w:tblW w:w="10205" w:type="dxa"/>
        <w:jc w:val="center"/>
        <w:tblInd w:w="0" w:type="dxa"/>
        <w:tblLayout w:type="fixed"/>
        <w:tblCellMar>
          <w:top w:w="28" w:type="dxa"/>
          <w:left w:w="28" w:type="dxa"/>
          <w:bottom w:w="28" w:type="dxa"/>
          <w:right w:w="28" w:type="dxa"/>
        </w:tblCellMar>
      </w:tblPr>
      <w:tblGrid>
        <w:gridCol w:w="800"/>
        <w:gridCol w:w="702"/>
        <w:gridCol w:w="707"/>
        <w:gridCol w:w="109"/>
        <w:gridCol w:w="109"/>
        <w:gridCol w:w="109"/>
        <w:gridCol w:w="463"/>
        <w:gridCol w:w="1584"/>
        <w:gridCol w:w="240"/>
        <w:gridCol w:w="109"/>
        <w:gridCol w:w="109"/>
        <w:gridCol w:w="109"/>
        <w:gridCol w:w="501"/>
        <w:gridCol w:w="1714"/>
        <w:gridCol w:w="260"/>
        <w:gridCol w:w="109"/>
        <w:gridCol w:w="109"/>
        <w:gridCol w:w="109"/>
        <w:gridCol w:w="397"/>
        <w:gridCol w:w="1560"/>
        <w:gridCol w:w="296"/>
      </w:tblGrid>
      <w:tr>
        <w:trPr/>
        <w:tc>
          <w:tcPr>
            <w:tcW w:w="8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Revenue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Expense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Purchase Commitments</w:t>
            </w:r>
          </w:p>
        </w:tc>
      </w:tr>
      <w:tr>
        <w:trPr/>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80,931 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44,326 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125,257 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Use Tax</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conducts its operations in many tax jurisdictions throughout the United States. In some of these jurisdictions the Company is subject to indirect taxes, such as sales and use taxes, and may be subject to certain other taxes. In accordance with GAAP, the Company has recorded a provision for its tax exposure in these jurisdictions when it is both probable that a liability has been incurred and the amount of the exposure can be reasonably estimated. The Company has accrued $4.8 million and $4.3 million as of December 31, 2025 and 2024, respectively, for sales and use tax. These estimates are based on several key assumptions, including the taxability of the Company’s operations and the jurisdictions in which the Company believes it has nexus. In the event these jurisdictions challenge the Company’s assumptions and analysis, its actual exposure could differ materially from its current estimates.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has been and may be subject to legal proceedings and claims. Such matters are subject to many uncertainties and outcomes are not predictable. The Company accrues for contingencies when it believes that a loss is probable and that the Company can reasonably estimate the amount of any such loss.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On May 24, 2024, a purported securities class action lawsuit was filed in the United States District Court for the Northern District of California, captioned </w:t>
      </w:r>
      <w:r>
        <w:rPr>
          <w:rFonts w:ascii="Times New Roman;serif" w:hAnsi="Times New Roman;serif"/>
          <w:b w:val="false"/>
          <w:i/>
          <w:color w:val="000000"/>
          <w:sz w:val="20"/>
        </w:rPr>
        <w:t xml:space="preserve">Ken Kula v. Fastly, Inc., et al. </w:t>
      </w:r>
      <w:r>
        <w:rPr>
          <w:rFonts w:ascii="Times New Roman;serif" w:hAnsi="Times New Roman;serif"/>
          <w:b w:val="false"/>
          <w:color w:val="000000"/>
          <w:sz w:val="20"/>
        </w:rPr>
        <w:t>(Case No. 4:24-cv-03170), naming the Company and certain of its officers as defendants. Motions for lead plaintiff were filed on July 23, 2024. On August 22, 2024, the court appointed lead plaintiff (“Lead Plaintiff</w:t>
      </w:r>
      <w:r>
        <w:rPr>
          <w:color w:val="000000"/>
        </w:rPr>
        <w:t>”</w:t>
      </w:r>
      <w:r>
        <w:rPr>
          <w:rFonts w:ascii="Times New Roman;serif" w:hAnsi="Times New Roman;serif"/>
          <w:b w:val="false"/>
          <w:color w:val="000000"/>
          <w:sz w:val="20"/>
        </w:rPr>
        <w:t>) and lead counsel. On November 1, 2024, Lead Plaintiff filed an amended complaint. The amended complaint alleges violations of Section 10(b) and 20(a) of the Exchange Act purportedly on behalf of all those who purchased or acquired Fastly securities between November 15, 2023 and August 7, 2024. The complaint seeks unspecified compensatory damages, and other relief. Defendants filed a motion to dismiss on January 15, 2025. Lead Plaintiff filed an opposition to the defendants’ motion to dismiss on March 17, 2025. Defendants filed a reply in support of the motion to dismiss on April 30, 2025. On September 24, 2025, the court issued an order granting in part and denying in part the motion to dismiss. On October 24, 2025, Lead Plaintiff filed a second amended complaint. On December 9, 2025, Defendants filed a motion to dismiss the second amended complaint. On January 26, 2026, Lead Plaintiff filed an opposition. Defendants filed a reply in support of the motion to dismiss the second amended complaint on February 19, 2026. A hearing is scheduled for April 30, 2026 on Defendants’ motion to dismiss the second amended complaint. It is possible that additional lawsuits will be filed, or allegations made by stockholders, regarding these same or other matters and also naming as defendants the Company and its officers and directors.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June 12, 2024, certain of the Company’s officers and directors were named as defendants in a stockholder derivative action filed in the United States District Court for the Northern District of California, captioned </w:t>
      </w:r>
      <w:r>
        <w:rPr>
          <w:rFonts w:ascii="Times New Roman;serif" w:hAnsi="Times New Roman;serif"/>
          <w:b w:val="false"/>
          <w:i/>
          <w:color w:val="000000"/>
          <w:sz w:val="20"/>
        </w:rPr>
        <w:t>Roy v. Nightingale, et al.</w:t>
      </w:r>
      <w:r>
        <w:rPr>
          <w:color w:val="000000"/>
        </w:rPr>
        <w:t xml:space="preserve"> </w:t>
      </w:r>
      <w:r>
        <w:rPr>
          <w:rFonts w:ascii="Times New Roman;serif" w:hAnsi="Times New Roman;serif"/>
          <w:b w:val="false"/>
          <w:color w:val="000000"/>
          <w:sz w:val="20"/>
        </w:rPr>
        <w:t xml:space="preserve">(Case No. 3:24-cv-03549-JCS). On July 1, 2024, a stockholder derivative complaint was also filed against certain of the Company's officers and directors in the same court, captioned </w:t>
      </w:r>
      <w:r>
        <w:rPr>
          <w:rFonts w:ascii="Times New Roman;serif" w:hAnsi="Times New Roman;serif"/>
          <w:b w:val="false"/>
          <w:i/>
          <w:color w:val="000000"/>
          <w:sz w:val="20"/>
        </w:rPr>
        <w:t>Steffens v. Nightingale et al.</w:t>
      </w:r>
      <w:r>
        <w:rPr>
          <w:color w:val="000000"/>
        </w:rPr>
        <w:t xml:space="preserve"> </w:t>
      </w:r>
      <w:r>
        <w:rPr>
          <w:rFonts w:ascii="Times New Roman;serif" w:hAnsi="Times New Roman;serif"/>
          <w:b w:val="false"/>
          <w:color w:val="000000"/>
          <w:sz w:val="20"/>
        </w:rPr>
        <w:t xml:space="preserve">(Case No. 4:24-cv-03984-DMR). The derivative complaints are based on substantially similar allegations as those in the securities class action. The derivative complaints assert that defendants breached their fiduciary duties as directors and/or officers of the Company, as well as claims of unjust enrichment, abuse of control, gross mismanagement, waste of corporate assets, aiding and abetting, violations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 xml:space="preserve">Section 14(a) of the Exchange Act, and contribution under Sections 10(b) and 21D of the Exchange Act. The court consolidated and stayed the derivative actions until after resolution of the Company’s motion(s) to dismiss in the above-referenced securities class action. On August 23, 2024, a substantially similar stockholder derivative complaint was filed against certain of the Company’s officers and directors in the United States District Court for the District of Delaware, captioned </w:t>
      </w:r>
      <w:r>
        <w:rPr>
          <w:rFonts w:ascii="Times New Roman;serif" w:hAnsi="Times New Roman;serif"/>
          <w:b w:val="false"/>
          <w:i/>
          <w:color w:val="000000"/>
          <w:sz w:val="20"/>
        </w:rPr>
        <w:t>Sweitzer v. Nightingale, et al.</w:t>
      </w:r>
      <w:r>
        <w:rPr>
          <w:color w:val="000000"/>
        </w:rPr>
        <w:t xml:space="preserve"> </w:t>
      </w:r>
      <w:r>
        <w:rPr>
          <w:rFonts w:ascii="Times New Roman;serif" w:hAnsi="Times New Roman;serif"/>
          <w:b w:val="false"/>
          <w:color w:val="000000"/>
          <w:sz w:val="20"/>
        </w:rPr>
        <w:t xml:space="preserve">(Case No. 1:24-cv-00969-GBW) (the “Sweitzer Action”). On September 26, 2024, the court stayed the Sweitzer Action until after resolution of the Company's motion(s) to dismiss in the above-referenced securities class action. On December 20, 2024, a substantially similar stockholder derivative complaint was filed against certain of the Company’s officers and directors in the Court of Chancery for the State of Delaware, captioned </w:t>
      </w:r>
      <w:r>
        <w:rPr>
          <w:rFonts w:ascii="Times New Roman;serif" w:hAnsi="Times New Roman;serif"/>
          <w:b w:val="false"/>
          <w:i/>
          <w:color w:val="000000"/>
          <w:sz w:val="20"/>
        </w:rPr>
        <w:t>Bushansky v. Nightingale, et al.</w:t>
      </w:r>
      <w:r>
        <w:rPr>
          <w:color w:val="000000"/>
        </w:rPr>
        <w:t xml:space="preserve"> </w:t>
      </w:r>
      <w:r>
        <w:rPr>
          <w:rFonts w:ascii="Times New Roman;serif" w:hAnsi="Times New Roman;serif"/>
          <w:b w:val="false"/>
          <w:color w:val="000000"/>
          <w:sz w:val="20"/>
        </w:rPr>
        <w:t xml:space="preserve">(Case No. 2024-1322) (the “Bushansky Action”). On January 8, 2025, the court stayed the Bushansky Action until after resolution of the Company’s motion(s) to dismiss in the above-referenced securities class action. It is possible that additional lawsuits will be filed, or allegations made by stockholders, regarding these same or other matters and also naming as defendants the Company and its officers and directors.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also party to various disputes that management considers routine and incidental to its business. Management does not expect the results of any of these routine actions to have a material effect on the Company's business, results of operations, financial conditions, or cash flows.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pending lawsuits and any other related lawsuits are subject to inherent uncertainties, and the actual defense and disposition costs will depend upon many unknown factors. The outcome of the pending lawsuits and any other related lawsuits is necessarily uncertain. The Company could be forced to expend significant resources in the defense of the pending lawsuits and any additional lawsuits, and it may not prevail. In addition, the Company may incur substantial legal fees and costs in connection with such lawsuits. The Company is not currently able to estimate the possible cost to it from these matters, as the pending lawsuits are currently at an early stage, and it cannot be certain how long it may take to resolve the pending lawsuits or the possible amount of any damages that it may be required to pay. Such amounts could be material to the Company's financial statements if the Company does not prevail in the defense against the pending lawsuits and any other related lawsuits, or even if it does prevail.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not recorded any significant accruals for loss contingencies associated with the above mentioned lawsuits as it does not believe an outcome resulting in a loss is probable. It will accrue for loss contingencies if it becomes both probable that it will incur a loss and if the Company can reasonably estimate the amount or range of the loss.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enters into standard indemnification agreements in the ordinary course of business. Pursuant to these agreements, the Company agrees to indemnify, hold harmless, and reimburse the indemnified party for losses suffered or incurred by the indemnified party, generally the Company’s business partners or customers, in connection with its provision of its services. Generally, these obligations are limited to claims relating to infringement of a patent, copyright, or other intellectual property right, breach of the Company’s security or data protection obligations, or its negligence, willful misconduct, or violation of law. Subject to applicable statutes of limitation, the term of these indemnification agreements is generally for the duration of the agreement. The maximum potential amount of future payments the Company could be required to make under these indemnification agreements is unlimited; however, the Company carries insurance that covers certain third-party claims relating to the Company’s services and could limit its exposure in that respect.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agreed to indemnify each of its officers and directors during his or her lifetime for certain events or occurrences that happen by reason of the fact that the officer or director is, was, or has agreed to serve as an officer or director of the Company. The Company has director and officer insurance policies that may limit its exposure and may enable it to recover a portion of certain future amounts paid.</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the Company has not encountered material costs as a result of such indemnification obligations and has not accrued any related liabilities in its financial statements. In assessing whether to establish an accrual, the Company considers such factors as the degree of probability of an unfavorable outcome and the ability to make a reasonable estimate of the amount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Amended and Restated Certificate of Incorporation, as amended and restated in May 2019, authorizes the issuance of 1.0 billion shares of common stock, each at a par value per share of $0.00002. Holders of common stock are entitled to one vote per share.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five equity incentive plans: the 2019 Equity Incentive Plan (the “2019 Plan”), 2011 Equity Incentive Plan (“2011 Plan”), 2019 Employee Stock Purchase Plan (“ESPP Plan”), the Signal Sciences Corp. 2014 Stock Option and Grant Plan, as amended (the “Signal Plan”), and the 2025 Employment Inducement Incentive Plan (the "2025 Inducement Plan"). The 2019 Plan became effective in May 2019 and replaced the 2011 Plan. The Company’s 2019 Plan provides for the issuance of incentive stock options, non-statutory stock options, restricted stock units, performance-based stock awards, and other forms of equity compensation, which are collectively referred to as stock awards to its employees, directors, and consultants. The Signal Plan includes 251,754 registered shares which can be exercised to purchase shares of Fastly’s common stock. The 2025 Inducement Plan provides for the grant of non-statutory stock options, restricted stock units, performance based stock awards, and other forms of equity compensation.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there were 5.8 million and 6.9 million shares of common stock available for issuance under the 2019 Plan, respectively. As of December 31, 2025 a total of 0.5 million shares were available for grant under the 2025 Inducement Plan. As of December 31, 2025 and 2024, 151.5 million and 142.1 million shares of common stock were issued and outstanding, respectively.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Options granted under the 2011 Plan and 2019 Plan are exercisable for common stock and expire within 10 years from the date of grant and generally vest over four years, at the rate of 25% on the first anniversary of the date of grant and ratably on a monthly basis over the remaining 36-month period thereafter based on continued service. Forfeitures are recognized as they occur.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during the year ended December 31, 2025:</w:t>
      </w:r>
    </w:p>
    <w:tbl>
      <w:tblPr>
        <w:tblW w:w="10205" w:type="dxa"/>
        <w:jc w:val="left"/>
        <w:tblInd w:w="0" w:type="dxa"/>
        <w:tblLayout w:type="fixed"/>
        <w:tblCellMar>
          <w:top w:w="28" w:type="dxa"/>
          <w:left w:w="28" w:type="dxa"/>
          <w:bottom w:w="28" w:type="dxa"/>
          <w:right w:w="28" w:type="dxa"/>
        </w:tblCellMar>
      </w:tblPr>
      <w:tblGrid>
        <w:gridCol w:w="1212"/>
        <w:gridCol w:w="1065"/>
        <w:gridCol w:w="1067"/>
        <w:gridCol w:w="109"/>
        <w:gridCol w:w="109"/>
        <w:gridCol w:w="109"/>
        <w:gridCol w:w="469"/>
        <w:gridCol w:w="450"/>
        <w:gridCol w:w="428"/>
        <w:gridCol w:w="109"/>
        <w:gridCol w:w="109"/>
        <w:gridCol w:w="109"/>
        <w:gridCol w:w="341"/>
        <w:gridCol w:w="997"/>
        <w:gridCol w:w="178"/>
        <w:gridCol w:w="109"/>
        <w:gridCol w:w="109"/>
        <w:gridCol w:w="109"/>
        <w:gridCol w:w="490"/>
        <w:gridCol w:w="490"/>
        <w:gridCol w:w="491"/>
        <w:gridCol w:w="109"/>
        <w:gridCol w:w="109"/>
        <w:gridCol w:w="109"/>
        <w:gridCol w:w="261"/>
        <w:gridCol w:w="763"/>
        <w:gridCol w:w="195"/>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w:t>
              <w:b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4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4,256 </w:t>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pre-tax intrinsic value of options exercised during the years ended December 31, 2025, 2024, and 2023 was $2.1 million, $1.9 million, and $3.1 million, respectively.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grant date fair value of employee options vested for the years ended December 31, 2025, 2024, 2023 was $1.7 million, $1.9 million, and $2.1 million, respectively.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and 2023, the Company recognized stock-based compensation expense from stock options of approximately $1.7 million, $1.9 million, and $2.1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stock-based compensation cost related to outstanding unvested stock options that are expected to vest was $2.7 million. This unrecognized stock-based compensation cost is expected to be recognized over a weighted-average period of approximately 1.6 years.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began granting RSUs under the 2019 Plan during the fiscal year ended December 31, 2019 as well as under the 2025 Inducement Plan during the year ended December 31, 2025. The fair value of RSUs is based on the grant date fair value and is expensed on a straight-line basis over the applicable vesting period. RSUs granted to new hires typically vest over three or four years, at the annual rate of 33% or 25%, respectively, on the first anniversary of the vesting start date and ratably on a quarterly basis over the remaining 24-month or 36-month period thereafter, respectively. RSUs granted to existing employees typically vest in equal quarterly installments over a three or four-year service period. All vesting is contingent on continued service. Forfeitures are recognized as they occur.</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during the years ended December 31, 2025:</w:t>
      </w:r>
    </w:p>
    <w:tbl>
      <w:tblPr>
        <w:tblW w:w="9577" w:type="dxa"/>
        <w:jc w:val="left"/>
        <w:tblInd w:w="0" w:type="dxa"/>
        <w:tblLayout w:type="fixed"/>
        <w:tblCellMar>
          <w:top w:w="28" w:type="dxa"/>
          <w:left w:w="28" w:type="dxa"/>
          <w:bottom w:w="28" w:type="dxa"/>
          <w:right w:w="28" w:type="dxa"/>
        </w:tblCellMar>
      </w:tblPr>
      <w:tblGrid>
        <w:gridCol w:w="1277"/>
        <w:gridCol w:w="1122"/>
        <w:gridCol w:w="1125"/>
        <w:gridCol w:w="109"/>
        <w:gridCol w:w="109"/>
        <w:gridCol w:w="109"/>
        <w:gridCol w:w="469"/>
        <w:gridCol w:w="469"/>
        <w:gridCol w:w="471"/>
        <w:gridCol w:w="109"/>
        <w:gridCol w:w="109"/>
        <w:gridCol w:w="109"/>
        <w:gridCol w:w="857"/>
        <w:gridCol w:w="2504"/>
        <w:gridCol w:w="629"/>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RSUs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RSUs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14,001 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weighted-average grant date fair value for RSUs granted was $6.52, $11.62 and $15.80 per share, respectively. During the years ended December 31, 2025, 2024 and 2023, the total weighted-average grant date fair value of RSUs vested was $93.6 million, $126.5 million and $127.3 million respectively.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2024 and 2023, the Company recognized stock-based compensation expense related to RSUs of $83.7 million, $96.7 million and $105.2 million, respectively.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total unrecognized stock-based compensation cost related to non-vested RSUs was $103.2 million. This unrecognized stock-based compensation cost is expected to be recognized over a weighted-average period of approximately 2.2 years.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Performance-Based Restricted Stock Units </w:t>
      </w:r>
    </w:p>
    <w:p>
      <w:pPr>
        <w:pStyle w:val="TextBody"/>
        <w:bidi w:val="0"/>
        <w:spacing w:lineRule="auto" w:line="276"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Performance Stock Awards for Executive Officers ("executive PSUs”)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Company’s 2019 Equity Incentive Plan, the Company grants certain employees shares of executive PSUs, which are to vest based on the level of achievement of certain Company-wide targets related to the Company’s operating plan for the relevant fiscal year. The Company has accounted for these awards as equity-based awards and will recognize stock-based compensation expense over the employees’ requisite service period based on the expected attainment of the Company-wide targets as of the end of each reporting period.</w:t>
      </w:r>
    </w:p>
    <w:tbl>
      <w:tblPr>
        <w:tblW w:w="10205" w:type="dxa"/>
        <w:jc w:val="left"/>
        <w:tblInd w:w="0" w:type="dxa"/>
        <w:tblLayout w:type="fixed"/>
        <w:tblCellMar>
          <w:top w:w="28" w:type="dxa"/>
          <w:left w:w="28" w:type="dxa"/>
          <w:bottom w:w="28" w:type="dxa"/>
          <w:right w:w="28" w:type="dxa"/>
        </w:tblCellMar>
      </w:tblPr>
      <w:tblGrid>
        <w:gridCol w:w="1532"/>
        <w:gridCol w:w="1346"/>
        <w:gridCol w:w="1350"/>
        <w:gridCol w:w="109"/>
        <w:gridCol w:w="109"/>
        <w:gridCol w:w="109"/>
        <w:gridCol w:w="469"/>
        <w:gridCol w:w="465"/>
        <w:gridCol w:w="462"/>
        <w:gridCol w:w="109"/>
        <w:gridCol w:w="109"/>
        <w:gridCol w:w="109"/>
        <w:gridCol w:w="842"/>
        <w:gridCol w:w="2462"/>
        <w:gridCol w:w="623"/>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4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4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executive PSUs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executive PSUs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the Company recognized $3.9 million, $3.5 million, and $4.3 million of stock-based compensation expense associated with these awards, respectively. </w:t>
      </w:r>
    </w:p>
    <w:p>
      <w:pPr>
        <w:pStyle w:val="TextBody"/>
        <w:bidi w:val="0"/>
        <w:spacing w:lineRule="auto" w:line="276"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Company-wide Bonus Program (“Bonus Program”)</w:t>
      </w:r>
    </w:p>
    <w:p>
      <w:pPr>
        <w:pStyle w:val="TextBody"/>
        <w:bidi w:val="0"/>
        <w:spacing w:lineRule="auto" w:line="27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an annual basis the Compensation Committee approves a bonus program for the fiscal year, including performance targets, to most of the Company’s employees on active payroll in the relevant fiscal year. Shares awarded under the program are paid out the following year in February in fully vested RSUs and based on the final attainment of Company-wide performance targets which are tied to its operating plan for the relevant fiscal year. The payout of the Bonus Program will vary linearly between 50%, 100%, and 150% based on the achievement of these targets. Employees are required to be employed through the payout date to earn the awards. The Company has accounted for these awards as liability-based awards, since the monetary value of the obligation associated with the award is based predominantly on a fixed monetary amount known at inception, and it has an unconditional obligation that it must or may settle by issuing a variable number of its equity shares. The Company recognizes stock-based compensation expense over the employees requisite service period, based on the expected attainment of the Company-wide targets as of the end of each reporting period. In February 2024, the Company paid out the bonus liability associated with the 2023 Bonus Program in 1.9 million of restricted stock units, and correspondingly recorded a charge to additional paid-in-capital of $26.8 million. In February 2025, the Company paid out 1.0 million of restricted stock units associated with the 2024 Bonus Program, and correspondingly recorded a charge to additional paid-in-capital of $6.9 million. The Company has paid out the Bonus Program approved in February 2025 in February 2026.</w:t>
      </w:r>
    </w:p>
    <w:p>
      <w:pPr>
        <w:pStyle w:val="TextBody"/>
        <w:bidi w:val="0"/>
        <w:spacing w:lineRule="auto" w:line="276"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recognized $35.3 million, $10.0 million, and $24.7 million of stock-based compensation expense related to the company-wide Bonus Program, respectively.</w:t>
      </w:r>
    </w:p>
    <w:p>
      <w:pPr>
        <w:pStyle w:val="TextBody"/>
        <w:bidi w:val="0"/>
        <w:spacing w:lineRule="auto" w:line="276"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Market-Based Performance Stock Awards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2022 and January 2023, pursuant to the Company’s 2019 Equity Incentive Plan, the Company granted certain employees shares of MPSUs, which are to vest upon the satisfaction of the Company’s achievement of specified Fastly common stock price targets during the applicable performance period. In addition, the awards are subject to each recipient’s continuous service through each applicable vest dates.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measured the fair value of the MPSUs using a Monte Carlo simulation valuation model. The risk-free interest rates used were 3.37% - 3.68%, which were based on five-year US treasury yield, adjusted to a continuous time basis. The expected volatility was a blended volatility rate of 80%, which incorporated both the Company’s observed equity volatility and the relevant guideline company volatility.</w:t>
      </w:r>
    </w:p>
    <w:tbl>
      <w:tblPr>
        <w:tblW w:w="9726" w:type="dxa"/>
        <w:jc w:val="left"/>
        <w:tblInd w:w="0" w:type="dxa"/>
        <w:tblLayout w:type="fixed"/>
        <w:tblCellMar>
          <w:top w:w="28" w:type="dxa"/>
          <w:left w:w="28" w:type="dxa"/>
          <w:bottom w:w="28" w:type="dxa"/>
          <w:right w:w="28" w:type="dxa"/>
        </w:tblCellMar>
      </w:tblPr>
      <w:tblGrid>
        <w:gridCol w:w="1331"/>
        <w:gridCol w:w="1170"/>
        <w:gridCol w:w="1173"/>
        <w:gridCol w:w="109"/>
        <w:gridCol w:w="109"/>
        <w:gridCol w:w="109"/>
        <w:gridCol w:w="469"/>
        <w:gridCol w:w="469"/>
        <w:gridCol w:w="471"/>
        <w:gridCol w:w="109"/>
        <w:gridCol w:w="109"/>
        <w:gridCol w:w="109"/>
        <w:gridCol w:w="960"/>
        <w:gridCol w:w="2327"/>
        <w:gridCol w:w="702"/>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MPSUs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MPSUs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relating to the MPSUs are recognized using the accelerated attribution method over the derived service period. For the years ended December 31, 2025, 2024 and 2023, the Company recognized $3.0 million of stock-based compensation benefit and $2.8 million and $5.9 million of stock-based compensation expense associated with these awards, respectively.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unrecognized stock-based compensation expense related to the unvested portion of the MPSUs was $0.1 million as of December 31, 2025. This expense is expected to be amortized over a weighted-average vesting period of 1.9 years. </w:t>
      </w:r>
    </w:p>
    <w:p>
      <w:pPr>
        <w:pStyle w:val="TextBody"/>
        <w:bidi w:val="0"/>
        <w:spacing w:lineRule="auto" w:line="276"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Relative Total Shareholder Return Award PSUs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2025, pursuant to the 2019 Plan, the Company granted certain employees shares of rTSR PSUs, which are to vest based on the Company’s total shareholder return (TSR) relative to a designated peer group over the performance period.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Company has accounted for these awards as equity-based awards and will recognize stock-based compensation expense on a straight-line basis over the vesting period. In addition, the awards are subject to each recipient’s continuous service through the vest date.</w:t>
      </w:r>
    </w:p>
    <w:tbl>
      <w:tblPr>
        <w:tblW w:w="10012" w:type="dxa"/>
        <w:jc w:val="left"/>
        <w:tblInd w:w="0" w:type="dxa"/>
        <w:tblLayout w:type="fixed"/>
        <w:tblCellMar>
          <w:top w:w="28" w:type="dxa"/>
          <w:left w:w="28" w:type="dxa"/>
          <w:bottom w:w="28" w:type="dxa"/>
          <w:right w:w="28" w:type="dxa"/>
        </w:tblCellMar>
      </w:tblPr>
      <w:tblGrid>
        <w:gridCol w:w="1435"/>
        <w:gridCol w:w="1261"/>
        <w:gridCol w:w="1264"/>
        <w:gridCol w:w="109"/>
        <w:gridCol w:w="109"/>
        <w:gridCol w:w="109"/>
        <w:gridCol w:w="469"/>
        <w:gridCol w:w="469"/>
        <w:gridCol w:w="471"/>
        <w:gridCol w:w="109"/>
        <w:gridCol w:w="109"/>
        <w:gridCol w:w="109"/>
        <w:gridCol w:w="829"/>
        <w:gridCol w:w="2593"/>
        <w:gridCol w:w="567"/>
      </w:tblGrid>
      <w:tr>
        <w:trPr/>
        <w:tc>
          <w:tcPr>
            <w:tcW w:w="143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rTSR PSUs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rTSR PSUs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14.30 </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recognized $1.0 million of stock-based compensation expense associated with these awards. </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 xml:space="preserve">Employee Stock Purchase Program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ESPP allows eligible employees to purchase shares of the Company’s common stock through payroll deductions of up to 15% of their eligible compensation. The ESPP provides for six-month offering periods, commencing in May and November of each year. At the end of each offering period employees are able to purchase shares at 85% of the lower of the fair market value of the Company’s common stock on the first trading day of the offering period or on the date of purchase.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shares to be issued under the ESPP on the first day of the offering period using the Black-Scholes valuation model. The inputs to the Black-Scholes option pricing model are the Company’s stock price on the first date of the offering period, the risk-free interest rate, the estimated volatility of the Company’s stock price over the term of the offering period, the expected term of the offering period and the expected dividend rate. Stock-based compensation expense related to the ESPP is recognized on a straight-line basis over the offering period. Forfeitures are recognized as they occur.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estimated the fair value of shares granted under the ESPP on the first date of the offering period using the Black-Scholes option pricing model with the following assumptions:</w:t>
      </w:r>
    </w:p>
    <w:tbl>
      <w:tblPr>
        <w:tblW w:w="7442" w:type="dxa"/>
        <w:jc w:val="left"/>
        <w:tblInd w:w="0" w:type="dxa"/>
        <w:tblLayout w:type="fixed"/>
        <w:tblCellMar>
          <w:top w:w="28" w:type="dxa"/>
          <w:left w:w="28" w:type="dxa"/>
          <w:bottom w:w="28" w:type="dxa"/>
          <w:right w:w="28" w:type="dxa"/>
        </w:tblCellMar>
      </w:tblPr>
      <w:tblGrid>
        <w:gridCol w:w="858"/>
        <w:gridCol w:w="754"/>
        <w:gridCol w:w="757"/>
        <w:gridCol w:w="109"/>
        <w:gridCol w:w="109"/>
        <w:gridCol w:w="109"/>
        <w:gridCol w:w="299"/>
        <w:gridCol w:w="299"/>
        <w:gridCol w:w="751"/>
        <w:gridCol w:w="109"/>
        <w:gridCol w:w="109"/>
        <w:gridCol w:w="109"/>
        <w:gridCol w:w="299"/>
        <w:gridCol w:w="299"/>
        <w:gridCol w:w="751"/>
        <w:gridCol w:w="109"/>
        <w:gridCol w:w="109"/>
        <w:gridCol w:w="109"/>
        <w:gridCol w:w="283"/>
        <w:gridCol w:w="283"/>
        <w:gridCol w:w="828"/>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$2.81 – $3.80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$2.33 – $3.56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$3.33 – $6.09</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0.49 – 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0.49 – 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0.49 – 0.50</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3.75% – 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4.45% – 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4.65% – 5.43%</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70% – 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54% – 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70% – 88%</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2024 and 2023, the Company recognized $2.2 million, $3.4 million, and $4.1 million in stock-based compensation expense related to the ESPP, respectively. As of December 31, 2025, total unrecognized stock-based compensation cost related to ESPP was $1.6 million. This unrecognized stock-based compensation cost is expected to be recognized over a weighted-average period of approximately 0.4 years.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an aggregate of 1.1 million, 1.0 million and 1.0 million shares of the Company’s common stock was purchased under the ESPP, respectively.</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 xml:space="preserve">Equity Awards Modification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material equity award modifications in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total stock-based compensation expense included in the accompanying consolidated statements of operations:</w:t>
      </w:r>
    </w:p>
    <w:tbl>
      <w:tblPr>
        <w:tblW w:w="6774" w:type="dxa"/>
        <w:jc w:val="left"/>
        <w:tblInd w:w="0" w:type="dxa"/>
        <w:tblLayout w:type="fixed"/>
        <w:tblCellMar>
          <w:top w:w="28" w:type="dxa"/>
          <w:left w:w="28" w:type="dxa"/>
          <w:bottom w:w="28" w:type="dxa"/>
          <w:right w:w="28" w:type="dxa"/>
        </w:tblCellMar>
      </w:tblPr>
      <w:tblGrid>
        <w:gridCol w:w="835"/>
        <w:gridCol w:w="736"/>
        <w:gridCol w:w="73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the Company capitalized $7.4 million, $10.3 million, and $10.1 million of stock-based compensation expense,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11.     Net Loss Per Share Attributable to Common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net loss by basic weighted-average shares outstanding during the period. Diluted net loss per share is computed by dividing net loss by diluted weighted-average shares outstanding, including potentially dilutive securities.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loss per share of common stock:</w:t>
      </w:r>
    </w:p>
    <w:tbl>
      <w:tblPr>
        <w:tblW w:w="10205" w:type="dxa"/>
        <w:jc w:val="left"/>
        <w:tblInd w:w="0" w:type="dxa"/>
        <w:tblLayout w:type="fixed"/>
        <w:tblCellMar>
          <w:top w:w="28" w:type="dxa"/>
          <w:left w:w="28" w:type="dxa"/>
          <w:bottom w:w="28" w:type="dxa"/>
          <w:right w:w="28" w:type="dxa"/>
        </w:tblCellMar>
      </w:tblPr>
      <w:tblGrid>
        <w:gridCol w:w="2175"/>
        <w:gridCol w:w="1713"/>
        <w:gridCol w:w="1717"/>
        <w:gridCol w:w="109"/>
        <w:gridCol w:w="109"/>
        <w:gridCol w:w="109"/>
        <w:gridCol w:w="211"/>
        <w:gridCol w:w="870"/>
        <w:gridCol w:w="109"/>
        <w:gridCol w:w="109"/>
        <w:gridCol w:w="109"/>
        <w:gridCol w:w="109"/>
        <w:gridCol w:w="211"/>
        <w:gridCol w:w="870"/>
        <w:gridCol w:w="109"/>
        <w:gridCol w:w="109"/>
        <w:gridCol w:w="109"/>
        <w:gridCol w:w="109"/>
        <w:gridCol w:w="211"/>
        <w:gridCol w:w="870"/>
        <w:gridCol w:w="158"/>
      </w:tblGrid>
      <w:tr>
        <w:trPr/>
        <w:tc>
          <w:tcPr>
            <w:tcW w:w="2175"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amounts)</w:t>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securities were excluded from the computation of diluted net loss per share of common stock for the periods presented as their effect would have been antidilutive:</w:t>
      </w:r>
    </w:p>
    <w:tbl>
      <w:tblPr>
        <w:tblW w:w="7012" w:type="dxa"/>
        <w:jc w:val="left"/>
        <w:tblInd w:w="0" w:type="dxa"/>
        <w:tblLayout w:type="fixed"/>
        <w:tblCellMar>
          <w:top w:w="28" w:type="dxa"/>
          <w:left w:w="28" w:type="dxa"/>
          <w:bottom w:w="28" w:type="dxa"/>
          <w:right w:w="28" w:type="dxa"/>
        </w:tblCellMar>
      </w:tblPr>
      <w:tblGrid>
        <w:gridCol w:w="1182"/>
        <w:gridCol w:w="1040"/>
        <w:gridCol w:w="1047"/>
        <w:gridCol w:w="109"/>
        <w:gridCol w:w="109"/>
        <w:gridCol w:w="109"/>
        <w:gridCol w:w="360"/>
        <w:gridCol w:w="361"/>
        <w:gridCol w:w="130"/>
        <w:gridCol w:w="130"/>
        <w:gridCol w:w="130"/>
        <w:gridCol w:w="130"/>
        <w:gridCol w:w="360"/>
        <w:gridCol w:w="361"/>
        <w:gridCol w:w="130"/>
        <w:gridCol w:w="130"/>
        <w:gridCol w:w="130"/>
        <w:gridCol w:w="130"/>
        <w:gridCol w:w="360"/>
        <w:gridCol w:w="361"/>
        <w:gridCol w:w="213"/>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4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rTSR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 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(if-converted)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21,509 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0" w:after="240"/>
        <w:ind w:left="0" w:right="0" w:firstLine="720"/>
        <w:jc w:val="left"/>
        <w:rPr/>
      </w:pPr>
      <w:r>
        <w:rPr>
          <w:rFonts w:ascii="Times New Roman;serif" w:hAnsi="Times New Roman;serif"/>
          <w:b w:val="false"/>
          <w:color w:val="000000"/>
          <w:sz w:val="20"/>
        </w:rPr>
        <w:t>Loss before income ta</w:t>
      </w:r>
      <w:r>
        <w:rPr>
          <w:rFonts w:ascii="Times New Roman;serif" w:hAnsi="Times New Roman;serif"/>
          <w:b w:val="false"/>
          <w:color w:val="000000"/>
          <w:sz w:val="20"/>
          <w:shd w:fill="FFFFFF" w:val="clear"/>
        </w:rPr>
        <w:t>xes includes the following components:</w:t>
      </w:r>
    </w:p>
    <w:tbl>
      <w:tblPr>
        <w:tblW w:w="6849" w:type="dxa"/>
        <w:jc w:val="center"/>
        <w:tblInd w:w="0" w:type="dxa"/>
        <w:tblLayout w:type="fixed"/>
        <w:tblCellMar>
          <w:top w:w="28" w:type="dxa"/>
          <w:left w:w="28" w:type="dxa"/>
          <w:bottom w:w="28" w:type="dxa"/>
          <w:right w:w="28" w:type="dxa"/>
        </w:tblCellMar>
      </w:tblPr>
      <w:tblGrid>
        <w:gridCol w:w="784"/>
        <w:gridCol w:w="686"/>
        <w:gridCol w:w="690"/>
        <w:gridCol w:w="109"/>
        <w:gridCol w:w="109"/>
        <w:gridCol w:w="109"/>
        <w:gridCol w:w="211"/>
        <w:gridCol w:w="901"/>
        <w:gridCol w:w="109"/>
        <w:gridCol w:w="109"/>
        <w:gridCol w:w="109"/>
        <w:gridCol w:w="109"/>
        <w:gridCol w:w="211"/>
        <w:gridCol w:w="901"/>
        <w:gridCol w:w="109"/>
        <w:gridCol w:w="109"/>
        <w:gridCol w:w="109"/>
        <w:gridCol w:w="109"/>
        <w:gridCol w:w="211"/>
        <w:gridCol w:w="901"/>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income tax expense (benefit) consists of the following:</w:t>
      </w:r>
    </w:p>
    <w:tbl>
      <w:tblPr>
        <w:tblW w:w="6413" w:type="dxa"/>
        <w:jc w:val="center"/>
        <w:tblInd w:w="0" w:type="dxa"/>
        <w:tblLayout w:type="fixed"/>
        <w:tblCellMar>
          <w:top w:w="28" w:type="dxa"/>
          <w:left w:w="28" w:type="dxa"/>
          <w:bottom w:w="28" w:type="dxa"/>
          <w:right w:w="28" w:type="dxa"/>
        </w:tblCellMar>
      </w:tblPr>
      <w:tblGrid>
        <w:gridCol w:w="960"/>
        <w:gridCol w:w="846"/>
        <w:gridCol w:w="848"/>
        <w:gridCol w:w="109"/>
        <w:gridCol w:w="109"/>
        <w:gridCol w:w="109"/>
        <w:gridCol w:w="211"/>
        <w:gridCol w:w="616"/>
        <w:gridCol w:w="109"/>
        <w:gridCol w:w="109"/>
        <w:gridCol w:w="109"/>
        <w:gridCol w:w="109"/>
        <w:gridCol w:w="211"/>
        <w:gridCol w:w="616"/>
        <w:gridCol w:w="109"/>
        <w:gridCol w:w="109"/>
        <w:gridCol w:w="109"/>
        <w:gridCol w:w="109"/>
        <w:gridCol w:w="211"/>
        <w:gridCol w:w="54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tax expense of $2.5 million and $2.6 million for the years ended December 31, 2025 and 2024, respectively, and recorded tax benefit of $0.2 million for the year ended December 31, 2023. The Company’s income tax expense (benefit) is primarily due to income taxes from certain foreign jurisdictions where the Company conducts business and state minimum income taxes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adopted ASU 2023-09 "Income Taxes (Topic 740): Improvements To Income Tax Disclosures" on a retrospective basis effective December 31, 2025. The following table presents required disclosure pursuant to ASU 2023-09 and reconciles the U.S. federal statutory tax amount and rate to the Company's actual global effective amount and rate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1060"/>
        <w:gridCol w:w="729"/>
        <w:gridCol w:w="735"/>
        <w:gridCol w:w="109"/>
        <w:gridCol w:w="109"/>
        <w:gridCol w:w="109"/>
        <w:gridCol w:w="203"/>
        <w:gridCol w:w="711"/>
        <w:gridCol w:w="112"/>
        <w:gridCol w:w="109"/>
        <w:gridCol w:w="109"/>
        <w:gridCol w:w="109"/>
        <w:gridCol w:w="251"/>
        <w:gridCol w:w="252"/>
        <w:gridCol w:w="357"/>
        <w:gridCol w:w="109"/>
        <w:gridCol w:w="109"/>
        <w:gridCol w:w="109"/>
        <w:gridCol w:w="203"/>
        <w:gridCol w:w="711"/>
        <w:gridCol w:w="112"/>
        <w:gridCol w:w="109"/>
        <w:gridCol w:w="109"/>
        <w:gridCol w:w="109"/>
        <w:gridCol w:w="251"/>
        <w:gridCol w:w="252"/>
        <w:gridCol w:w="357"/>
        <w:gridCol w:w="109"/>
        <w:gridCol w:w="109"/>
        <w:gridCol w:w="109"/>
        <w:gridCol w:w="203"/>
        <w:gridCol w:w="711"/>
        <w:gridCol w:w="112"/>
        <w:gridCol w:w="109"/>
        <w:gridCol w:w="109"/>
        <w:gridCol w:w="109"/>
        <w:gridCol w:w="251"/>
        <w:gridCol w:w="252"/>
        <w:gridCol w:w="418"/>
      </w:tblGrid>
      <w:tr>
        <w:trPr/>
        <w:tc>
          <w:tcPr>
            <w:tcW w:w="106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State and local income taxes, net of federal 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foreign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changes in tax laws or rates enacted in the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Disallowed executive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*State taxes in California made up the majority (greater than 50%) of the tax effect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deferred tax assets and liabilities were as follows:</w:t>
      </w:r>
    </w:p>
    <w:tbl>
      <w:tblPr>
        <w:tblW w:w="6261" w:type="dxa"/>
        <w:jc w:val="center"/>
        <w:tblInd w:w="0" w:type="dxa"/>
        <w:tblLayout w:type="fixed"/>
        <w:tblCellMar>
          <w:top w:w="28" w:type="dxa"/>
          <w:left w:w="28" w:type="dxa"/>
          <w:bottom w:w="28" w:type="dxa"/>
          <w:right w:w="28" w:type="dxa"/>
        </w:tblCellMar>
      </w:tblPr>
      <w:tblGrid>
        <w:gridCol w:w="1186"/>
        <w:gridCol w:w="1040"/>
        <w:gridCol w:w="1044"/>
        <w:gridCol w:w="109"/>
        <w:gridCol w:w="109"/>
        <w:gridCol w:w="109"/>
        <w:gridCol w:w="211"/>
        <w:gridCol w:w="826"/>
        <w:gridCol w:w="109"/>
        <w:gridCol w:w="109"/>
        <w:gridCol w:w="109"/>
        <w:gridCol w:w="109"/>
        <w:gridCol w:w="211"/>
        <w:gridCol w:w="82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research and development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and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ind w:left="0" w:right="0" w:firstLine="720"/>
        <w:jc w:val="left"/>
        <w:rPr/>
      </w:pPr>
      <w:r>
        <w:rPr>
          <w:rFonts w:ascii="Times New Roman;serif" w:hAnsi="Times New Roman;serif"/>
          <w:b w:val="false"/>
          <w:color w:val="000000"/>
          <w:sz w:val="20"/>
          <w:shd w:fill="FFFFFF" w:val="clear"/>
        </w:rPr>
        <w:t xml:space="preserve">As of December 31, 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t</w:t>
      </w:r>
      <w:r>
        <w:rPr>
          <w:rFonts w:ascii="Times New Roman;serif" w:hAnsi="Times New Roman;serif"/>
          <w:b w:val="false"/>
          <w:color w:val="000000"/>
          <w:sz w:val="20"/>
        </w:rPr>
        <w:t>he Company</w:t>
      </w:r>
      <w:r>
        <w:rPr>
          <w:color w:val="000000"/>
          <w:shd w:fill="FFFFFF" w:val="clear"/>
        </w:rPr>
        <w:t xml:space="preserve"> </w:t>
      </w:r>
      <w:r>
        <w:rPr>
          <w:rFonts w:ascii="Times New Roman;serif" w:hAnsi="Times New Roman;serif"/>
          <w:b w:val="false"/>
          <w:color w:val="000000"/>
          <w:sz w:val="20"/>
          <w:shd w:fill="FFFFFF" w:val="clear"/>
        </w:rPr>
        <w:t xml:space="preserve">had NOL carryforwards for U.S. federal income tax purposes of approximately </w:t>
      </w:r>
      <w:r>
        <w:rPr>
          <w:rFonts w:ascii="Times New Roman;serif" w:hAnsi="Times New Roman;serif"/>
          <w:b w:val="false"/>
          <w:color w:val="000000"/>
          <w:sz w:val="20"/>
        </w:rPr>
        <w:t>$698.2 million</w:t>
      </w:r>
      <w:r>
        <w:rPr>
          <w:color w:val="000000"/>
          <w:shd w:fill="FFFFFF" w:val="clear"/>
        </w:rPr>
        <w:t xml:space="preserve"> </w:t>
      </w:r>
      <w:r>
        <w:rPr>
          <w:rFonts w:ascii="Times New Roman;serif" w:hAnsi="Times New Roman;serif"/>
          <w:b w:val="false"/>
          <w:color w:val="000000"/>
          <w:sz w:val="20"/>
          <w:shd w:fill="FFFFFF" w:val="clear"/>
        </w:rPr>
        <w:t>and $635.9 million, respectively; and for state income tax purposes of approximately</w:t>
      </w:r>
      <w:r>
        <w:rPr>
          <w:color w:val="000000"/>
        </w:rPr>
        <w:t xml:space="preserve"> </w:t>
      </w:r>
      <w:r>
        <w:rPr>
          <w:rFonts w:ascii="Times New Roman;serif" w:hAnsi="Times New Roman;serif"/>
          <w:b w:val="false"/>
          <w:color w:val="000000"/>
          <w:sz w:val="20"/>
        </w:rPr>
        <w:t>$647.1 million</w:t>
      </w:r>
      <w:r>
        <w:rPr>
          <w:color w:val="000000"/>
          <w:shd w:fill="FFFFFF" w:val="clear"/>
        </w:rPr>
        <w:t xml:space="preserve"> </w:t>
      </w:r>
      <w:r>
        <w:rPr>
          <w:rFonts w:ascii="Times New Roman;serif" w:hAnsi="Times New Roman;serif"/>
          <w:b w:val="false"/>
          <w:color w:val="000000"/>
          <w:sz w:val="20"/>
          <w:shd w:fill="FFFFFF" w:val="clear"/>
        </w:rPr>
        <w:t>and $621.0 million, respectively. The federal NOL carryforwards, if not utilized, will begin to expire in 2034. The state NOL carryforward, if not utilized, will begin to expire on various dates starting in 2028.</w:t>
      </w:r>
      <w:r>
        <w:rPr>
          <w:color w:val="000000"/>
          <w:shd w:fill="FFFFFF" w:val="clear"/>
        </w:rPr>
        <w:t xml:space="preserve"> </w:t>
      </w:r>
      <w:r>
        <w:rPr>
          <w:rFonts w:ascii="Times New Roman;serif" w:hAnsi="Times New Roman;serif"/>
          <w:b w:val="false"/>
          <w:color w:val="000000"/>
          <w:sz w:val="20"/>
          <w:shd w:fill="FFFFFF" w:val="clear"/>
        </w:rPr>
        <w:t xml:space="preserve">The Company also has federal and California research and development credit carryforwards totaling $55.7 million and $16.8 million </w:t>
      </w: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respectively. The federal research and development credit carryforwards will begin to expire in 2027, unless previously utilized. The California research credits do not expire.</w:t>
      </w:r>
    </w:p>
    <w:p>
      <w:pPr>
        <w:pStyle w:val="TextBody"/>
        <w:bidi w:val="0"/>
        <w:spacing w:lineRule="auto" w:line="276" w:before="0" w:after="240"/>
        <w:ind w:left="0" w:right="0" w:firstLine="720"/>
        <w:jc w:val="left"/>
        <w:rPr/>
      </w:pPr>
      <w:r>
        <w:rPr>
          <w:rFonts w:ascii="Times New Roman;serif" w:hAnsi="Times New Roman;serif"/>
          <w:b w:val="false"/>
          <w:color w:val="000000"/>
          <w:sz w:val="20"/>
          <w:shd w:fill="FFFFFF" w:val="clear"/>
        </w:rPr>
        <w:t xml:space="preserve">As of December 31, 2025, the Company has NOL carryforwards for United Kingdom purposes of approximately </w:t>
      </w:r>
      <w:r>
        <w:rPr>
          <w:rFonts w:ascii="Times New Roman;serif" w:hAnsi="Times New Roman;serif"/>
          <w:b w:val="false"/>
          <w:color w:val="000000"/>
          <w:sz w:val="20"/>
        </w:rPr>
        <w:t xml:space="preserve">$15.2 million. The UK </w:t>
      </w:r>
      <w:r>
        <w:rPr>
          <w:rFonts w:ascii="Times New Roman;serif" w:hAnsi="Times New Roman;serif"/>
          <w:b w:val="false"/>
          <w:color w:val="000000"/>
          <w:sz w:val="20"/>
          <w:shd w:fill="FFFFFF" w:val="clear"/>
        </w:rPr>
        <w:t xml:space="preserve">NOL carryforwards </w:t>
      </w:r>
      <w:r>
        <w:rPr>
          <w:rFonts w:ascii="Times New Roman;serif" w:hAnsi="Times New Roman;serif"/>
          <w:b w:val="false"/>
          <w:color w:val="000000"/>
          <w:sz w:val="20"/>
        </w:rPr>
        <w:t>do not expire.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Based on all available evidence on a jurisdictional basis </w:t>
      </w:r>
      <w:r>
        <w:rPr>
          <w:rFonts w:ascii="Times New Roman;serif" w:hAnsi="Times New Roman;serif"/>
          <w:b w:val="false"/>
          <w:color w:val="000000"/>
          <w:sz w:val="20"/>
          <w:shd w:fill="FFFFFF" w:val="clear"/>
        </w:rPr>
        <w:t>t</w:t>
      </w:r>
      <w:r>
        <w:rPr>
          <w:rFonts w:ascii="Times New Roman;serif" w:hAnsi="Times New Roman;serif"/>
          <w:b w:val="false"/>
          <w:color w:val="000000"/>
          <w:sz w:val="20"/>
        </w:rPr>
        <w:t>he Company believes that it is more likely than not that the Company’s U.S. deferred tax assets will not be utilized and have recorded a full valuation allowance against its U.S. net deferred tax assets. The Company assesses on a periodic basis the likelihood that it will be able to recover its deferred tax assets. The Company considers all available evidence, both positive and negative, including historical losses. The Company determined that it is more likely than not that the U.S. net deferred tax assets will not be fully realizable for the years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240"/>
        <w:ind w:left="0" w:right="0" w:firstLine="720"/>
        <w:jc w:val="left"/>
        <w:rPr/>
      </w:pPr>
      <w:r>
        <w:rPr>
          <w:rFonts w:ascii="Times New Roman;serif" w:hAnsi="Times New Roman;serif"/>
          <w:b w:val="false"/>
          <w:color w:val="000000"/>
          <w:sz w:val="20"/>
          <w:shd w:fill="FFFFFF" w:val="clear"/>
        </w:rPr>
        <w:t>T</w:t>
      </w:r>
      <w:r>
        <w:rPr>
          <w:rFonts w:ascii="Times New Roman;serif" w:hAnsi="Times New Roman;serif"/>
          <w:b w:val="false"/>
          <w:color w:val="000000"/>
          <w:sz w:val="20"/>
        </w:rPr>
        <w:t xml:space="preserve">he Company has a valuation allowance for U.S. deferred tax assets, including NOL carryforwards. The Company expects to maintain this valuation allowance for the foreseeable future.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the valuation allowance were as follows:</w:t>
      </w:r>
    </w:p>
    <w:tbl>
      <w:tblPr>
        <w:tblW w:w="7074" w:type="dxa"/>
        <w:jc w:val="left"/>
        <w:tblInd w:w="0" w:type="dxa"/>
        <w:tblLayout w:type="fixed"/>
        <w:tblCellMar>
          <w:top w:w="28" w:type="dxa"/>
          <w:left w:w="28" w:type="dxa"/>
          <w:bottom w:w="28" w:type="dxa"/>
          <w:right w:w="28" w:type="dxa"/>
        </w:tblCellMar>
      </w:tblPr>
      <w:tblGrid>
        <w:gridCol w:w="946"/>
        <w:gridCol w:w="830"/>
        <w:gridCol w:w="834"/>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charged to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Utilization of the NOL carryforwards may be subject to a substantial annual limitation due to the ownership change limitations under the Code and similar state provisions. Under Section 382 of the Code, a corporation that undergoes an “ownership change” may be subject to limitations on its ability to utilize its pre-change NOLs to offset future taxable income. A detailed analysis was performed through December 31, 2021 for the Company to determine whether an ownership change under Section 382 of the Code has occurred, and ownership changes were identified in 2013 and 2020. A detailed analysis was completed through December 31, 2024 and no further ownership changes were identified. As a result of these analyses, the Company concluded that there is no longer any limitation on the utilization of such NOLs. A detailed analysis was performed for the period March 1, 2014 to October 1, 2020 for Signal Sciences to determine whether an ownership change under Section 382 of the Code has occurred and an ownership change was identified in 2020. As a result of this analysis, the Company concluded that there is no longer any limitation on its utilization of the NOLs of Signal Sciences.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provision for U.S. income and foreign withholding taxes has been made for these permanently reinvested foreign earnings because it is management’s intention to permanently reinvest such undistributed earnings outside the United States.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Company’s unrecognized tax benefits is as follows (in thousands):</w:t>
      </w:r>
    </w:p>
    <w:tbl>
      <w:tblPr>
        <w:tblW w:w="6355" w:type="dxa"/>
        <w:jc w:val="left"/>
        <w:tblInd w:w="0" w:type="dxa"/>
        <w:tblLayout w:type="fixed"/>
        <w:tblCellMar>
          <w:top w:w="28" w:type="dxa"/>
          <w:left w:w="28" w:type="dxa"/>
          <w:bottom w:w="28" w:type="dxa"/>
          <w:right w:w="28" w:type="dxa"/>
        </w:tblCellMar>
      </w:tblPr>
      <w:tblGrid>
        <w:gridCol w:w="1413"/>
        <w:gridCol w:w="1242"/>
        <w:gridCol w:w="1246"/>
        <w:gridCol w:w="211"/>
        <w:gridCol w:w="721"/>
        <w:gridCol w:w="109"/>
        <w:gridCol w:w="109"/>
        <w:gridCol w:w="109"/>
        <w:gridCol w:w="109"/>
        <w:gridCol w:w="211"/>
        <w:gridCol w:w="721"/>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firstLine="137"/>
              <w:jc w:val="left"/>
              <w:rPr>
                <w:rFonts w:ascii="Times New Roman;serif" w:hAnsi="Times New Roman;serif"/>
                <w:b w:val="false"/>
                <w:color w:val="000000"/>
                <w:sz w:val="20"/>
              </w:rPr>
            </w:pPr>
            <w:r>
              <w:rPr>
                <w:rFonts w:ascii="Times New Roman;serif" w:hAnsi="Times New Roman;serif"/>
                <w:b w:val="false"/>
                <w:color w:val="000000"/>
                <w:sz w:val="20"/>
              </w:rPr>
              <w:t>Increases related to prior year tax positions</w:t>
            </w:r>
          </w:p>
        </w:tc>
        <w:tc>
          <w:tcPr>
            <w:tcW w:w="932"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firstLine="137"/>
              <w:jc w:val="left"/>
              <w:rPr>
                <w:rFonts w:ascii="Times New Roman;serif" w:hAnsi="Times New Roman;serif"/>
                <w:b w:val="false"/>
                <w:color w:val="000000"/>
                <w:sz w:val="20"/>
              </w:rPr>
            </w:pPr>
            <w:r>
              <w:rPr>
                <w:rFonts w:ascii="Times New Roman;serif" w:hAnsi="Times New Roman;serif"/>
                <w:b w:val="false"/>
                <w:color w:val="000000"/>
                <w:sz w:val="20"/>
              </w:rPr>
              <w:t>Decreases related to prior year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tcMar>
              <w:top w:w="0" w:type="dxa"/>
              <w:left w:w="0" w:type="dxa"/>
              <w:bottom w:w="0" w:type="dxa"/>
              <w:right w:w="0" w:type="dxa"/>
            </w:tcMar>
            <w:vAlign w:val="center"/>
          </w:tcPr>
          <w:p>
            <w:pPr>
              <w:pStyle w:val="TableContents"/>
              <w:bidi w:val="0"/>
              <w:spacing w:lineRule="auto" w:line="276" w:before="0" w:after="0"/>
              <w:ind w:left="0" w:right="0" w:firstLine="137"/>
              <w:jc w:val="left"/>
              <w:rPr>
                <w:rFonts w:ascii="Times New Roman;serif" w:hAnsi="Times New Roman;serif"/>
                <w:b w:val="false"/>
                <w:color w:val="000000"/>
                <w:sz w:val="20"/>
              </w:rPr>
            </w:pPr>
            <w:r>
              <w:rPr>
                <w:rFonts w:ascii="Times New Roman;serif" w:hAnsi="Times New Roman;serif"/>
                <w:b w:val="false"/>
                <w:color w:val="000000"/>
                <w:sz w:val="20"/>
              </w:rPr>
              <w:t>Increases related to current year tax positions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considered the amounts and probabilities of the outcomes that can be realized upon ultimate settlement with the tax authorities and determined unrecognized tax benefits primarily related to credits should be established as noted in the summary rollforward above. The unrecognized tax benefits, if recognized and in absence of full valuation allowance, would impact the income tax provision by $27.8 million and $26.0 million at December 31, 2025 and 2024, respectively.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in the U.S. federal and state taxing jurisdictions, tax periods in which certain loss and credit carryovers are generated remain open for audit until such time as the limitation period ends for the year in which such losses or credits are utilized.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40"/>
        <w:ind w:left="0" w:right="0" w:firstLine="720"/>
        <w:jc w:val="left"/>
        <w:rPr/>
      </w:pPr>
      <w:r>
        <w:rPr>
          <w:rFonts w:ascii="Times New Roman;serif" w:hAnsi="Times New Roman;serif"/>
          <w:b w:val="false"/>
          <w:color w:val="000000"/>
          <w:sz w:val="20"/>
        </w:rPr>
        <w:t xml:space="preserve">The Company adopted ASU 2023-09 on a retrospective basis </w:t>
      </w:r>
      <w:r>
        <w:rPr>
          <w:rFonts w:ascii="Times New Roman;serif" w:hAnsi="Times New Roman;serif"/>
          <w:b w:val="false"/>
          <w:color w:val="000000"/>
          <w:sz w:val="20"/>
          <w:shd w:fill="FFFFFF" w:val="clear"/>
        </w:rPr>
        <w:t>effective December 31, 2025</w:t>
      </w:r>
      <w:r>
        <w:rPr>
          <w:color w:val="000000"/>
        </w:rPr>
        <w:t xml:space="preserve"> </w:t>
      </w:r>
      <w:r>
        <w:rPr>
          <w:rFonts w:ascii="Times New Roman;serif" w:hAnsi="Times New Roman;serif"/>
          <w:b w:val="false"/>
          <w:color w:val="000000"/>
          <w:sz w:val="20"/>
        </w:rPr>
        <w:t>and have included the following tables as a result of the Company's adoption, which presents income taxes paid (net of refunds received) for the years ended December 31, 2025, 2024 and 2023:</w:t>
      </w:r>
    </w:p>
    <w:tbl>
      <w:tblPr>
        <w:tblW w:w="4285" w:type="dxa"/>
        <w:jc w:val="left"/>
        <w:tblInd w:w="0" w:type="dxa"/>
        <w:tblLayout w:type="fixed"/>
        <w:tblCellMar>
          <w:top w:w="28" w:type="dxa"/>
          <w:left w:w="28" w:type="dxa"/>
          <w:bottom w:w="28" w:type="dxa"/>
          <w:right w:w="28" w:type="dxa"/>
        </w:tblCellMar>
      </w:tblPr>
      <w:tblGrid>
        <w:gridCol w:w="271"/>
        <w:gridCol w:w="238"/>
        <w:gridCol w:w="242"/>
        <w:gridCol w:w="109"/>
        <w:gridCol w:w="109"/>
        <w:gridCol w:w="109"/>
        <w:gridCol w:w="211"/>
        <w:gridCol w:w="616"/>
        <w:gridCol w:w="109"/>
        <w:gridCol w:w="109"/>
        <w:gridCol w:w="109"/>
        <w:gridCol w:w="109"/>
        <w:gridCol w:w="211"/>
        <w:gridCol w:w="466"/>
        <w:gridCol w:w="109"/>
        <w:gridCol w:w="109"/>
        <w:gridCol w:w="109"/>
        <w:gridCol w:w="109"/>
        <w:gridCol w:w="211"/>
        <w:gridCol w:w="466"/>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 exceed 5% of total income taxes paid (net of refunds) in the following jurisdictions:</w:t>
      </w:r>
    </w:p>
    <w:tbl>
      <w:tblPr>
        <w:tblW w:w="4466" w:type="dxa"/>
        <w:jc w:val="left"/>
        <w:tblInd w:w="0" w:type="dxa"/>
        <w:tblLayout w:type="fixed"/>
        <w:tblCellMar>
          <w:top w:w="28" w:type="dxa"/>
          <w:left w:w="28" w:type="dxa"/>
          <w:bottom w:w="28" w:type="dxa"/>
          <w:right w:w="28" w:type="dxa"/>
        </w:tblCellMar>
      </w:tblPr>
      <w:tblGrid>
        <w:gridCol w:w="525"/>
        <w:gridCol w:w="460"/>
        <w:gridCol w:w="471"/>
        <w:gridCol w:w="109"/>
        <w:gridCol w:w="109"/>
        <w:gridCol w:w="109"/>
        <w:gridCol w:w="233"/>
        <w:gridCol w:w="233"/>
        <w:gridCol w:w="156"/>
        <w:gridCol w:w="109"/>
        <w:gridCol w:w="109"/>
        <w:gridCol w:w="109"/>
        <w:gridCol w:w="211"/>
        <w:gridCol w:w="361"/>
        <w:gridCol w:w="109"/>
        <w:gridCol w:w="109"/>
        <w:gridCol w:w="109"/>
        <w:gridCol w:w="109"/>
        <w:gridCol w:w="211"/>
        <w:gridCol w:w="361"/>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*Jurisdiction below the threshold for the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13.     Segment and Geographic Information </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Segment </w:t>
      </w:r>
    </w:p>
    <w:p>
      <w:pPr>
        <w:pStyle w:val="TextBody"/>
        <w:bidi w:val="0"/>
        <w:spacing w:lineRule="auto" w:line="276"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single operating and reportable segment. The Chief Operating Decision Maker (“CODM”) is the Company's Chief Executive Officer (“CEO”), who reviews financial information presented on a consolidated basis, accompanied by disaggregated information about its revenue, for purposes of making operating decisions, assessing financial performance and allocating resources.</w:t>
      </w:r>
    </w:p>
    <w:p>
      <w:pPr>
        <w:pStyle w:val="TextBody"/>
        <w:bidi w:val="0"/>
        <w:spacing w:lineRule="auto" w:line="276"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loss is the Company's primary measure of profit or loss, and all costs and expenses categories on the Company's consolidated statements of operations, as well as share-based compensation, depreciation and amortization expenses, are significant. Refer to Note 10 for additional information about the Company's share-based compensation expense. Refer to Note 5 and 7 for additional information about the Company's depreciation and amortization expenses, respectively. The Company's other segment items include net gain on extinguishment of debt, interest income, interest expense, other expense, net and income tax expense (benefit) on the Company's consolidated statements of operations. </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geography is based on the billing address of the customer. Refer to Note 3—Revenue for more information on net revenue by geographic area.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property and equipment and operating lease right-of-use assets, each net, by geographic area were as follows:</w:t>
      </w:r>
    </w:p>
    <w:tbl>
      <w:tblPr>
        <w:tblW w:w="4956" w:type="dxa"/>
        <w:jc w:val="left"/>
        <w:tblInd w:w="0" w:type="dxa"/>
        <w:tblLayout w:type="fixed"/>
        <w:tblCellMar>
          <w:top w:w="28" w:type="dxa"/>
          <w:left w:w="28" w:type="dxa"/>
          <w:bottom w:w="28" w:type="dxa"/>
          <w:right w:w="28" w:type="dxa"/>
        </w:tblCellMar>
      </w:tblPr>
      <w:tblGrid>
        <w:gridCol w:w="713"/>
        <w:gridCol w:w="624"/>
        <w:gridCol w:w="628"/>
        <w:gridCol w:w="109"/>
        <w:gridCol w:w="109"/>
        <w:gridCol w:w="109"/>
        <w:gridCol w:w="211"/>
        <w:gridCol w:w="826"/>
        <w:gridCol w:w="109"/>
        <w:gridCol w:w="109"/>
        <w:gridCol w:w="109"/>
        <w:gridCol w:w="109"/>
        <w:gridCol w:w="211"/>
        <w:gridCol w:w="826"/>
        <w:gridCol w:w="15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14.    Restructuring Charges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in an effort to streamline its organization, the Company initiated a restructuring plan to reduce expenses including a reduction of the Company’s workforce. In connection with this plan, the Company incurred charges of $9.7 million primarily consisting of employee-related severance and termination benefits. These charges are included within the restructuring charges line in the Company's consolidated statements of operations. The plan was completed by December 31, 2025 with no remaining unpaid balances, as the plan was materially paid out by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evaluated the effectiveness of our disclosure controls and procedures (as defined in Rules 13a-15(e) and 15d-15(e) under the Securities Exchange Act) as of December 31, 2025. Based on such evaluation, our Chief Executive Officer and our Chief Financial Officer have concluded that as of December 31, 2025, our disclosure controls and procedures were, in design and operation, effective at a reasonable assurance level.</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and for the assessment of the effectiveness of internal control over financial reporting as defined in Rule 13a-15(f) and 15d-15(f) under the Exchange Act. Our management conducted an assessment of the effectiveness of our internal control over financial reporting as of December 31, 2025 based on the criteria established in Internal Control - Integrated Framework (2013) issued by the Committee of Sponsoring Organizations of the Treadway Commission. The effectiveness of our internal control over financial reporting as of December 31, 2025 has been audited by Deloitte &amp; Touche LLP, an independent registered public accounting firm, as stated in its report which is included in Item 9 of this Annual Report on Form 10-K.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Remediation of Previously Reported Material Weakness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reported in Item 9A of our Annual Report on Form 10-K for the fiscal year ended December 31, 2024, management identified a material weakness in the fiscal year ended December 31, 2024. The previously reported material weakness related to deficiencies in the design and operating effectiveness of controls within the revenue process. These deficiencies related to certain business process controls primarily caused by a lack of sufficiently qualified personnel due to turnover, information technology general controls, including the failure to receive a service auditor’s report for our billing system hosted by a third-party, and insufficient monitoring controls over such third-party service providers.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identified and implemented changes to our internal control over financial reporting to remediate the control deficiencies that led to the material weakness,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Hired a new Chief Financial Officer, Chief Accounting Officer, and additional senior resources in Finance and Accounting with appropriate technical expertise within the revenue process;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Enhanced our change management and user access controls over systems within the revenue process by strengthening policies, procedures, review processes, and documentation;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Enhanced our controls over the ongoing monitoring of third-party service providers, including timely receipt of relevant service auditor reports to evidence design, implementation, and operating effectiveness of controls within the service organization’s framework of internal controls;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Enhanced the design and effectiveness of controls over the timely input of complete and accurate customer contract information that is used for the processing and recording of billing and revenue transactions in our systems.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above mentioned measures have been implemented for a sufficient period of time and management has concluded, through testing, that the enhanced controls are operating effectively. Management concluded that the deficiencies leading to the material weakness were remediated as of December 31,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described above, we implemented changes to our internal control over financial reporting to remediate the material weakness that was previously identified. There were no other changes during the year ended December 31, 2025 in our internal control over financial reporting that materially affected, or are reasonably likely to materially affect, our internal control over financial reporting.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Fastly, Inc.</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0" w:after="240"/>
        <w:jc w:val="left"/>
        <w:rPr/>
      </w:pPr>
      <w:r>
        <w:rPr>
          <w:rFonts w:ascii="Times New Roman;serif" w:hAnsi="Times New Roman;serif"/>
          <w:b w:val="false"/>
          <w:color w:val="000000"/>
          <w:sz w:val="20"/>
        </w:rPr>
        <w:t xml:space="preserve">We have audited the internal control over financial reporting of Fastly, Inc. and subsidiaries (the “Company”) as of December 31, 2025,based on criteria established in </w:t>
      </w:r>
      <w:r>
        <w:rPr>
          <w:rFonts w:ascii="Times New Roman;serif" w:hAnsi="Times New Roman;serif"/>
          <w:b w:val="false"/>
          <w:i/>
          <w:color w:val="000000"/>
          <w:sz w:val="20"/>
        </w:rPr>
        <w:t>Internal Control—Integrated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25, 2026, expressed an unqualified opinion on those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Trading Arrangements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Company’s last fiscal quarter, none of the Company’s directors and officers (as defined in Rule 16a-1(f) under the Exchange Act) adopted or terminated contracts, instructions or written plans for the purchase or sale of the Company’s securities.</w:t>
      </w:r>
    </w:p>
    <w:p>
      <w:pPr>
        <w:pStyle w:val="TextBody"/>
        <w:bidi w:val="0"/>
        <w:spacing w:before="0" w:after="0"/>
        <w:ind w:left="0" w:right="0" w:firstLine="540"/>
        <w:jc w:val="left"/>
        <w:rPr/>
      </w:pPr>
      <w:r>
        <w:rPr/>
      </w:r>
    </w:p>
    <w:p>
      <w:pPr>
        <w:pStyle w:val="TextBody"/>
        <w:bidi w:val="0"/>
        <w:spacing w:before="0" w:after="240"/>
        <w:ind w:left="0" w:right="0" w:firstLine="54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the sections of our proxy statement to be filed with the SEC no later than 120 days after December 31, 2025 in connection with our 2026 Annual Meeting of Stockholders (the “Proxy Statement”).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for our directors, officers (including our principal executive officer, principal financial officer and principal accounting officer) and employees. Our Code of Business Conduct and Ethics is available on our website at www.fastly.com/investors under the “Governance” tab. Within the time period required by the SEC and The Nasdaq Stock Market LLC ("Nasdaq"), we will post on our website at www.fastly.com/investors under the “Governance” tab any amendment to our Code of Business Conduct and Ethics or any waivers of such provisions granted to executive officers and directors.</w:t>
        <w:br/>
        <w:br/>
        <w:t>We have adopted insider trading policies and procedures governing the purchase, sale, and other dispositions of our securities by directors, officers and employees that are designed to promote compliance with insider trading laws, rules and regulations, and applicable Nasdaq standards, as well as procedures designed to further the foregoing purposes. A copy of our insider trading policy is filed with this Annual Report on Form 10-K as Exhibit 19.1.</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our Proxy Statement.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Item 12.     </w:t>
      </w:r>
      <w:r>
        <w:rPr>
          <w:rFonts w:ascii="Times New Roman;serif" w:hAnsi="Times New Roman;serif"/>
          <w:b w:val="false"/>
          <w:color w:val="000000"/>
          <w:sz w:val="20"/>
        </w:rPr>
        <w:t>S</w:t>
      </w:r>
      <w:r>
        <w:rPr>
          <w:rFonts w:ascii="Times New Roman;serif" w:hAnsi="Times New Roman;serif"/>
          <w:b/>
          <w:color w:val="000000"/>
          <w:sz w:val="20"/>
        </w:rPr>
        <w:t>ecurity Ownership of Certain Beneficial Owners and Management and Related Stockholder Matters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our Proxy Statement.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our Proxy Statement.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(a)(1) Financial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concerning the Company’s financial statements and the Report of Independent Registered Public Accounting Firm required by this Item 15(a)(1) is incorporated by reference herein to the section of this Annual Report on Form 10-K in Part II, Item 8, “Financial Statements and Supplementary Data.”</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(a)(2) Financial statement schedules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(a)(3) Exhibits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filed, or incorporated into this Annual Report on Form 10-K by reference, the exhibits listed on the accompanying Exhibit Index immediately preceding the signature page of this Annual Report on Form 10-K.</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611"/>
        <w:gridCol w:w="1521"/>
        <w:gridCol w:w="1526"/>
        <w:gridCol w:w="195"/>
        <w:gridCol w:w="195"/>
        <w:gridCol w:w="196"/>
        <w:gridCol w:w="345"/>
        <w:gridCol w:w="293"/>
        <w:gridCol w:w="221"/>
        <w:gridCol w:w="245"/>
        <w:gridCol w:w="245"/>
        <w:gridCol w:w="246"/>
        <w:gridCol w:w="497"/>
        <w:gridCol w:w="325"/>
        <w:gridCol w:w="312"/>
        <w:gridCol w:w="318"/>
        <w:gridCol w:w="318"/>
        <w:gridCol w:w="45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 </w:t>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1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Certificate of Incorporation</w:t>
              </w:r>
            </w:hyperlink>
            <w:r>
              <w:rPr>
                <w:rFonts w:ascii="Times New Roman;serif" w:hAnsi="Times New Roman;serif"/>
                <w:b w:val="false"/>
                <w:color w:val="000000"/>
                <w:sz w:val="20"/>
              </w:rPr>
              <w:t xml:space="preserve">.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21, 2019</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of Amended and Restated Certificate of Incorporation.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10, 2020</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Retirement.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13, 2021</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Amended and Restated Bylaws</w:t>
              </w:r>
            </w:hyperlink>
            <w:r>
              <w:rPr>
                <w:rFonts w:ascii="Times New Roman;serif" w:hAnsi="Times New Roman;serif"/>
                <w:b w:val="false"/>
                <w:color w:val="000000"/>
                <w:sz w:val="20"/>
              </w:rPr>
              <w: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15, 2024</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Class A common stock certificate of Fastly, Inc.</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2019</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Reference is made to Exhibits 3.1 through 3.3.</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Indenture, dated as of March 5, 2021, by and between Fastly, Inc. and U.S. Bank National Association, as Trustee.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2021</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Note, representing Fastly, Inc.’s 0% Convertible Senior Notes due 2026 (included as Exhibit A to the Indenture filed as Exhibit 4.3).</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2021</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Indenture, dated as of December 5, 2024, between Fastly, Inc. and U.S. Bank Trust Company, National Association, as trustee.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5, 2024</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Certificate representing the 7.75% Convertible Senior Notes due 2028 (included as Exhibit A to the Indenture filed as Exhibit 4.1)</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5, 2024</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Indenture, dated as of December 9, 2025, between Fastly, Inc. and U.S. Bank Trust Company, National Association, as trustee.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9, 2025</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certificate representing the 0% Convertible Senior Notes due 2030 (included as Exhibit A to Exhibit 4.1).</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9, 2025</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80"/>
                  <w:sz w:val="20"/>
                  <w:u w:val="single"/>
                </w:rPr>
                <w:t>F</w:t>
              </w:r>
            </w:hyperlink>
            <w:hyperlink r:id="rId16">
              <w:r>
                <w:rPr>
                  <w:rStyle w:val="InternetLink"/>
                  <w:rFonts w:ascii="Times New Roman;serif" w:hAnsi="Times New Roman;serif"/>
                  <w:b w:val="false"/>
                  <w:color w:val="000080"/>
                  <w:sz w:val="20"/>
                  <w:u w:val="single"/>
                </w:rPr>
                <w:t xml:space="preserve">orm of </w:t>
              </w:r>
            </w:hyperlink>
            <w:hyperlink r:id="rId17">
              <w:r>
                <w:rPr>
                  <w:rStyle w:val="InternetLink"/>
                  <w:rFonts w:ascii="Times New Roman;serif" w:hAnsi="Times New Roman;serif"/>
                  <w:b w:val="false"/>
                  <w:color w:val="000080"/>
                  <w:sz w:val="20"/>
                  <w:u w:val="single"/>
                </w:rPr>
                <w:t xml:space="preserve">Confirmation for </w:t>
              </w:r>
            </w:hyperlink>
            <w:hyperlink r:id="rId18">
              <w:r>
                <w:rPr>
                  <w:rStyle w:val="InternetLink"/>
                  <w:rFonts w:ascii="Times New Roman;serif" w:hAnsi="Times New Roman;serif"/>
                  <w:b w:val="false"/>
                  <w:color w:val="000080"/>
                  <w:sz w:val="20"/>
                  <w:u w:val="single"/>
                </w:rPr>
                <w:t xml:space="preserve">Capped Call </w:t>
              </w:r>
            </w:hyperlink>
            <w:hyperlink r:id="rId19">
              <w:r>
                <w:rPr>
                  <w:rStyle w:val="InternetLink"/>
                  <w:rFonts w:ascii="Times New Roman;serif" w:hAnsi="Times New Roman;serif"/>
                  <w:b w:val="false"/>
                  <w:color w:val="000080"/>
                  <w:sz w:val="20"/>
                  <w:u w:val="single"/>
                </w:rPr>
                <w:t>Transactions.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9, 2025</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Description of Securities.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2022</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2011 Equity Incentive Plan, as amended to date.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19, 2019</w:t>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760"/>
        <w:gridCol w:w="1532"/>
        <w:gridCol w:w="1537"/>
        <w:gridCol w:w="195"/>
        <w:gridCol w:w="195"/>
        <w:gridCol w:w="196"/>
        <w:gridCol w:w="276"/>
        <w:gridCol w:w="276"/>
        <w:gridCol w:w="256"/>
        <w:gridCol w:w="245"/>
        <w:gridCol w:w="245"/>
        <w:gridCol w:w="246"/>
        <w:gridCol w:w="529"/>
        <w:gridCol w:w="275"/>
        <w:gridCol w:w="271"/>
        <w:gridCol w:w="299"/>
        <w:gridCol w:w="299"/>
        <w:gridCol w:w="43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 </w:t>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8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10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Forms of Option Agreement, Notice of Stock Option Grant, and Exercise Notice under 2011 Equity Incentive Plan.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19, 2019</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2019 Equity Incentive Plan.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2019</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Forms of Option Agreement, Notice of Stock Option Grant, and Exercise Notice under 2019 Equity Incentive Plan.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2019</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Restricted Stock Unit Award Agreement under 2019 Equity Incentive Plan</w:t>
              </w:r>
            </w:hyperlink>
            <w:r>
              <w:rPr>
                <w:rFonts w:ascii="Times New Roman;serif" w:hAnsi="Times New Roman;serif"/>
                <w:b w:val="false"/>
                <w:color w:val="000000"/>
                <w:sz w:val="20"/>
              </w:rPr>
              <w: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9, 2019</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2019 Employee Stock Purchase Plan.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2019</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Indemnification Agreement by and between Fastly, Inc. and each of its directors and executive officers</w:t>
              </w:r>
            </w:hyperlink>
            <w:r>
              <w:rPr>
                <w:rFonts w:ascii="Times New Roman;serif" w:hAnsi="Times New Roman;serif"/>
                <w:b w:val="false"/>
                <w:color w:val="000000"/>
                <w:sz w:val="20"/>
              </w:rPr>
              <w: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2019</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Cash Incentive Bonus Plan.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2019</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Employment Terms by and between Fastly, Inc. and Artur Bergman, dated May 3, 2019.</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2019</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Office Lease Agreement, by and between Fastly, Inc. and CLPF-475 Brannan Street, L.P., dated August 22, 2014.</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19, 2019</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First Amendment to Lease Agreement, by and between Fastly, Inc. and CLPF-475 Brannan Street, L.P., dated May 27, 2015.</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19, 2019</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Second Amendment to Lease Agreement, by and between Fastly, Inc. and CLPF-475 Brannan Street, L.P., dated March 11, 2019.</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19, 2019</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Third Amendment to Lease Agreement, by and between Fastly, Inc. and CLPF-475 Brannan Street, L.P., dated November 9, 2020.</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Fourth Amendment to Lease Agreement, by and between Fastly, Inc. and CLPF-475 Brannan Street, L.P., dated June 13, 2025.</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Executive Change in Control and Severance Benefit Plan.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333-230953</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2019</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2022 Change in Control and Severance Plan and form of participation agreement thereunder.</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Non-Employee Director Compensation Policy, as amended.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21, 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Stock Ownership Guidelines.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Employment Terms by and between Fastly, Inc. and Artur Bergman, dated May 3, 2019, as modified through November 2, 2023</w:t>
              </w:r>
            </w:hyperlink>
            <w:r>
              <w:rPr>
                <w:rFonts w:ascii="Times New Roman;serif" w:hAnsi="Times New Roman;serif"/>
                <w:b w:val="false"/>
                <w:color w:val="000000"/>
                <w:sz w:val="20"/>
              </w:rPr>
              <w: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2023</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Signal Sciences Corp. 2014 Stock Option and Grant Plan.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S-8</w:t>
            </w:r>
          </w:p>
        </w:tc>
        <w:tc>
          <w:tcPr>
            <w:tcW w:w="80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333-249504</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10, 2020</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 xml:space="preserve">Senior Secured Credit Facilities Credit Agreement, among Fastly, Inc., the several lenders from time to time party thereto, and Silicon Valley Bank, dated as of February 16, 2021. </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2021</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First Amendment to the Senior Secured Credit Facilities Credit Agreement dated as of February 16, 2021, among Fastly, Inc., the several lenders from time to time party thereto, and Silicon Valley Bank, dated as of June 28, 2023.</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 2023</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808"/>
        <w:gridCol w:w="1605"/>
        <w:gridCol w:w="1610"/>
        <w:gridCol w:w="195"/>
        <w:gridCol w:w="195"/>
        <w:gridCol w:w="196"/>
        <w:gridCol w:w="270"/>
        <w:gridCol w:w="252"/>
        <w:gridCol w:w="185"/>
        <w:gridCol w:w="245"/>
        <w:gridCol w:w="245"/>
        <w:gridCol w:w="246"/>
        <w:gridCol w:w="386"/>
        <w:gridCol w:w="324"/>
        <w:gridCol w:w="273"/>
        <w:gridCol w:w="300"/>
        <w:gridCol w:w="300"/>
        <w:gridCol w:w="43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 </w:t>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7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10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Second Amendment to the Senior Secured Credit Facilities Credit Agreement dated as of February 16, 2021, among Fastly, Inc., the several lenders from time to time party thereto, and Silicon Valley Bank, dated as of February 16, 2024.</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21, 2024</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Third Amendment to the Senior Secured Credit Facilities Credit Agreement dated as of February 16, 2021, among Fastly, Inc., the several lenders from time to time party thereto, and Silicon Valley Bank, dated as of April 30, 2024.</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2024</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Offer Letter by and between Fastly, Inc. and Ronald W. Kisling, dated June 22, 2021.</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29, 2021</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Offer Letter by and between Fastly, Inc. and Todd Nightingale, dated August 1, 2022.</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2022</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Offer Letter by and between Fastly, Inc. and Scott Lovett, dated May 16, 2024.</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7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2024</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Offer Letter by and between Fastly, Inc. and Kip Compton, dated June 13, 2025.</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16, 2025</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2025 Employment Inducement Incentive Plan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7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Form of Restricted Stock Unit Award Agreement under the 2025 Employment Inducement Incentive Plan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7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Form of rTSR Restricted Stock Unit Award Agreement under 2019 Equity Incentive Plan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7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Offer Letter by and between Fastly, Inc. and Richard Wong, dated August 1, 2025.</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Offer Letter by and between Fastly, Inc. and Scott Lovett, dated August 1, 2025.</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Transition and Separation Agreement by and between Fastly, Inc. and Ronald Kisling, dated August 1, 2025</w:t>
              </w:r>
            </w:hyperlink>
            <w:r>
              <w:rPr>
                <w:rFonts w:ascii="Times New Roman;serif" w:hAnsi="Times New Roman;serif"/>
                <w:b w:val="false"/>
                <w:color w:val="000000"/>
                <w:sz w:val="20"/>
              </w:rPr>
              <w:t xml:space="preserve">.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0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ndmenttotransitionsepar.htm">
              <w:r>
                <w:rPr>
                  <w:rStyle w:val="InternetLink"/>
                  <w:rFonts w:ascii="Times New Roman;serif" w:hAnsi="Times New Roman;serif"/>
                  <w:b w:val="false"/>
                  <w:color w:val="0000FF"/>
                  <w:sz w:val="20"/>
                  <w:u w:val="single"/>
                </w:rPr>
                <w:t>Amendment to Transition and Separation Agreement by and between Fastly, Inc. and Ronald Kisling, dated February 23, 2026.</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sidertradingpolicy-lastu.htm">
              <w:r>
                <w:rPr>
                  <w:rStyle w:val="InternetLink"/>
                  <w:rFonts w:ascii="Times New Roman;serif" w:hAnsi="Times New Roman;serif"/>
                  <w:b w:val="false"/>
                  <w:color w:val="0000FF"/>
                  <w:sz w:val="20"/>
                  <w:u w:val="single"/>
                </w:rPr>
                <w:t>Insider Trading Policy</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Subsidiaries of the Registrant.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2023</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123125x10kex231.htm">
              <w:r>
                <w:rPr>
                  <w:rStyle w:val="InternetLink"/>
                  <w:rFonts w:ascii="Times New Roman;serif" w:hAnsi="Times New Roman;serif"/>
                  <w:b w:val="false"/>
                  <w:color w:val="0000FF"/>
                  <w:sz w:val="20"/>
                  <w:u w:val="single"/>
                </w:rPr>
                <w:t>Consent of Independent Registered Public Accounting Firm.</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(contained on the signature page of this report).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123125x10kex311.htm">
              <w:r>
                <w:rPr>
                  <w:rStyle w:val="InternetLink"/>
                  <w:rFonts w:ascii="Times New Roman;serif" w:hAnsi="Times New Roman;serif"/>
                  <w:b w:val="false"/>
                  <w:color w:val="0000FF"/>
                  <w:sz w:val="20"/>
                  <w:u w:val="single"/>
                </w:rPr>
                <w:t>Certification of the Chief Executive Officer pursuant to Exchange Act Rule 13a-14 as adopted pursuant to Section 302 of the Sarbanes-Oxley Act of 2002.</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123125x10kex312.htm">
              <w:r>
                <w:rPr>
                  <w:rStyle w:val="InternetLink"/>
                  <w:rFonts w:ascii="Times New Roman;serif" w:hAnsi="Times New Roman;serif"/>
                  <w:b w:val="false"/>
                  <w:color w:val="0000FF"/>
                  <w:sz w:val="20"/>
                  <w:u w:val="single"/>
                </w:rPr>
                <w:t>Certification of the Chief Financial Officer pursuant to Exchange Act Rule 13a-14 as adopted pursuant to Section 302 of the Sarbanes-Oxley Act of 2002.</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123125x10kex321.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sly-123125x10kex322.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1707"/>
        <w:gridCol w:w="1588"/>
        <w:gridCol w:w="1594"/>
        <w:gridCol w:w="195"/>
        <w:gridCol w:w="195"/>
        <w:gridCol w:w="196"/>
        <w:gridCol w:w="276"/>
        <w:gridCol w:w="259"/>
        <w:gridCol w:w="199"/>
        <w:gridCol w:w="245"/>
        <w:gridCol w:w="245"/>
        <w:gridCol w:w="246"/>
        <w:gridCol w:w="399"/>
        <w:gridCol w:w="342"/>
        <w:gridCol w:w="296"/>
        <w:gridCol w:w="310"/>
        <w:gridCol w:w="310"/>
        <w:gridCol w:w="450"/>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 </w:t>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10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10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Incentive Compensation Recoupment Policy.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001-38897</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21, 2024</w:t>
            </w:r>
          </w:p>
        </w:tc>
        <w:tc>
          <w:tcPr>
            <w:tcW w:w="107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Schema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Labels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ind w:left="0" w:right="0" w:hanging="720"/>
        <w:jc w:val="left"/>
        <w:rPr/>
      </w:pPr>
      <w:r>
        <w:rPr/>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32.1 and 32.2 hereto are deemed to be furnished with this Annual Report on Form 10-K and will not be deemed to be “filed” for purposes of Section 18 of the Exchange Act,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Fastly, Inc. has duly caused this Annual Report on Form 10-K to be signed on its behalf by the undersigned, thereunto duly authorized. </w:t>
      </w:r>
    </w:p>
    <w:tbl>
      <w:tblPr>
        <w:tblW w:w="8709" w:type="dxa"/>
        <w:jc w:val="righ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34"/>
        <w:gridCol w:w="134"/>
        <w:gridCol w:w="136"/>
        <w:gridCol w:w="1710"/>
        <w:gridCol w:w="1710"/>
        <w:gridCol w:w="24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FASTLY,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Charles Compton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Compton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Richard Wong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Richard Wong</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and Accounting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Charles Compton and Richard Wong,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by the following persons on behalf of the Company and in the capacities and on the dates indicated.</w:t>
      </w:r>
    </w:p>
    <w:tbl>
      <w:tblPr>
        <w:tblW w:w="9561" w:type="dxa"/>
        <w:jc w:val="center"/>
        <w:tblInd w:w="0" w:type="dxa"/>
        <w:tblLayout w:type="fixed"/>
        <w:tblCellMar>
          <w:top w:w="28" w:type="dxa"/>
          <w:left w:w="28" w:type="dxa"/>
          <w:bottom w:w="28" w:type="dxa"/>
          <w:right w:w="28" w:type="dxa"/>
        </w:tblCellMar>
      </w:tblPr>
      <w:tblGrid>
        <w:gridCol w:w="787"/>
        <w:gridCol w:w="692"/>
        <w:gridCol w:w="695"/>
        <w:gridCol w:w="109"/>
        <w:gridCol w:w="109"/>
        <w:gridCol w:w="109"/>
        <w:gridCol w:w="1692"/>
        <w:gridCol w:w="1692"/>
        <w:gridCol w:w="1715"/>
        <w:gridCol w:w="109"/>
        <w:gridCol w:w="109"/>
        <w:gridCol w:w="109"/>
        <w:gridCol w:w="478"/>
        <w:gridCol w:w="478"/>
        <w:gridCol w:w="678"/>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2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Compton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Charles Compton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Richard Wong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Richard Wong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David Hornik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and Chairperson of our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David Hornik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Aida Álvarez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Aida Álvarez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Artur Bergman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Technology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Artur Bergman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Richard Daniels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Richard Daniels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Paula Loop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Paula Loop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Meyers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Meyers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B. Paisley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B. Paisley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Vanessa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Vanessa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erif" w:hAnsi="Times New Roman;serif"/>
          <w:b/>
          <w:color w:val="000000"/>
          <w:sz w:val="22"/>
        </w:rPr>
      </w:pPr>
      <w:r>
        <w:rPr>
          <w:rFonts w:ascii="Times New Roman;serif" w:hAnsi="Times New Roman;serif"/>
          <w:b/>
          <w:color w:val="000000"/>
          <w:sz w:val="22"/>
        </w:rPr>
        <w:t>Exhibit 10.35</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AMENDMENT TO TRANSITION AND SEPARATION AGREEMENT</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This Amendment (the “Amendment”) to the Transition and Separation Agreement (“Agreement”) dated September 15, 2025, is entered into as of February 23, 2026 (the “Effective Date”), by and among Ronald W. Kisling (“Executive”) and Fastly, Inc. (the Company”) (each a “Party” and together the “Parties”), with reference to the following facts:</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1. Amendment to Section 5(b) – Severance Benefits</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In addition to the severance benefit payments outlined in the Agreement, Section 5(b) of the Agreement is hereby amended and restated in its entirety as follows:</w:t>
      </w:r>
    </w:p>
    <w:p>
      <w:pPr>
        <w:pStyle w:val="TextBody"/>
        <w:bidi w:val="0"/>
        <w:spacing w:lineRule="auto" w:line="319" w:before="240" w:after="240"/>
        <w:jc w:val="left"/>
        <w:rPr>
          <w:rFonts w:ascii="Arial;sans-serif" w:hAnsi="Arial;sans-serif"/>
          <w:b w:val="false"/>
          <w:i/>
          <w:color w:val="000000"/>
          <w:sz w:val="22"/>
        </w:rPr>
      </w:pPr>
      <w:r>
        <w:rPr>
          <w:rFonts w:ascii="Arial;sans-serif" w:hAnsi="Arial;sans-serif"/>
          <w:b w:val="false"/>
          <w:i/>
          <w:color w:val="000000"/>
          <w:sz w:val="22"/>
        </w:rPr>
        <w:t>(b) Continued Benefits</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The Company will pay Executive a cash payment in the total amount of $11,107.62 (the “Payment”), subject to applicable withholding and deductions.</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An additional amount intended to cover Executive’s estimated federal, state, and local income and employment taxes attributable to the Company’s payment of COBRA premiums pursuant to Section 5(b) of the Agreement (the “COBRA Tax Adjustment”).</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The Parties acknowledge and agree that the COBRA Tax Adjustment: Is based on a good-faith estimate of Executive’s highest marginal combined tax rate; Is intended to approximate Executive’s anticipated tax liability associated with the Company-paid COBRA premiums; Shall not be subject to recalculation, true-up, or further adjustment; and Fully satisfies any obligation of the Company to provide a gross-up or tax reimbursement in respect of COBRA premium payments. The payment shall be paid in a lump sum no later than the second regular payroll date following the Release Effective Date (as defined in the Release).</w:t>
      </w:r>
    </w:p>
    <w:p>
      <w:pPr>
        <w:pStyle w:val="TextBody"/>
        <w:bidi w:val="0"/>
        <w:spacing w:lineRule="auto" w:line="319" w:before="360" w:after="80"/>
        <w:jc w:val="left"/>
        <w:rPr>
          <w:rFonts w:ascii="Arial;sans-serif" w:hAnsi="Arial;sans-serif"/>
          <w:b w:val="false"/>
          <w:color w:val="000000"/>
          <w:sz w:val="22"/>
        </w:rPr>
      </w:pPr>
      <w:r>
        <w:rPr>
          <w:rFonts w:ascii="Arial;sans-serif" w:hAnsi="Arial;sans-serif"/>
          <w:b w:val="false"/>
          <w:color w:val="000000"/>
          <w:sz w:val="22"/>
        </w:rPr>
        <w:t>2. No Separate COBRA Gross-Up</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For the avoidance of doubt, Executive shall not be entitled to any additional tax gross-up, reimbursement, or make-whole payment in connection with COBRA premium payments beyond the Severance amount as amended herein.</w:t>
      </w:r>
    </w:p>
    <w:p>
      <w:pPr>
        <w:pStyle w:val="TextBody"/>
        <w:bidi w:val="0"/>
        <w:spacing w:lineRule="auto" w:line="319" w:before="360" w:after="80"/>
        <w:jc w:val="left"/>
        <w:rPr>
          <w:rFonts w:ascii="Arial;sans-serif" w:hAnsi="Arial;sans-serif"/>
          <w:b w:val="false"/>
          <w:color w:val="000000"/>
          <w:sz w:val="22"/>
        </w:rPr>
      </w:pPr>
      <w:r>
        <w:rPr>
          <w:rFonts w:ascii="Arial;sans-serif" w:hAnsi="Arial;sans-serif"/>
          <w:b w:val="false"/>
          <w:color w:val="000000"/>
          <w:sz w:val="22"/>
        </w:rPr>
        <w:t>3. Section 409A</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The Parties intend that the Severance, including the COBRA Tax Adjustment, qualify as a short-term deferral or otherwise comply with Section 409A of the Internal Revenue Code of 1986, as amended (“Section 409A”), and the Agreement shall be interpreted accordingly.</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If Executive is a “specified employee” within the meaning of Section 409A at the time of separation from service, any portion of the Severance that constitutes nonqualified deferred compensation and is not exempt from Section 409A shall be delayed for six (6) months following separation to the extent required by Section 409A.</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5"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1</w:t>
                      </w:r>
                    </w:p>
                  </w:txbxContent>
                </v:textbox>
                <w10:wrap type="none"/>
              </v:rect>
            </w:pict>
          </mc:Fallback>
        </mc:AlternateConten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 xml:space="preserve">Other than addressed above, all other terms of the Agreement shall remain in full force. </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 xml:space="preserve">IN WITNESS WHEREOF, the undersigned have caused this Amendment to the Transition and Separation Agreement to be duly executed and delivered as of the date indicated next to their respective signatures below. </w:t>
      </w:r>
    </w:p>
    <w:p>
      <w:pPr>
        <w:pStyle w:val="TextBody"/>
        <w:bidi w:val="0"/>
        <w:spacing w:before="240" w:after="240"/>
        <w:jc w:val="left"/>
        <w:rPr/>
      </w:pPr>
      <w:r>
        <w:rPr/>
      </w:r>
    </w:p>
    <w:p>
      <w:pPr>
        <w:pStyle w:val="TextBody"/>
        <w:bidi w:val="0"/>
        <w:spacing w:lineRule="auto" w:line="319" w:before="240" w:after="240"/>
        <w:jc w:val="left"/>
        <w:rPr>
          <w:rFonts w:ascii="Arial;sans-serif" w:hAnsi="Arial;sans-serif"/>
          <w:b/>
          <w:color w:val="000000"/>
          <w:sz w:val="22"/>
        </w:rPr>
      </w:pPr>
      <w:r>
        <w:rPr>
          <w:rFonts w:ascii="Arial;sans-serif" w:hAnsi="Arial;sans-serif"/>
          <w:b/>
          <w:color w:val="000000"/>
          <w:sz w:val="22"/>
        </w:rPr>
        <w:t>Fastly, Inc.</w:t>
      </w:r>
    </w:p>
    <w:p>
      <w:pPr>
        <w:pStyle w:val="TextBody"/>
        <w:bidi w:val="0"/>
        <w:spacing w:lineRule="auto" w:line="319" w:before="240" w:after="240"/>
        <w:jc w:val="left"/>
        <w:rPr/>
      </w:pPr>
      <w:r>
        <w:rPr>
          <w:rFonts w:ascii="Arial;sans-serif" w:hAnsi="Arial;sans-serif"/>
          <w:b w:val="false"/>
          <w:color w:val="000000"/>
          <w:sz w:val="22"/>
        </w:rPr>
        <w:t xml:space="preserve">By: </w:t>
      </w:r>
      <w:r>
        <w:rPr>
          <w:rFonts w:ascii="Arial;sans-serif" w:hAnsi="Arial;sans-serif"/>
          <w:b w:val="false"/>
          <w:color w:val="000000"/>
          <w:sz w:val="22"/>
          <w:u w:val="single"/>
        </w:rPr>
        <w:t>/s/ Puja Jaspal</w:t>
      </w:r>
      <w:r>
        <w:rPr>
          <w:rFonts w:ascii="Arial;sans-serif" w:hAnsi="Arial;sans-serif"/>
          <w:b w:val="false"/>
          <w:color w:val="000000"/>
          <w:sz w:val="22"/>
        </w:rPr>
        <w:br/>
        <w:t>Name: Puja Jaspal</w:t>
        <w:br/>
        <w:t>Title: Chief People Officer</w:t>
        <w:br/>
        <w:t>Date: 2/23/2026</w:t>
      </w:r>
    </w:p>
    <w:p>
      <w:pPr>
        <w:pStyle w:val="TextBody"/>
        <w:bidi w:val="0"/>
        <w:spacing w:before="0" w:after="0"/>
        <w:jc w:val="left"/>
        <w:rPr/>
      </w:pPr>
      <w:r>
        <w:rPr/>
      </w:r>
    </w:p>
    <w:p>
      <w:pPr>
        <w:pStyle w:val="TextBody"/>
        <w:bidi w:val="0"/>
        <w:spacing w:lineRule="auto" w:line="319" w:before="240" w:after="240"/>
        <w:jc w:val="left"/>
        <w:rPr>
          <w:rFonts w:ascii="Arial;sans-serif" w:hAnsi="Arial;sans-serif"/>
          <w:b/>
          <w:color w:val="000000"/>
          <w:sz w:val="22"/>
        </w:rPr>
      </w:pPr>
      <w:r>
        <w:rPr>
          <w:rFonts w:ascii="Arial;sans-serif" w:hAnsi="Arial;sans-serif"/>
          <w:b/>
          <w:color w:val="000000"/>
          <w:sz w:val="22"/>
        </w:rPr>
        <w:t>EXECUTIVE</w:t>
      </w:r>
    </w:p>
    <w:p>
      <w:pPr>
        <w:pStyle w:val="TextBody"/>
        <w:bidi w:val="0"/>
        <w:spacing w:lineRule="auto" w:line="319" w:before="240" w:after="240"/>
        <w:jc w:val="left"/>
        <w:rPr/>
      </w:pPr>
      <w:r>
        <w:rPr>
          <w:rFonts w:ascii="Arial;sans-serif" w:hAnsi="Arial;sans-serif"/>
          <w:b w:val="false"/>
          <w:color w:val="000000"/>
          <w:sz w:val="22"/>
        </w:rPr>
        <w:t xml:space="preserve">By: </w:t>
      </w:r>
      <w:r>
        <w:rPr>
          <w:rFonts w:ascii="Arial;sans-serif" w:hAnsi="Arial;sans-serif"/>
          <w:b w:val="false"/>
          <w:color w:val="000000"/>
          <w:sz w:val="22"/>
          <w:u w:val="single"/>
        </w:rPr>
        <w:t>/s/ Ronald W. Kisling</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Ronald W. Kisling</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Date: 2/23/2026</w:t>
      </w:r>
    </w:p>
    <w:p>
      <w:pPr>
        <w:pStyle w:val="TextBody"/>
        <w:bidi w:val="0"/>
        <w:spacing w:before="0" w:after="283"/>
        <w:jc w:val="left"/>
        <w:rPr/>
      </w:pPr>
      <w:r>
        <w:rPr/>
      </w:r>
    </w:p>
    <w:p>
      <w:pPr>
        <w:pStyle w:val="TextBody"/>
        <w:bidi w:val="0"/>
        <w:spacing w:lineRule="atLeast" w:line="162" w:before="0" w:after="0"/>
        <w:jc w:val="left"/>
        <w:rPr>
          <w:caps w:val="false"/>
          <w:smallCaps w:val="false"/>
          <w:strike w:val="false"/>
          <w:dstrike w:val="false"/>
          <w:u w:val="none"/>
          <w:effect w:val="none"/>
          <w:shd w:fill="E4E4E4" w:val="clear"/>
        </w:rPr>
      </w:pPr>
      <w:bookmarkStart w:id="2" w:name="insidertradingpolicy-lastu.htm"/>
      <w:bookmarkStart w:id="3" w:name="ksinsidertradingpolicylastu"/>
      <w:bookmarkEnd w:id="2"/>
      <w:bookmarkEnd w:id="3"/>
      <w:r>
        <w:rPr>
          <w:caps w:val="false"/>
          <w:smallCaps w:val="false"/>
          <w:strike w:val="false"/>
          <w:dstrike w:val="false"/>
          <w:u w:val="none"/>
          <w:effect w:val="none"/>
          <w:shd w:fill="E4E4E4" w:val="clear"/>
        </w:rPr>
        <w:t xml:space="preserve">  </w:t>
      </w:r>
      <w:r>
        <w:rPr>
          <w:rFonts w:ascii="Times New Roman;serif" w:hAnsi="Times New Roman;serif"/>
          <w:b/>
          <w:i w:val="false"/>
          <w:caps w:val="false"/>
          <w:smallCaps w:val="false"/>
          <w:strike w:val="false"/>
          <w:dstrike w:val="false"/>
          <w:sz w:val="24"/>
          <w:u w:val="none"/>
          <w:effect w:val="none"/>
          <w:shd w:fill="E4E4E4" w:val="clear"/>
        </w:rPr>
        <w:t>Exhibit 19.1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6"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5" w:before="0" w:after="0"/>
        <w:jc w:val="left"/>
        <w:rPr>
          <w:rFonts w:ascii="Times New Roman;serif" w:hAnsi="Times New Roman;serif"/>
          <w:b/>
          <w:i w:val="false"/>
          <w:caps w:val="false"/>
          <w:smallCaps w:val="false"/>
          <w:strike w:val="false"/>
          <w:dstrike w:val="false"/>
          <w:sz w:val="48"/>
          <w:u w:val="none"/>
          <w:effect w:val="none"/>
          <w:shd w:fill="E4E4E4" w:val="clear"/>
        </w:rPr>
      </w:pPr>
      <w:r>
        <w:rPr>
          <w:rFonts w:ascii="Times New Roman;serif" w:hAnsi="Times New Roman;serif"/>
          <w:b/>
          <w:i w:val="false"/>
          <w:caps w:val="false"/>
          <w:smallCaps w:val="false"/>
          <w:strike w:val="false"/>
          <w:dstrike w:val="false"/>
          <w:sz w:val="48"/>
          <w:u w:val="none"/>
          <w:effect w:val="none"/>
          <w:shd w:fill="E4E4E4" w:val="clear"/>
        </w:rPr>
        <w:t>Insider Trading Policy (POL 260)</w:t>
      </w:r>
    </w:p>
    <w:p>
      <w:pPr>
        <w:pStyle w:val="TextBody"/>
        <w:bidi w:val="0"/>
        <w:spacing w:lineRule="atLeast" w:line="244" w:before="0" w:after="0"/>
        <w:jc w:val="left"/>
        <w:rPr>
          <w:rFonts w:ascii="Times New Roman;serif" w:hAnsi="Times New Roman;serif"/>
          <w:b/>
          <w:i w:val="false"/>
          <w:caps w:val="false"/>
          <w:smallCaps w:val="false"/>
          <w:sz w:val="36"/>
          <w:u w:val="single"/>
          <w:shd w:fill="E4E4E4" w:val="clear"/>
        </w:rPr>
      </w:pPr>
      <w:r>
        <w:rPr>
          <w:rFonts w:ascii="Times New Roman;serif" w:hAnsi="Times New Roman;serif"/>
          <w:b/>
          <w:i w:val="false"/>
          <w:caps w:val="false"/>
          <w:smallCaps w:val="false"/>
          <w:sz w:val="36"/>
          <w:u w:val="single"/>
          <w:shd w:fill="E4E4E4" w:val="clear"/>
        </w:rPr>
        <w:t>Insider Trading Policy - Principles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1.Fastly personnel are responsible for understanding the obligations that come with having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access to material nonpublic information and wanting to transact in Fastly securities.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2.Fastly personnel who are aware of material nonpublic information relating to Fastly may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not engage in transactions in Fastly’s securities except as permitted by this policy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applicable law.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3.Fastly personnel who are aware of material nonpublic information relating to Fastly may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not recommend the purchase or sale of any Fastly’s securities.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4.Fastly personnel may not disclose material nonpublic information to persons within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Fastly whose jobs do not require them to have that information.</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5.Fastly personnel may not disclose material nonpublic information outside of Fastly unless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disclosure is made in accordance with a specific Fastly policy that authorizes such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disclosure.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6.Unless authorized by a Fastly policy and as required by their role at the company, Fastly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personnel may not assist anyone engaged in transactions in Fastly securities,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recommendation to buy or sell Fastly securities, or the disclosure of material nonpublic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information.</w:t>
      </w:r>
    </w:p>
    <w:p>
      <w:pPr>
        <w:pStyle w:val="TextBody"/>
        <w:bidi w:val="0"/>
        <w:spacing w:lineRule="atLeast" w:line="162" w:before="0" w:after="0"/>
        <w:jc w:val="left"/>
        <w:rPr>
          <w:rFonts w:ascii="Times New Roman;serif" w:hAnsi="Times New Roman;serif"/>
          <w:b/>
          <w:i w:val="false"/>
          <w:caps w:val="false"/>
          <w:smallCaps w:val="false"/>
          <w:sz w:val="24"/>
          <w:u w:val="single"/>
          <w:shd w:fill="E4E4E4" w:val="clear"/>
        </w:rPr>
      </w:pPr>
      <w:r>
        <w:rPr>
          <w:rFonts w:ascii="Times New Roman;serif" w:hAnsi="Times New Roman;serif"/>
          <w:b/>
          <w:i w:val="false"/>
          <w:caps w:val="false"/>
          <w:smallCaps w:val="false"/>
          <w:sz w:val="24"/>
          <w:u w:val="single"/>
          <w:shd w:fill="E4E4E4" w:val="clear"/>
        </w:rPr>
        <w:t>Insider Trading Policy - Q&amp;A</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Q1: Who should I contact if I have questions about our insider trading policy or specific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trades?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Q2: Why have an insider trading policy?</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Q3: Who is subject to this policy?</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Q4: Whose responsibility is it to comply with this policy?</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Q5: What transactions are subject to this policy?</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Q6: What is insider trading?</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Q7: Why is insider trading illegal?</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Q8: What is material nonpublic information?</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Q9: Who can be guilty of insider trading?</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Q10: What if I am aware of material nonpublic information when I trade, but the reason I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trade is because of something else, like to pay medical bills?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Q11: Do the US securities laws take into account mitigating circumstances, like avoiding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 loss or planning a transaction before I had material nonpublic information?</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Q12: What if I don’t buy or sell anything, but I tell someone else material nonpublic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information and they buy or sell?</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Q13: What if I don’t tell someone inside information itself; I just tell them whether they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should buy or sell?</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Q14: Does this policy or the insider trading laws apply to me if I work outside the US?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Q15: Am I restricted from trading securities of any companies other than Fastly, for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example a customer or competitor of Fastly?</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Q16: If I do not trade Fastly securities when I have material nonpublic information, and I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don’t “tip” other people, I am in the clear, right?</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Q17: What are examples of material information?</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Q18: When is information considered public?</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Q19: So when can I buy or sell my Fastly securities?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Q20: What is a quarterly trading blackout periods?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Q21: What are Fastly’s quarterly trading blackout period?</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Q22: Can Fastly’s quarterly trading blackout periods change?</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Q23: If I have an open order to buy or sell Fastly securities on the date a blackout period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commences, can I leave it to my broker to cancel the open order and avoid executing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trade?</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Q24: What if I think I have a special circumstance that would require me to trade during a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blackout period?</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Q25: Are there other circumstances which could prevent me from trading?</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Q26: Am I subject to trading blackout periods if I am no longer an employee 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consultant of Fastly?</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Q27: How long does this policy apply to me after I end my relationship to Fastly?</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Q28: Are there any exceptions to this policy?</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Q29: Can I exercise options granted to me under Fastly’s equity compensation plans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during a trading blackout period or when I possess material nonpublic information?</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Q30: Are mutual fund shares holding Fastly common stock subject to the trading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blackout periods?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Q31: What tax withholding transactions are not restricted by this policy?</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Q32: What ESPP transactions are not restricted by this policy?</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Q33: What is a “routine trading program” or “10b5-1 plan”?</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Q34: What are the rules that apply to 10b5-1 Trading Programs?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Q35: Can I gift or donate stock while I possess material nonpublic information or during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 trading blackout period?</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Q37: Are inherently speculative transactions allowed?</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Q38: Can I purchase Fastly securities on margin or hold them in a margin account?</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Q39: Can I pledge my Fastly shares as collateral for a personal loan?</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Q40: What is problematic about margin accounts and pledged securities?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Q41: Can I hedge my ownership position in Fastly?</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Q42: Why are hedging transactions prohibited?</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Q43: Can I trade in ETFs (Exchange Traded Funds)?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Q44: Am I allowed to trade derivative securities of Fastly’s common stock?</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Q45: What are derivative securities?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Q46: What is short selling?</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Q47: Why does Fastly prohibit trading in derivative securities and short selling?</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Q48: What if I purchased publicly traded options or other derivative securities before I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became a Fastly employee or consultant?</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Q49: What are the concerns about standing and limit orders?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Q50: Who is required to pre-clear and provide advance notice of transactions?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Q51: Who is required to provide advance notice of stock option exercises?</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Q52: What additional requirements apply to individuals subject to Section 16?</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Q53: What happens if I violate our insider trading policy?</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Q54: What are the sanctions if I trade on material nonpublic information or tip off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someone else?</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Q55: What is “loss avoided”?</w:t>
      </w:r>
    </w:p>
    <w:p>
      <w:pPr>
        <w:pStyle w:val="TextBody"/>
        <w:bidi w:val="0"/>
        <w:spacing w:lineRule="atLeast" w:line="166"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Q56: Do changes to this policy require approval by Fastly’s Board?</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Q1: Who should I contact if I have questions about our insider trading policy or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specific trades?</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A1: </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You should contact the team at [redacted].</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Q2: Why have an insider trading policy?</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A2: During the course of your relationship with Fastly, Inc. (“</w:t>
      </w:r>
      <w:r>
        <w:rPr>
          <w:rFonts w:ascii="Times New Roman;serif" w:hAnsi="Times New Roman;serif"/>
          <w:b/>
          <w:i/>
          <w:strike w:val="false"/>
          <w:dstrike w:val="false"/>
          <w:sz w:val="24"/>
          <w:u w:val="none"/>
          <w:effect w:val="none"/>
          <w:shd w:fill="E4E4E4" w:val="clear"/>
        </w:rPr>
        <w:t>Fastly</w:t>
      </w:r>
      <w:r>
        <w:rPr>
          <w:rFonts w:ascii="Arial;sans-serif" w:hAnsi="Arial;sans-serif"/>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 xml:space="preserve">), you may receive material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information that is not yet publicly available (“</w:t>
      </w:r>
      <w:r>
        <w:rPr>
          <w:rFonts w:ascii="Times New Roman;serif" w:hAnsi="Times New Roman;serif"/>
          <w:b/>
          <w:i/>
          <w:strike w:val="false"/>
          <w:dstrike w:val="false"/>
          <w:sz w:val="24"/>
          <w:u w:val="none"/>
          <w:effect w:val="none"/>
          <w:shd w:fill="E4E4E4" w:val="clear"/>
        </w:rPr>
        <w:t>material nonpublic information</w:t>
      </w:r>
      <w:r>
        <w:rPr>
          <w:rFonts w:ascii="Arial;sans-serif" w:hAnsi="Arial;sans-serif"/>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 xml:space="preserve">) about Fastly 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other publicly traded companies that Fastly has business relationships with. Material nonpublic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information may give you, or someone you pass that information on to, a leg up over others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when deciding whether to buy, sell, or otherwise transact in Fastly’s securities or the securities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another publicly traded company. This policy sets forth guidelines with respect to transactions in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Fastly securities by our employees, directors, and consultants who are advised that they are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subject to this policy (“</w:t>
      </w:r>
      <w:r>
        <w:rPr>
          <w:rFonts w:ascii="Times New Roman;serif" w:hAnsi="Times New Roman;serif"/>
          <w:b/>
          <w:i/>
          <w:strike w:val="false"/>
          <w:dstrike w:val="false"/>
          <w:sz w:val="24"/>
          <w:u w:val="none"/>
          <w:effect w:val="none"/>
          <w:shd w:fill="E4E4E4" w:val="clear"/>
        </w:rPr>
        <w:t>designated consultants</w:t>
      </w:r>
      <w:r>
        <w:rPr>
          <w:rFonts w:ascii="Arial;sans-serif" w:hAnsi="Arial;sans-serif"/>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 and the other persons subject to this policy.</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Q3: Who is subject to this policy?</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A3: This policy applies to you and all other employees, directors, and designated consultants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Fastly and its subsidiaries. This policy also applies to members of your immediate family with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whom you share a household, other persons with whom you share a household, persons who are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your economic dependents, and any other individuals or entities whose transactions in securities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you influence, direct, or control (including, e.g., a venture or other investment fund, </w:t>
      </w:r>
      <w:r>
        <w:rPr>
          <w:rFonts w:ascii="Times New Roman;serif" w:hAnsi="Times New Roman;serif"/>
          <w:b w:val="false"/>
          <w:i w:val="false"/>
          <w:caps w:val="false"/>
          <w:smallCaps w:val="false"/>
          <w:sz w:val="24"/>
          <w:u w:val="single"/>
          <w:shd w:fill="E4E4E4" w:val="clear"/>
        </w:rPr>
        <w:t>if</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you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influence, direct, or control transactions by the fund). The foregoing persons who are deemed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subject to this policy are referred to in this policy as “</w:t>
      </w:r>
      <w:r>
        <w:rPr>
          <w:rFonts w:ascii="Times New Roman;serif" w:hAnsi="Times New Roman;serif"/>
          <w:b/>
          <w:i/>
          <w:strike w:val="false"/>
          <w:dstrike w:val="false"/>
          <w:sz w:val="24"/>
          <w:u w:val="none"/>
          <w:effect w:val="none"/>
          <w:shd w:fill="E4E4E4" w:val="clear"/>
        </w:rPr>
        <w:t>Related Persons</w:t>
      </w:r>
      <w:r>
        <w:rPr>
          <w:rFonts w:ascii="Times New Roman;serif" w:hAnsi="Times New Roman;serif"/>
          <w:b w:val="false"/>
          <w:i w:val="false"/>
          <w:caps w:val="false"/>
          <w:smallCaps w:val="false"/>
          <w:strike w:val="false"/>
          <w:dstrike w:val="false"/>
          <w:sz w:val="24"/>
          <w:u w:val="none"/>
          <w:effect w:val="none"/>
          <w:shd w:fill="E4E4E4" w:val="clear"/>
        </w:rPr>
        <w:t xml:space="preserve">.” You are responsible for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making sure that your Related Persons comply with this policy.</w:t>
      </w:r>
    </w:p>
    <w:p>
      <w:pPr>
        <w:pStyle w:val="TextBody"/>
        <w:bidi w:val="0"/>
        <w:spacing w:lineRule="atLeast" w:line="167"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Even if someone is not a Related Person as defined above (</w:t>
      </w:r>
      <w:r>
        <w:rPr>
          <w:rFonts w:ascii="Times New Roman;serif" w:hAnsi="Times New Roman;serif"/>
          <w:b w:val="false"/>
          <w:i/>
          <w:strike w:val="false"/>
          <w:dstrike w:val="false"/>
          <w:sz w:val="24"/>
          <w:u w:val="none"/>
          <w:effect w:val="none"/>
          <w:shd w:fill="E4E4E4" w:val="clear"/>
        </w:rPr>
        <w:t xml:space="preserve">e.g., </w:t>
      </w:r>
      <w:r>
        <w:rPr>
          <w:rFonts w:ascii="Times New Roman;serif" w:hAnsi="Times New Roman;serif"/>
          <w:b w:val="false"/>
          <w:i w:val="false"/>
          <w:caps w:val="false"/>
          <w:smallCaps w:val="false"/>
          <w:strike w:val="false"/>
          <w:dstrike w:val="false"/>
          <w:sz w:val="24"/>
          <w:u w:val="none"/>
          <w:effect w:val="none"/>
          <w:shd w:fill="E4E4E4" w:val="clear"/>
        </w:rPr>
        <w:t xml:space="preserve">a family member with whom you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do not share a household), trading by that person may be prohibited. Please review “</w:t>
      </w:r>
      <w:r>
        <w:rPr>
          <w:rFonts w:ascii="Times New Roman;serif" w:hAnsi="Times New Roman;serif"/>
          <w:b/>
          <w:i w:val="false"/>
          <w:caps w:val="false"/>
          <w:smallCaps w:val="false"/>
          <w:strike w:val="false"/>
          <w:dstrike w:val="false"/>
          <w:sz w:val="24"/>
          <w:u w:val="none"/>
          <w:effect w:val="none"/>
          <w:shd w:fill="E4E4E4" w:val="clear"/>
        </w:rPr>
        <w:t>Q12:</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i w:val="false"/>
          <w:caps w:val="false"/>
          <w:smallCaps w:val="false"/>
          <w:strike w:val="false"/>
          <w:dstrike w:val="false"/>
          <w:sz w:val="24"/>
          <w:u w:val="none"/>
          <w:effect w:val="none"/>
          <w:shd w:fill="E4E4E4" w:val="clear"/>
        </w:rPr>
        <w:t xml:space="preserve">What </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 xml:space="preserve">if I don’t buy or sell anything, but I tell someone else material nonpublic information and </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they buy or sell?”.</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Q4: Whose responsibility is it to comply with this policy?</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A4: Persons subject to this policy have ethical and legal obligations to maintain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confidentiality of information about Fastly and to not engage in transactions in Fastly’s securities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while aware of material nonpublic information. Each individual is responsible for making sure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that he or she complies with this policy, and that any family member, household member, 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other person or entity whose transactions are subject to this policy also comply with this policy.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 all cases, the responsibility for determining whether an individual is aware of material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nonpublic information rests with that individual, and any action on the part of Fastly or any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employee or director of Fastly pursuant to this policy (or otherwise) does not in any way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constitute legal advice or insulate an individual from liability under applicable securities laws.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You could be subject to severe legal penalties and disciplinary action by Fastly for any conduct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prohibited by this policy or applicable securities laws.</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Q5: What transactions are subject to this policy?</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A5: This policy applies to all transactions in securities issued by Fastly, as well as derivative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securities that are not issued by Fastly, such as exchange-traded put or call options or swaps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relating to Fastly’s securities. Accordingly, for purposes of this policy, the terms “</w:t>
      </w:r>
      <w:r>
        <w:rPr>
          <w:rFonts w:ascii="Times New Roman;serif" w:hAnsi="Times New Roman;serif"/>
          <w:b/>
          <w:i/>
          <w:strike w:val="false"/>
          <w:dstrike w:val="false"/>
          <w:sz w:val="24"/>
          <w:u w:val="none"/>
          <w:effect w:val="none"/>
          <w:shd w:fill="E4E4E4" w:val="clear"/>
        </w:rPr>
        <w:t>trade</w:t>
      </w:r>
      <w:r>
        <w:rPr>
          <w:rFonts w:ascii="Times New Roman;serif" w:hAnsi="Times New Roman;serif"/>
          <w:b w:val="false"/>
          <w:i w:val="false"/>
          <w:caps w:val="false"/>
          <w:smallCaps w:val="false"/>
          <w:strike w:val="false"/>
          <w:dstrike w:val="false"/>
          <w:sz w:val="24"/>
          <w:u w:val="none"/>
          <w:effect w:val="none"/>
          <w:shd w:fill="E4E4E4" w:val="clear"/>
        </w:rPr>
        <w:t xml:space="preserve">,” </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i/>
          <w:strike w:val="false"/>
          <w:dstrike w:val="false"/>
          <w:sz w:val="24"/>
          <w:u w:val="none"/>
          <w:effect w:val="none"/>
          <w:shd w:fill="E4E4E4" w:val="clear"/>
        </w:rPr>
        <w:t>trading</w:t>
      </w:r>
      <w:r>
        <w:rPr>
          <w:rFonts w:ascii="Times New Roman;serif" w:hAnsi="Times New Roman;serif"/>
          <w:b w:val="false"/>
          <w:i w:val="false"/>
          <w:caps w:val="false"/>
          <w:smallCaps w:val="false"/>
          <w:strike w:val="false"/>
          <w:dstrike w:val="false"/>
          <w:sz w:val="24"/>
          <w:u w:val="none"/>
          <w:effect w:val="none"/>
          <w:shd w:fill="E4E4E4" w:val="clear"/>
        </w:rPr>
        <w:t>,” and “</w:t>
      </w:r>
      <w:r>
        <w:rPr>
          <w:rFonts w:ascii="Times New Roman;serif" w:hAnsi="Times New Roman;serif"/>
          <w:b/>
          <w:i/>
          <w:strike w:val="false"/>
          <w:dstrike w:val="false"/>
          <w:sz w:val="24"/>
          <w:u w:val="none"/>
          <w:effect w:val="none"/>
          <w:shd w:fill="E4E4E4" w:val="clear"/>
        </w:rPr>
        <w:t>transactions</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include not only purchases and sales of Fastly’s common stock in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public market but also any other purchases, sales, transfers, gifts, or other acquisitions and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dispositions of common or preferred equity, options, warrants, and other securities (including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debt securities) and other arrangements or transactions that affect economic exposure to changes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in the prices of these securities.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Note that this policy may also apply to the transactions of other publicly traded companies that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Fastly has business relationships with, if you have material nonpublic information about those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companies. Please review “Q15: Am I restricted from trading securities of any companies other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than Fastly, for example a customer or competitor of Fastly?”.</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Q6: What is insider trading?</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A6:</w:t>
      </w:r>
      <w:r>
        <w:rPr>
          <w:rFonts w:ascii="Arial;sans-serif" w:hAnsi="Arial;sans-serif"/>
          <w:caps w:val="false"/>
          <w:smallCaps w:val="false"/>
          <w:strike w:val="false"/>
          <w:dstrike w:val="false"/>
          <w:u w:val="none"/>
          <w:effect w:val="none"/>
          <w:shd w:fill="E4E4E4" w:val="clear"/>
        </w:rPr>
        <w:t> </w:t>
      </w:r>
      <w:r>
        <w:rPr>
          <w:rFonts w:ascii="Times New Roman;serif" w:hAnsi="Times New Roman;serif"/>
          <w:b w:val="false"/>
          <w:i w:val="false"/>
          <w:caps w:val="false"/>
          <w:smallCaps w:val="false"/>
          <w:strike w:val="false"/>
          <w:dstrike w:val="false"/>
          <w:sz w:val="24"/>
          <w:u w:val="none"/>
          <w:effect w:val="none"/>
          <w:shd w:fill="E4E4E4" w:val="clear"/>
        </w:rPr>
        <w:t xml:space="preserve">Generally speaking, insider trading is the buying or selling of stocks, bonds, futures, or other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securities by someone who possesses or is otherwise aware of material nonpublic information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about the securities or the issuer of the securities. Insider trading also includes trading in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derivatives (such as put or call options) where the price is linked to the underlying price of a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company’s stock. It does not matter whether the decision to buy or sell was influenced by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material nonpublic information, how many shares you buy or sell, or whether it has an effect on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stock price. Bottom line: If you are aware of material nonpublic information about Fastly 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another publicly traded company that Fastly has business relationships with and you trade in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Fastly’s or such other company’s securities, you have broken the law.</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Q7: Why is insider trading illegal?</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A7:  If company insiders are able to use their confidential knowledge to their financial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advantage, other investors would not have confidence in the fairness and integrity of the market.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This ensures that there is an even playing field by requiring those who are aware of material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nonpublic information to refrain from trading.</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Q8: What is material nonpublic information?</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A8:   Information is “material” if a reasonable investor would consider it important in making an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investment decision, or if a reasonable investor would view it as altering the total mix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information available. In short, material information includes any information that could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reasonably affect the price of our stock. This could mean many things: financial results, potential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acquisitions, or major contracts to name just a few. If the information makes you want to trade, 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would probably have the same effect on others. Keep in mind that both positive and negative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information can be material. Information is nonpublic if it has not yet been publicly disseminated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within the meaning of our insider trading policy.</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Q9: Who can be guilty of insider trading?</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A9:  Anyone who buys or sells a security while aware of material nonpublic information, 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provides material nonpublic information that someone else uses to buy or sell a security, may be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guilty of insider trading. This applies to all individuals, including officers, directors, and others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who don’t even work at Fastly. Regardless of who you are, if you know something material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about the value of a security that not everyone knows and you trade (or intentionally 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unintentionally convince someone else to trade) in that security, you may be found guilty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insider trading.</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Q10: What if I am aware of material nonpublic information when I trade, but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the reason I trade is because of something else, like to pay medical bills?</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A10: The prohibition against insider trading is absolute. It applies </w:t>
      </w:r>
      <w:r>
        <w:rPr>
          <w:rFonts w:ascii="Times New Roman;serif" w:hAnsi="Times New Roman;serif"/>
          <w:b/>
          <w:i/>
          <w:strike w:val="false"/>
          <w:dstrike w:val="false"/>
          <w:sz w:val="24"/>
          <w:u w:val="none"/>
          <w:effect w:val="none"/>
          <w:shd w:fill="E4E4E4" w:val="clear"/>
        </w:rPr>
        <w:t>even if</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the decision to trade is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not based on such material nonpublic information.  It also applies to transactions that may be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necessary or justifiable for independent reasons (such as the need to raise money for an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emergency expenditure) and also to very small transactions.  All that matters is whether you are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aware of </w:t>
      </w:r>
      <w:r>
        <w:rPr>
          <w:rFonts w:ascii="Times New Roman;serif" w:hAnsi="Times New Roman;serif"/>
          <w:b/>
          <w:i w:val="false"/>
          <w:caps w:val="false"/>
          <w:smallCaps w:val="false"/>
          <w:strike w:val="false"/>
          <w:dstrike w:val="false"/>
          <w:sz w:val="24"/>
          <w:u w:val="none"/>
          <w:effect w:val="none"/>
          <w:shd w:fill="E4E4E4" w:val="clear"/>
        </w:rPr>
        <w:t>any</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material nonpublic information relating to Fastly at the time of the transaction.</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Q11: Do the US securities laws take into account mitigating circumstances, like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avoiding a loss or planning a transaction before I had material nonpublic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information?</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A11: No. The U.S. federal securities laws do not recognize any mitigating circumstances to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insider trading. In addition, even the appearance of an improper transaction must be avoided to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preserve Fastly’s reputation for adhering to the highest standards of conduct. In some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circumstances, you may need to forgo a planned transaction even if you planned it before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becoming aware of the material nonpublic information. So, even if you believe you may suffer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an economic loss or sacrifice an anticipated profit by waiting to trade, you must wait, unless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trade is under a validly adopted 10b5-1 plan.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Q12: What if I don’t buy or sell anything, but I tell someone else material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nonpublic information and they buy or sell?</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A12:  That is called “tipping.” You are the “tipper” and the other person is called the “tippee.” If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tippee buys or sells based on that material nonpublic information, both you and the “tippee”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could be found guilty of insider trading. In fact, if you tell family members who tell others and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those people then trade on the information, those family members and the “tippee” might be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found guilty of insider trading too. To prevent this, you may not discuss material nonpublic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information about the company with anyone outside Fastly, including spouses, family members,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friends, or business associates (unless the disclosure is made in accordance with Fastly’s policies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regarding the protection or authorized external disclosure of information regarding Fastly). This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includes anonymous discussions on the internet about Fastly or companies with which Fastly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does business.</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You can be held liable for your own transactions, as well as the transactions by a tippee and even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transactions of a tippee’s tippee. </w:t>
      </w:r>
      <w:r>
        <w:rPr>
          <w:rFonts w:ascii="Times New Roman;serif" w:hAnsi="Times New Roman;serif"/>
          <w:b/>
          <w:i/>
          <w:sz w:val="24"/>
          <w:u w:val="single"/>
          <w:shd w:fill="E4E4E4" w:val="clear"/>
        </w:rPr>
        <w:t xml:space="preserve">For these and other reasons, no employee, director, or </w:t>
      </w:r>
    </w:p>
    <w:p>
      <w:pPr>
        <w:pStyle w:val="TextBody"/>
        <w:bidi w:val="0"/>
        <w:spacing w:lineRule="atLeast" w:line="162" w:before="0" w:after="0"/>
        <w:jc w:val="left"/>
        <w:rPr>
          <w:rFonts w:ascii="Times New Roman;serif" w:hAnsi="Times New Roman;serif"/>
          <w:b/>
          <w:i/>
          <w:sz w:val="24"/>
          <w:u w:val="single"/>
          <w:shd w:fill="E4E4E4" w:val="clear"/>
        </w:rPr>
      </w:pPr>
      <w:r>
        <w:rPr>
          <w:rFonts w:ascii="Times New Roman;serif" w:hAnsi="Times New Roman;serif"/>
          <w:b/>
          <w:i/>
          <w:sz w:val="24"/>
          <w:u w:val="single"/>
          <w:shd w:fill="E4E4E4" w:val="clear"/>
        </w:rPr>
        <w:t xml:space="preserve">designated consultant of Fastly (or any other person subject to this policy) may either (a) </w:t>
      </w:r>
    </w:p>
    <w:p>
      <w:pPr>
        <w:pStyle w:val="TextBody"/>
        <w:bidi w:val="0"/>
        <w:spacing w:lineRule="atLeast" w:line="162" w:before="0" w:after="0"/>
        <w:jc w:val="left"/>
        <w:rPr>
          <w:rFonts w:ascii="Times New Roman;serif" w:hAnsi="Times New Roman;serif"/>
          <w:b/>
          <w:i/>
          <w:sz w:val="24"/>
          <w:u w:val="single"/>
          <w:shd w:fill="E4E4E4" w:val="clear"/>
        </w:rPr>
      </w:pPr>
      <w:r>
        <w:rPr>
          <w:rFonts w:ascii="Times New Roman;serif" w:hAnsi="Times New Roman;serif"/>
          <w:b/>
          <w:i/>
          <w:sz w:val="24"/>
          <w:u w:val="single"/>
          <w:shd w:fill="E4E4E4" w:val="clear"/>
        </w:rPr>
        <w:t xml:space="preserve">recommend to another person that they buy, hold, or sell Fastly’s securities at any time or (b) </w:t>
      </w:r>
    </w:p>
    <w:p>
      <w:pPr>
        <w:pStyle w:val="TextBody"/>
        <w:bidi w:val="0"/>
        <w:spacing w:lineRule="atLeast" w:line="162" w:before="0" w:after="0"/>
        <w:jc w:val="left"/>
        <w:rPr>
          <w:rFonts w:ascii="Times New Roman;serif" w:hAnsi="Times New Roman;serif"/>
          <w:b/>
          <w:i/>
          <w:sz w:val="24"/>
          <w:u w:val="single"/>
          <w:shd w:fill="E4E4E4" w:val="clear"/>
        </w:rPr>
      </w:pPr>
      <w:r>
        <w:rPr>
          <w:rFonts w:ascii="Times New Roman;serif" w:hAnsi="Times New Roman;serif"/>
          <w:b/>
          <w:i/>
          <w:sz w:val="24"/>
          <w:u w:val="single"/>
          <w:shd w:fill="E4E4E4" w:val="clear"/>
        </w:rPr>
        <w:t xml:space="preserve">disclose material nonpublic information to persons within Fastly whose jobs do not require </w:t>
      </w:r>
    </w:p>
    <w:p>
      <w:pPr>
        <w:pStyle w:val="TextBody"/>
        <w:bidi w:val="0"/>
        <w:spacing w:lineRule="atLeast" w:line="162" w:before="0" w:after="0"/>
        <w:jc w:val="left"/>
        <w:rPr>
          <w:rFonts w:ascii="Times New Roman;serif" w:hAnsi="Times New Roman;serif"/>
          <w:b/>
          <w:i/>
          <w:sz w:val="24"/>
          <w:u w:val="single"/>
          <w:shd w:fill="E4E4E4" w:val="clear"/>
        </w:rPr>
      </w:pPr>
      <w:r>
        <w:rPr>
          <w:rFonts w:ascii="Times New Roman;serif" w:hAnsi="Times New Roman;serif"/>
          <w:b/>
          <w:i/>
          <w:sz w:val="24"/>
          <w:u w:val="single"/>
          <w:shd w:fill="E4E4E4" w:val="clear"/>
        </w:rPr>
        <w:t xml:space="preserve">them to have that material nonpublic information, or outside of Fastly to other persons (unless </w:t>
      </w:r>
    </w:p>
    <w:p>
      <w:pPr>
        <w:pStyle w:val="TextBody"/>
        <w:bidi w:val="0"/>
        <w:spacing w:lineRule="atLeast" w:line="162" w:before="0" w:after="0"/>
        <w:jc w:val="left"/>
        <w:rPr>
          <w:rFonts w:ascii="Times New Roman;serif" w:hAnsi="Times New Roman;serif"/>
          <w:b/>
          <w:i/>
          <w:sz w:val="24"/>
          <w:u w:val="single"/>
          <w:shd w:fill="E4E4E4" w:val="clear"/>
        </w:rPr>
      </w:pPr>
      <w:r>
        <w:rPr>
          <w:rFonts w:ascii="Times New Roman;serif" w:hAnsi="Times New Roman;serif"/>
          <w:b/>
          <w:i/>
          <w:sz w:val="24"/>
          <w:u w:val="single"/>
          <w:shd w:fill="E4E4E4" w:val="clear"/>
        </w:rPr>
        <w:t xml:space="preserve">the disclosure is made in accordance with Fastly’s policies regarding the protection or </w:t>
      </w:r>
    </w:p>
    <w:p>
      <w:pPr>
        <w:pStyle w:val="TextBody"/>
        <w:bidi w:val="0"/>
        <w:spacing w:lineRule="atLeast" w:line="162" w:before="0" w:after="0"/>
        <w:jc w:val="left"/>
        <w:rPr>
          <w:rFonts w:ascii="Times New Roman;serif" w:hAnsi="Times New Roman;serif"/>
          <w:b/>
          <w:i/>
          <w:sz w:val="24"/>
          <w:u w:val="single"/>
          <w:shd w:fill="E4E4E4" w:val="clear"/>
        </w:rPr>
      </w:pPr>
      <w:r>
        <w:rPr>
          <w:rFonts w:ascii="Times New Roman;serif" w:hAnsi="Times New Roman;serif"/>
          <w:b/>
          <w:i/>
          <w:sz w:val="24"/>
          <w:u w:val="single"/>
          <w:shd w:fill="E4E4E4" w:val="clear"/>
        </w:rPr>
        <w:t>authorized external disclosure of information regarding Fastly).</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Q13: What if I don’t tell someone inside information itself; I just tell them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whether they should buy or sell?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A13:  That is still tipping, and you can still be responsible for insider trading. You may never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recommend to another person that they buy, hold or sell Fastly’s common stock or any derivative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security related to Fastly’s common stock, since that could be a form of tipping.</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Q14: Does this policy or the insider trading laws apply to me if I work outside the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US?</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A14: </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Yes.</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The same rules apply to U.S. and foreign employees and consultants. The Securities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and Exchange Commission (the U.S. government agency in charge of investor protection, the </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i/>
          <w:strike w:val="false"/>
          <w:dstrike w:val="false"/>
          <w:sz w:val="24"/>
          <w:u w:val="none"/>
          <w:effect w:val="none"/>
          <w:shd w:fill="E4E4E4" w:val="clear"/>
        </w:rPr>
        <w:t>SEC</w:t>
      </w:r>
      <w:r>
        <w:rPr>
          <w:rFonts w:ascii="Arial;sans-serif" w:hAnsi="Arial;sans-serif"/>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 xml:space="preserve">), and the Financial Industry Regulatory Authority (a private regulator that oversees U.S.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securities exchanges) routinely investigate trading in a company’s securities conducted by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individuals and firms based abroad. In addition, as a Fastly director, employee, or consultant, our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policies apply to you no matter where you work.</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Q15: Am I restricted from trading securities of any companies other than Fastly,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for example a customer or competitor of Fastly?</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A15:  Possibly. U.S. insider trading laws generally restrict everyone aware of material nonpublic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information about a company from trading in that company’s securities, regardless of whether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person is directly connected with that company, except in limited circumstances. Therefore,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if you have material nonpublic information about another company, you should not trade in that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company’s securities. You should be particularly conscious of this restriction if, through your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position at Fastly, you sometimes obtain sensitive, material information about other companies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and their business dealings with Fastly.</w:t>
      </w:r>
    </w:p>
    <w:p>
      <w:pPr>
        <w:pStyle w:val="TextBody"/>
        <w:bidi w:val="0"/>
        <w:spacing w:lineRule="atLeast" w:line="162" w:before="0" w:after="0"/>
        <w:jc w:val="left"/>
        <w:rPr>
          <w:rFonts w:ascii="Times New Roman;serif" w:hAnsi="Times New Roman;serif"/>
          <w:b/>
          <w:i/>
          <w:sz w:val="24"/>
          <w:u w:val="single"/>
          <w:shd w:fill="E4E4E4" w:val="clear"/>
        </w:rPr>
      </w:pPr>
      <w:r>
        <w:rPr>
          <w:rFonts w:ascii="Times New Roman;serif" w:hAnsi="Times New Roman;serif"/>
          <w:b/>
          <w:i/>
          <w:sz w:val="24"/>
          <w:u w:val="single"/>
          <w:shd w:fill="E4E4E4" w:val="clear"/>
        </w:rPr>
        <w:t xml:space="preserve">In addition, it is the policy of Fastly that no employee, director, or designated consultant of </w:t>
      </w:r>
    </w:p>
    <w:p>
      <w:pPr>
        <w:pStyle w:val="TextBody"/>
        <w:bidi w:val="0"/>
        <w:spacing w:lineRule="atLeast" w:line="162" w:before="0" w:after="0"/>
        <w:jc w:val="left"/>
        <w:rPr>
          <w:rFonts w:ascii="Times New Roman;serif" w:hAnsi="Times New Roman;serif"/>
          <w:b/>
          <w:i/>
          <w:sz w:val="24"/>
          <w:u w:val="single"/>
          <w:shd w:fill="E4E4E4" w:val="clear"/>
        </w:rPr>
      </w:pPr>
      <w:r>
        <w:rPr>
          <w:rFonts w:ascii="Times New Roman;serif" w:hAnsi="Times New Roman;serif"/>
          <w:b/>
          <w:i/>
          <w:sz w:val="24"/>
          <w:u w:val="single"/>
          <w:shd w:fill="E4E4E4" w:val="clear"/>
        </w:rPr>
        <w:t xml:space="preserve">Fastly (or any other person subject to this policy) who, in the course of working for Fastly, </w:t>
      </w:r>
    </w:p>
    <w:p>
      <w:pPr>
        <w:pStyle w:val="TextBody"/>
        <w:bidi w:val="0"/>
        <w:spacing w:lineRule="atLeast" w:line="162" w:before="0" w:after="0"/>
        <w:jc w:val="left"/>
        <w:rPr>
          <w:rFonts w:ascii="Times New Roman;serif" w:hAnsi="Times New Roman;serif"/>
          <w:b/>
          <w:i/>
          <w:sz w:val="24"/>
          <w:u w:val="single"/>
          <w:shd w:fill="E4E4E4" w:val="clear"/>
        </w:rPr>
      </w:pPr>
      <w:r>
        <w:rPr>
          <w:rFonts w:ascii="Times New Roman;serif" w:hAnsi="Times New Roman;serif"/>
          <w:b/>
          <w:i/>
          <w:sz w:val="24"/>
          <w:u w:val="single"/>
          <w:shd w:fill="E4E4E4" w:val="clear"/>
        </w:rPr>
        <w:t xml:space="preserve">learns of or is otherwise aware of material nonpublic information about another publicly </w:t>
      </w:r>
    </w:p>
    <w:p>
      <w:pPr>
        <w:pStyle w:val="TextBody"/>
        <w:bidi w:val="0"/>
        <w:spacing w:lineRule="atLeast" w:line="162" w:before="0" w:after="0"/>
        <w:jc w:val="left"/>
        <w:rPr>
          <w:rFonts w:ascii="Times New Roman;serif" w:hAnsi="Times New Roman;serif"/>
          <w:b/>
          <w:i/>
          <w:sz w:val="24"/>
          <w:u w:val="single"/>
          <w:shd w:fill="E4E4E4" w:val="clear"/>
        </w:rPr>
      </w:pPr>
      <w:r>
        <w:rPr>
          <w:rFonts w:ascii="Times New Roman;serif" w:hAnsi="Times New Roman;serif"/>
          <w:b/>
          <w:i/>
          <w:sz w:val="24"/>
          <w:u w:val="single"/>
          <w:shd w:fill="E4E4E4" w:val="clear"/>
        </w:rPr>
        <w:t xml:space="preserve">traded company with which Fastly does business, including a customer or partner of Fastly, </w:t>
      </w:r>
    </w:p>
    <w:p>
      <w:pPr>
        <w:pStyle w:val="TextBody"/>
        <w:bidi w:val="0"/>
        <w:spacing w:lineRule="atLeast" w:line="162" w:before="0" w:after="0"/>
        <w:jc w:val="left"/>
        <w:rPr>
          <w:rFonts w:ascii="Times New Roman;serif" w:hAnsi="Times New Roman;serif"/>
          <w:b/>
          <w:i/>
          <w:sz w:val="24"/>
          <w:u w:val="single"/>
          <w:shd w:fill="E4E4E4" w:val="clear"/>
        </w:rPr>
      </w:pPr>
      <w:r>
        <w:rPr>
          <w:rFonts w:ascii="Times New Roman;serif" w:hAnsi="Times New Roman;serif"/>
          <w:b/>
          <w:i/>
          <w:sz w:val="24"/>
          <w:u w:val="single"/>
          <w:shd w:fill="E4E4E4" w:val="clear"/>
        </w:rPr>
        <w:t xml:space="preserve">may trade in that company’s securities until the information becomes public or is no longer </w:t>
      </w:r>
    </w:p>
    <w:p>
      <w:pPr>
        <w:pStyle w:val="TextBody"/>
        <w:bidi w:val="0"/>
        <w:spacing w:lineRule="atLeast" w:line="162" w:before="0" w:after="0"/>
        <w:jc w:val="left"/>
        <w:rPr>
          <w:rFonts w:ascii="Times New Roman;serif" w:hAnsi="Times New Roman;serif"/>
          <w:b/>
          <w:i/>
          <w:sz w:val="24"/>
          <w:u w:val="single"/>
          <w:shd w:fill="E4E4E4" w:val="clear"/>
        </w:rPr>
      </w:pPr>
      <w:r>
        <w:rPr>
          <w:rFonts w:ascii="Times New Roman;serif" w:hAnsi="Times New Roman;serif"/>
          <w:b/>
          <w:i/>
          <w:sz w:val="24"/>
          <w:u w:val="single"/>
          <w:shd w:fill="E4E4E4" w:val="clear"/>
        </w:rPr>
        <w:t xml:space="preserve">material.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Q16: If I do not trade Fastly securities when I have material nonpublic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information, and I don’t “tip” other people, I am in the clear, right?</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A16:</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Not necessarily. Even if you do not violate U.S. law, you may still violate our policies. For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example, employees and consultants may violate our policies by breaching their confidentiality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obligations or by recommending Fastly stock as an investment, even if these actions do not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violate securities laws. Our policies are stricter than the law requires so that we and our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employees and consultants can avoid even the appearance of wrongdoing. Therefore, please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review the entire policy carefully.</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Q17: What are examples of material information?</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A17: There is no bright-line standard for assessing materiality; rather, materiality is based on an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assessment of all of the facts and circumstances, and is often evaluated by relevant enforcement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authorities with the benefit of hindsight. Depending on the specific details, the following items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may be considered material nonpublic information until publicly disclosed within the meaning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this policy. There may be other types of information that would qualify as material information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as well; use this list merely as a non-exhaustive guide:</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financial results, financial condition, projections or forecasts;</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known or anticipated, but unannounced, earnings or losses;</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new products, features, or processes;</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acquisitions or dispositions of assets, divisions, or companies;</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public or private sales of debt or equity securities;</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stock splits, dividends, or changes in dividend policy; </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the establishment of a repurchase program for Fastly’s securities;</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management or control changes;</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employee layoffs; </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 xml:space="preserve">a disruption in Fastly’s operations or breach or unauthorized access of its property 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assets, including its facilities and information technology infrastructure; </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tender offers or proxy fights;</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accounting restatements;</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litigation or settlements;</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impending bankruptcy;</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gain or loss of a contract with customers or suppliers; </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significant product errors or security incidents; and</w:t>
      </w:r>
    </w:p>
    <w:p>
      <w:pPr>
        <w:pStyle w:val="TextBody"/>
        <w:bidi w:val="0"/>
        <w:spacing w:lineRule="atLeast" w:line="166"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pricing changes or discount policies.</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Q18: When is information considered public?</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A18: The prohibition on trading when you have material nonpublic information lifts once that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information becomes publicly disseminated. But for information to be considered publicly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disseminated, it must be widely disseminated through a press release, a filing with the SEC 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other widely disseminated announcement. Once information is publicly disseminated, it is still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necessary to afford the investing public with sufficient time to absorb the information. Generally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speaking, information will be considered publicly disseminated for purposes of this policy only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after one full trading day has elapsed since the information was publicly disclosed. For example,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if we announce material nonpublic information before trading begins on Wednesday, then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information would be considered to be publicly disseminated on Thursday; if we announce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material nonpublic information after trading ends on Wednesday, then information would be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considered to be publicly disseminated on Friday. Depending on the particular circumstances,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Fastly may determine that a longer or shorter waiting period should apply to the release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specific material nonpublic information. Any disclosure of nonpublic information, material 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otherwise, must be done in accordance with Fastly’s Corporate Disclosure Policy (POL 250).</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Q19: So when can I buy or sell my Fastly securities?</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A19: </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If you are aware of material nonpublic information, you may not buy or sell our common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stock until one full trading day has elapsed since the information was publicly disclosed. At that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point, the information is considered publicly disseminated for purposes of our insider trading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policy. For example, if we announce material nonpublic information before trading begins on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Wednesday, then you may execute a transaction in our securities on Thursday; if we announce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material nonpublic information after trading ends on Wednesday, then you may execute a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transaction in our securities on Friday. </w:t>
      </w:r>
      <w:r>
        <w:rPr>
          <w:rFonts w:ascii="Times New Roman;serif" w:hAnsi="Times New Roman;serif"/>
          <w:b/>
          <w:i w:val="false"/>
          <w:caps w:val="false"/>
          <w:smallCaps w:val="false"/>
          <w:strike w:val="false"/>
          <w:dstrike w:val="false"/>
          <w:sz w:val="24"/>
          <w:u w:val="none"/>
          <w:effect w:val="none"/>
          <w:shd w:fill="E4E4E4" w:val="clear"/>
        </w:rPr>
        <w:t xml:space="preserve">Even if you are not aware of any material nonpublic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i w:val="false"/>
          <w:caps w:val="false"/>
          <w:smallCaps w:val="false"/>
          <w:strike w:val="false"/>
          <w:dstrike w:val="false"/>
          <w:sz w:val="24"/>
          <w:u w:val="none"/>
          <w:effect w:val="none"/>
          <w:shd w:fill="E4E4E4" w:val="clear"/>
        </w:rPr>
        <w:t>information, you may not trade our common stock during any trading “blackout” period</w:t>
      </w:r>
      <w:r>
        <w:rPr>
          <w:rFonts w:ascii="Times New Roman;serif" w:hAnsi="Times New Roman;serif"/>
          <w:b w:val="false"/>
          <w:i w:val="false"/>
          <w:caps w:val="false"/>
          <w:smallCaps w:val="false"/>
          <w:strike w:val="false"/>
          <w:dstrike w:val="false"/>
          <w:sz w:val="24"/>
          <w:u w:val="none"/>
          <w:effect w:val="none"/>
          <w:shd w:fill="E4E4E4" w:val="clear"/>
        </w:rPr>
        <w:t xml:space="preserv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Our insider trading policy describes the quarterly trading blackout period, and additional event-</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driven trading blackout periods may be announced by email.</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Q20: What is a quarterly trading blackout periods?</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A20:</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Because our workplace culture tends to be open, odds are that the vast majority of our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employees, directors, and designated consultants will possess material nonpublic information at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certain points during the year. To minimize even the appearance of insider trading among our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employees, directors, and designated consultants we have established “quarterly trading blackout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periods” during which Fastly employees, directors, designated consultants, and their Related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Persons—regardless of whether they are aware of material nonpublic information or not—may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not conduct any trades in Fastly securities. That means that, except as described in this policy, </w:t>
      </w:r>
      <w:r>
        <w:rPr>
          <w:rFonts w:ascii="Times New Roman;serif" w:hAnsi="Times New Roman;serif"/>
          <w:b w:val="false"/>
          <w:i w:val="false"/>
          <w:caps w:val="false"/>
          <w:smallCaps w:val="false"/>
          <w:sz w:val="24"/>
          <w:u w:val="single"/>
          <w:shd w:fill="E4E4E4" w:val="clear"/>
        </w:rPr>
        <w:t>all</w:t>
      </w:r>
      <w:r>
        <w:rPr>
          <w:rFonts w:ascii="Arial;sans-serif" w:hAnsi="Arial;sans-serif"/>
          <w:caps w:val="false"/>
          <w:smallCaps w:val="false"/>
          <w:strike w:val="false"/>
          <w:dstrike w:val="false"/>
          <w:u w:val="none"/>
          <w:effect w:val="none"/>
          <w:shd w:fill="E4E4E4" w:val="clear"/>
        </w:rPr>
        <w:t xml:space="preserv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Fastly employees, directors, designated consultants, and their Related Persons will be able to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trade in Fastly securities </w:t>
      </w:r>
      <w:r>
        <w:rPr>
          <w:rFonts w:ascii="Times New Roman;serif" w:hAnsi="Times New Roman;serif"/>
          <w:b w:val="false"/>
          <w:i w:val="false"/>
          <w:caps w:val="false"/>
          <w:smallCaps w:val="false"/>
          <w:sz w:val="24"/>
          <w:u w:val="single"/>
          <w:shd w:fill="E4E4E4" w:val="clear"/>
        </w:rPr>
        <w:t>only</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during limited open trading window periods that generally will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begin after one full trading day has elapsed since the public dissemination of Fastly’s annual 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quarterly financial results and end at the beginning of the next quarterly trading blackout period.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Of course, even during an open trading window period, you may not (unless an exception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applies) conduct any trades in Fastly securities if you are otherwise in possession of material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nonpublic information.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Q21: What are Fastly’s quarterly trading blackout period?</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A21: Each “</w:t>
      </w:r>
      <w:r>
        <w:rPr>
          <w:rFonts w:ascii="Times New Roman;serif" w:hAnsi="Times New Roman;serif"/>
          <w:b/>
          <w:i/>
          <w:strike w:val="false"/>
          <w:dstrike w:val="false"/>
          <w:sz w:val="24"/>
          <w:u w:val="none"/>
          <w:effect w:val="none"/>
          <w:shd w:fill="E4E4E4" w:val="clear"/>
        </w:rPr>
        <w:t>quarterly trading blackout period</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will generally begin at the end of the day that is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the 7</w:t>
      </w:r>
      <w:r>
        <w:rPr>
          <w:rFonts w:ascii="Times New Roman;serif" w:hAnsi="Times New Roman;serif"/>
          <w:b w:val="false"/>
          <w:i w:val="false"/>
          <w:caps w:val="false"/>
          <w:smallCaps w:val="false"/>
          <w:strike w:val="false"/>
          <w:dstrike w:val="false"/>
          <w:sz w:val="16"/>
          <w:u w:val="none"/>
          <w:effect w:val="none"/>
          <w:shd w:fill="E4E4E4" w:val="clear"/>
        </w:rPr>
        <w:t>th</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day of the third month of each fiscal quarter and end after one full trading day has elapsed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since the public dissemination of Fastly’s financial results for that quarter.</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Q22: Can Fastly’s quarterly trading blackout periods change?</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A22: The quarterly trading blackout period may commerce early or may be extended if, in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judgment of the Chief Executive Officer, Chief Financial Officer, or Chief Legal Officer or other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member of the Fastly Legal team as may be designated by the CEO from time to time, there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exists undisclosed information that would make trades by Fastly employees, directors, and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designated consultants inappropriate. It is important to note that the fact that the quarterly trading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blackout period has commenced early or has been extended should be considered material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nonpublic information that should not be communicated to any other person.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Q23: If I have an open order to buy or sell Fastly securities on the date a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blackout period commences, can I leave it to my broker to cancel the open order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and avoid executing the trade?</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A23:</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No, unless it is in connection with a 10b5-1 Trading Plan (as defined below). If you have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any open orders when a blackout period commences other than in connection with a 10b5-1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Trading Plan, it is your responsibility to cancel these orders with your broker. If you have an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open order and it executes after a blackout period commences not in connection with a 10b5-1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Trading Plan, you will have violated our insider trading policy and may also have violated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insider trading laws.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Q24: What if I think I have a special circumstance that would require me to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trade during a blackout period?</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A24: A Fastly employee, director, or designated consultant who believes that special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circumstances require him or her to trade during a quarterly trading blackout period should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consult the Office of the General Counsel. Permission to trade during a quarterly trading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blackout period will be granted only where the circumstances are extenuating, the Chief Legal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Officer or other member of the Fastly Legal team as may be designated by the CEO from time to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time concludes that the person is not in fact aware of any material nonpublic information relating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to Fastly or its securities, and there appears to be no significant risk that the trade may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subsequently be questioned.</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Q25: Are there other circumstances which could prevent me from trading?</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A25: Yes. From time to time, an event may occur that is material to Fastly and is known by only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 few directors, officers, and/or employees. So long as the event remains material and nonpublic,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persons designated by the Chief Executive Officer, Chief Financial Officer, or Chief Legal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Officer or other member of the Fastly Legal team as may be designated by the CEO from time to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time may not trade in Fastly’s securities.  In that situation, Fastly will notify the designated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individuals that neither they nor their Related Persons may trade in the Fastly’s securities.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existence of an event-specific trading blackout should also be considered material nonpublic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information and should not be communicated to any other person.  Even if you have not been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designated as a person who should not trade due to an event-specific trading blackout, you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should not trade while aware of material nonpublic information.  Exceptions will not be granted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during an event-specific trading blackout.</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Q26: Am I subject to trading blackout periods if I am no longer an employee or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consultant of Fastly?</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A26:</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It depends. If your employment with Fastly ends during a trading blackout period, you will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be subject to the remainder of that trading blackout period. If your employment with Fastly ends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on a day that the trading window is open, you will not be subject to the next trading blackout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period. However, even if you are not subject to our trading blackout period after you leave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Fastly, you should not trade in Fastly securities if you are aware of material nonpublic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information. That restriction stays with you as long as the information you possess is material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and not publicly disseminated within the meaning of our insider trading policy.</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Q27: How long does this policy apply to me after I end my relationship to Fastly?</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A27: This policy continues to apply to your transactions in Fastly’s securities or the securities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other public companies engaged in business transactions with Fastly even after your relationship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with Fastly has ended. If you are aware of material nonpublic information when your relationship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with Fastly ends, you may not trade Fastly’s securities or the securities of other applicable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companies until the material nonpublic information has been publicly disseminated or is no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longer material.  Further, if you leave Fastly during a trading blackout period, then you may not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trade Fastly’s securities or the securities of other applicable companies until the trading blackout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period has ended.</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Q28: Are there any exceptions to this policy?</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A28: There are no exceptions to this policy, except as specifically noted below.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Q29: Can I exercise options granted to me under Fastly’s equity compensation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plans during a trading blackout period or when I possess material nonpublic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information?</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A29:  Yes. You may exercise the options for cash  and receive shares, or, where permitted under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option grant notice and agreement, by a net exercise transaction with the Company or by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delivery to Fastly of already-owned Fastly stock, but you may not sell the shares (even to pay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exercise price or any taxes due) during a trading blackout period or any time that you are aware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of material nonpublic information.  To be clear, you may </w:t>
      </w:r>
      <w:r>
        <w:rPr>
          <w:rFonts w:ascii="Times New Roman;serif" w:hAnsi="Times New Roman;serif"/>
          <w:b w:val="false"/>
          <w:i w:val="false"/>
          <w:caps w:val="false"/>
          <w:smallCaps w:val="false"/>
          <w:sz w:val="24"/>
          <w:u w:val="single"/>
          <w:shd w:fill="E4E4E4" w:val="clear"/>
        </w:rPr>
        <w:t>not</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effect a broker-assisted cashless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exercise (these cashless exercise transactions include a market sale) during a trading blackout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period or any time that you are aware of material nonpublic information.</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Q30: Are mutual fund shares holding Fastly common stock subject to the trading </w:t>
      </w:r>
    </w:p>
    <w:p>
      <w:pPr>
        <w:pStyle w:val="TextBody"/>
        <w:bidi w:val="0"/>
        <w:spacing w:lineRule="atLeast" w:line="183" w:before="0" w:after="0"/>
        <w:jc w:val="left"/>
        <w:rPr>
          <w:rFonts w:ascii="Arial;sans-serif" w:hAnsi="Arial;sans-serif"/>
          <w:shd w:fill="E4E4E4" w:val="clear"/>
        </w:rPr>
      </w:pPr>
      <w:r>
        <w:rPr>
          <w:rFonts w:ascii="Times New Roman;serif" w:hAnsi="Times New Roman;serif"/>
          <w:b/>
          <w:i w:val="false"/>
          <w:caps w:val="false"/>
          <w:smallCaps w:val="false"/>
          <w:strike w:val="false"/>
          <w:dstrike w:val="false"/>
          <w:sz w:val="27"/>
          <w:u w:val="none"/>
          <w:effect w:val="none"/>
          <w:shd w:fill="E4E4E4" w:val="clear"/>
        </w:rPr>
        <w:t>blackout periods?</w:t>
      </w:r>
      <w:r>
        <w:rPr>
          <w:rFonts w:ascii="Arial;sans-serif" w:hAnsi="Arial;sans-serif"/>
          <w:strike w:val="false"/>
          <w:dstrike w:val="false"/>
          <w:u w:val="none"/>
          <w:effect w:val="none"/>
          <w:shd w:fill="E4E4E4" w:val="clear"/>
        </w:rPr>
        <w:t xml:space="preserve">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A30:</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No. You may trade in mutual funds holding Fastly common stock at any time.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Q31: What tax withholding transactions are not restricted by this policy?</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A31: This policy does not apply to the surrender of shares directly to Fastly to satisfy tax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withholding obligations as a result of the issuance of shares upon vesting or exercise of restricted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stock units, options, or other equity awards granted under Fastly’s equity compensation plans. In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addition, the automatic sale of Fastly’s common stock either through your 10b5-1 Plan, E*Trade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or such other firm as Fastly may designate solely in an amount necessary to cover taxes due as a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result of the vesting of restricted stock units (RSUs) or restricted stock awards shall be exempt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from this policy. The remainder of Fastly common stock issued to you as a result of the vesting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of RSUs or restricted stock awards are subject to all provisions of this policy. With respect to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stock options, any market sale of the stock received upon exercise of stock options remains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subject to all provisions of this policy whether or not for the purpose of generating the cash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needed to pay the exercise price or pay taxes.</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Q32: What ESPP transactions are not restricted by this policy?</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A32: This policy does not apply to the purchase of stock by employees under Fastly’s Employee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Stock Purchase Plan (“</w:t>
      </w:r>
      <w:r>
        <w:rPr>
          <w:rFonts w:ascii="Times New Roman;serif" w:hAnsi="Times New Roman;serif"/>
          <w:b/>
          <w:i/>
          <w:strike w:val="false"/>
          <w:dstrike w:val="false"/>
          <w:sz w:val="24"/>
          <w:u w:val="none"/>
          <w:effect w:val="none"/>
          <w:shd w:fill="E4E4E4" w:val="clear"/>
        </w:rPr>
        <w:t>ESPP</w:t>
      </w:r>
      <w:r>
        <w:rPr>
          <w:rFonts w:ascii="Arial;sans-serif" w:hAnsi="Arial;sans-serif"/>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 xml:space="preserve">) on periodic designated dates in accordance with the ESPP.  This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policy does, however, apply to any sale of stock acquired pursuant to the ESPP.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Q33: What is a “routine trading program” or “10b5-1 plan”?</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A33: A routine trading program, also known as a 10b5-1 plan, allows you to set up a highly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structured program with your stock broker where you specify ahead of time the date, price, and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amount of securities to be traded. If you wish to create a 10b5-1 plan, please review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Automated 10b5-1 page of the Equity Wiki and the Automated 10b5-1 Plan guidelines. If you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are a Section 16 Officer, please contact the Corp-Law team for assistance setting up your plan at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[redacted].</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Q34: What are the rules that apply to 10b5-1 Trading Programs?</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A34: Under Rule 10b5-1 of the Securities Exchange Act of 1934, as amended (“</w:t>
      </w:r>
      <w:r>
        <w:rPr>
          <w:rFonts w:ascii="Times New Roman;serif" w:hAnsi="Times New Roman;serif"/>
          <w:b/>
          <w:i/>
          <w:strike w:val="false"/>
          <w:dstrike w:val="false"/>
          <w:sz w:val="24"/>
          <w:u w:val="none"/>
          <w:effect w:val="none"/>
          <w:shd w:fill="E4E4E4" w:val="clear"/>
        </w:rPr>
        <w:t>Exchange Act</w:t>
      </w:r>
      <w:r>
        <w:rPr>
          <w:rFonts w:ascii="Arial;sans-serif" w:hAnsi="Arial;sans-serif"/>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 xml:space="preserv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employees, directors, and consultants may establish a trading plan under which a broker is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instructed to buy and sell Fastly securities based on predetermined criteria (a “</w:t>
      </w:r>
      <w:r>
        <w:rPr>
          <w:rFonts w:ascii="Times New Roman;serif" w:hAnsi="Times New Roman;serif"/>
          <w:b/>
          <w:i/>
          <w:strike w:val="false"/>
          <w:dstrike w:val="false"/>
          <w:sz w:val="24"/>
          <w:u w:val="none"/>
          <w:effect w:val="none"/>
          <w:shd w:fill="E4E4E4" w:val="clear"/>
        </w:rPr>
        <w:t>Trading Plan</w:t>
      </w:r>
      <w:r>
        <w:rPr>
          <w:rFonts w:ascii="Arial;sans-serif" w:hAnsi="Arial;sans-serif"/>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 xml:space="preserv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So long as a Trading Plan is properly established, purchases and sales of Fastly securities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pursuant to that Trading Plan are not subject to this policy. To be properly established, an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employee’s, director’s, or consultant’s Trading Plan must be established in compliance with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requirements of Rule 10b5-1 of the Exchange Act and any applicable 10b5-1 trading plan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guidelines of Fastly at a time when they were unaware of any material nonpublic information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relating to Fastly and when Fastly was not otherwise in a trading blackout period.  Moreover, all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Trading Plans must be reviewed and approved by Fastly before being established to confirm that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the Trading Plan complies with all pertinent company policies and applicable securities laws.</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Q35: Can I gift or donate stock while I possess material nonpublic information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or during a trading blackout period?</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A35:</w:t>
      </w:r>
      <w:r>
        <w:rPr>
          <w:rFonts w:ascii="Arial;sans-serif" w:hAnsi="Arial;sans-serif"/>
          <w:caps w:val="false"/>
          <w:smallCaps w:val="false"/>
          <w:strike w:val="false"/>
          <w:dstrike w:val="false"/>
          <w:u w:val="none"/>
          <w:effect w:val="none"/>
          <w:shd w:fill="E4E4E4" w:val="clear"/>
        </w:rPr>
        <w:t>  </w:t>
      </w:r>
      <w:r>
        <w:rPr>
          <w:rFonts w:ascii="Times New Roman;serif" w:hAnsi="Times New Roman;serif"/>
          <w:b w:val="false"/>
          <w:i w:val="false"/>
          <w:caps w:val="false"/>
          <w:smallCaps w:val="false"/>
          <w:strike w:val="false"/>
          <w:dstrike w:val="false"/>
          <w:sz w:val="24"/>
          <w:u w:val="none"/>
          <w:effect w:val="none"/>
          <w:shd w:fill="E4E4E4" w:val="clear"/>
        </w:rPr>
        <w:t xml:space="preserve">No. A gift of stock could subject the donor to insider trading liability if the donor was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aware of material nonpublic information at the time of the gift and knew or was reckless in not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knowing that the donee would sell the securities prior to the disclosure of such information. You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may only make bona fide gifts or donations of our Class A common stock when you are not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aware of material information and during an open trading window.</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Q36: Are purchases of Fastly stock in a 401(k) plan allowed by this policy?</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A36: This policy does not apply to purchases of Fastly’s securities in Fastly’s 401(k) plan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resulting from your periodic contribution of money to the plan pursuant to your payroll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deduction election. This policy does apply, however, to certain elections you may make under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401(k) plan, including: (a) an election to increase or decrease the percentage of your periodic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contributions that will be allocated to the Fastly stock fund; (b) an election to make an intra-plan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transfer of an existing account balance into or out of the Fastly stock fund; (c) an election to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borrow money against your 401(k) plan account if the loan will result in a liquidation of some 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all of your Fastly stock fund balance; and (d) an election to pre-pay a plan loan if the  pre-</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payment will result in allocation of loan proceeds to the Fastly stock fund.</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Q37: Are inherently speculative transactions allowed?</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A37:</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No Fastly employee, director, or designated consultant may engage in short sales,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transactions in put options, call options, or other derivative securities on an exchange or in any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other organized market, or in any other inherently speculative transactions with respect to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Fastly’s stock.</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Q38: Can I purchase Fastly securities on margin or hold them in a margin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account?</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A38:  No. “Purchasing on margin” is the use of borrowed money from a brokerage firm to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purchase our securities. Holding our securities in a margin account includes holding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securities in an account in which the shares can be sold to pay a loan to the brokerage firm. You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may not purchase our common stock on margin or hold it in a margin account at any time.</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Q39: Can I pledge my Fastly shares as collateral for a personal loan?</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A39:  Generally no</w:t>
      </w:r>
      <w:r>
        <w:rPr>
          <w:rFonts w:ascii="Times New Roman;serif" w:hAnsi="Times New Roman;serif"/>
          <w:b/>
          <w:i w:val="false"/>
          <w:caps w:val="false"/>
          <w:smallCaps w:val="false"/>
          <w:strike w:val="false"/>
          <w:dstrike w:val="false"/>
          <w:sz w:val="24"/>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Pledging your shares as collateral for a personal loan could cause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pledgee to transfer your shares during a trading blackout period or when you are otherwise aware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of material nonpublic information. As a result, you may generally not pledge your shares as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collateral for a loan. However, you may request an exception by (i) submitting a request for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approval to the Chief Legal Officer or other member of the Fastly Legal team as may be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designated by the CEO from time to time and Chief Financial Officer, including terms of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proposed pledge, loan to value ratio, the name of any other collateral securing the loan and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ability to substitute collateral and other information reasonably requested by the Chief Legal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Officer or other member of the Fastly Legal team as may be designated by the CEO from time to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time or Chief Financial Officer at least one month prior to the executing documents evidencing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proposed pledge, and (ii) clearly demonstrating your financial capacity to repay the loan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without resort to the pledged securities. The Chief Legal Officer or other member of the Fastly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Legal team as may be designated by the CEO from time to time and Chief Financial Officer shall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collectively determine whether such exception will be granted based on methodology approved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by the Compensation Committee of the Board of Directors. Any exception granted to an officer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or director subject to the reporting obligations under Section 16 of the Exchange Act must be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approved by the Compensation Committee of the Board of Directors</w:t>
      </w:r>
      <w:r>
        <w:rPr>
          <w:rFonts w:ascii="Times New Roman;serif" w:hAnsi="Times New Roman;serif"/>
          <w:b/>
          <w:i w:val="false"/>
          <w:caps w:val="false"/>
          <w:smallCaps w:val="false"/>
          <w:strike w:val="false"/>
          <w:dstrike w:val="false"/>
          <w:sz w:val="24"/>
          <w:u w:val="none"/>
          <w:effect w:val="none"/>
          <w:shd w:fill="E4E4E4" w:val="clear"/>
        </w:rPr>
        <w:t>.</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Q40: What is problematic about margin accounts and pledged securities?</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A40: Securities held in a margin account as collateral for a margin loan may be sold by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broker without the customer’s consent if the customer fails to meet a margin call. Similarly,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securities pledged (or hypothecated) as collateral for a loan may be sold in foreclosure if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borrower defaults on the loan. Because a margin sale or foreclosure sale may occur at a time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when the pledgor is aware of material nonpublic information or otherwise is not permitted to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trade in Fastly’s securities, Fastly employees, directors, and designated consultants are prohibited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from holding Fastly Securities in a margin account or otherwise pledging Fastly’s securities as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collateral for a loan.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Q41: Can I hedge my ownership position in Fastly?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A41:  No. Hedging or monetization transactions, including through the use of financial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instruments such as prepaid variable forwards, equity swaps, collars, and exchange funds are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prohibited by our insider trading policy. Since such hedging transactions allow you to continue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to own Fastly’s securities obtained through employee benefit plans or otherwise, but without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full risks and rewards of ownership, you may no longer have the same objectives as Fastly’s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other shareholders. Therefore, our insider trading policy prohibits you from engaging in any such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transactions.</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Q42: Why are hedging transactions prohibited?</w:t>
      </w:r>
    </w:p>
    <w:p>
      <w:pPr>
        <w:pStyle w:val="TextBody"/>
        <w:bidi w:val="0"/>
        <w:spacing w:lineRule="atLeast" w:line="167"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A42</w:t>
      </w:r>
      <w:r>
        <w:rPr>
          <w:rFonts w:ascii="Times New Roman;serif" w:hAnsi="Times New Roman;serif"/>
          <w:b w:val="false"/>
          <w:i/>
          <w:strike w:val="false"/>
          <w:dstrike w:val="false"/>
          <w:sz w:val="24"/>
          <w:u w:val="none"/>
          <w:effect w:val="none"/>
          <w:shd w:fill="E4E4E4" w:val="clear"/>
        </w:rPr>
        <w:t>: </w:t>
      </w:r>
      <w:r>
        <w:rPr>
          <w:rFonts w:ascii="Arial;sans-serif" w:hAnsi="Arial;sans-serif"/>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Hedging or monetization transactions can be accomplished through a number of possible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mechanisms, including through the use of financial instruments such as prepaid variable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forwards, equity swaps, collars, and exchange funds. Such hedging transactions may permit a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Fastly employee, director, or designated consultant to continue to own Fastly’s securities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obtained through employee benefit plans or otherwise, but without the full risks and rewards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ownership. When that occurs, the Fastly employee, director, or designated consultant may no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longer have the same objectives as Fastly’s other shareholders. Therefore, Fastly employees,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directors, and designated consultants are prohibited from engaging in any such transactions.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Q43: Can I trade in ETFs (Exchange Traded Funds)?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A43: Yes, Fastly permits you to trade in ETFs, including during a closed trading window, but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only if the Fastly shares do not represent more than a certain percentage of the ETF's portfolio, as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determined by the Chief Legal Officer or other member of the Fastly Legal team as may be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designated by the CEO from time to time (the “</w:t>
      </w:r>
      <w:r>
        <w:rPr>
          <w:rFonts w:ascii="Times New Roman;serif" w:hAnsi="Times New Roman;serif"/>
          <w:b/>
          <w:i/>
          <w:strike w:val="false"/>
          <w:dstrike w:val="false"/>
          <w:sz w:val="24"/>
          <w:u w:val="none"/>
          <w:effect w:val="none"/>
          <w:shd w:fill="E4E4E4" w:val="clear"/>
        </w:rPr>
        <w:t>ETF Limit</w:t>
      </w:r>
      <w:r>
        <w:rPr>
          <w:rFonts w:ascii="Arial;sans-serif" w:hAnsi="Arial;sans-serif"/>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4"/>
          <w:u w:val="none"/>
          <w:effect w:val="none"/>
          <w:shd w:fill="E4E4E4" w:val="clear"/>
        </w:rPr>
        <w:t xml:space="preserve">). ETFs are a type of security that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involves a collection of securities. Unlike mutual funds, ETFs are a marketable security and are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traded throughout the day on exchanges, just like ordinary stock. Some ETFs include shares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Fastly’s stock in their portfolio. Trading in ETFs may NOT be done for the purpose of, or having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result of, trading in Fastly stock. In other words, you cannot get around restrictions on trading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 Fastly stock, including restrictions on hedging, by trading in ETFs that include Fastly stock.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ETF Limit is set to help avoid any appearance that trading in an ETF is motivated by a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desire to trade in Fastly stock.</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Q44: Am I allowed to trade derivative securities of Fastly’s common stock?</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A44: </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No. You may not trade in derivative securities related to our common stock, which include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publicly traded call and put options. In addition, you may not engage in short selling of our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common stock at any time.</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Q45: What are derivative securities?</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A45: “Derivative securities” are securities other than common stock that are speculative in nature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because they permit a person to leverage their investment using a relatively small amount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money. Examples of derivative securities include “put options” and “call options.” These are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different from employee options and other equity awards granted under our equity compensation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plans, which are not derivative securities for purposes of our policy.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Q46: What is short selling?</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A46: “Short selling” is profiting when you expect the price of the stock to decline, and includes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transactions in which you borrow stock from a broker, sell it, and eventually buy it back on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market to return the borrowed shares to the broker. Profit is realized if the stock price decreases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during the period of borrowing.</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Q47: Why does Fastly prohibit trading in derivative securities and short selling?</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A47:  Many companies with volatile stock prices have adopted similar policies because of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temptation it represents to try to benefit from a relatively low-cost method of trading on short-</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term swings in stock prices, without actually holding the underlying common stock, and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encourages speculative trading. We are dedicated to building stockholder value, short selling our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common stock conflicts with our values and would not be well-received by our stockholders.</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Q48: What if I purchased publicly traded options or other derivative securities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before I became a Fastly employee or consultant?</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A48:  The same rules apply as for employee stock options. You may exercise the publicly traded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options at any time, but you may not sell the securities during a trading blackout period or at any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time that you are aware of material nonpublic information.</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Q49: What are the concerns about standing and limit orders?</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A49: Standing and limit orders (except standing and limit orders under approved Trading Plans,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as discussed above) create heightened risks for insider trading violations similar to the use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margin accounts. There is no control over the timing of purchases or sales that result from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standing instructions to a broker, and as a result the broker could execute a transaction when a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Fastly employee, director, or designated consultant is in possession of material nonpublic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information. Fastly therefore discourages placing standing or limit orders on Fastly’s securities.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If a person subject to this policy determines that they must use a standing order or limit order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(other than under an approved Trading Plan as discussed above), the order should be limited to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short duration and the person using such standing order or limit order is required to cancel such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instructions immediately in the event restrictions are imposed on their ability to trade pursuant to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the “Quarterly Trading Blackouts” and “Event-Specific Trading Blackouts” provisions above.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Q50: Who is required to pre-clear and provide advance notice of transactions?</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A50:</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In addition to the requirements above, officers, directors, and other applicable members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management who have been notified that they are subject to pre-clearance requirements face a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further restriction: Even during an open trading window, they may not engage in any transaction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 Fastly’s securities without first obtaining pre-clearance of the transaction from Fastly’s Chief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Legal Officer or other member of the Fastly Legal team as may be designated by the CEO from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time to time or Chief Financial Officer or their designees no more than two</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business days in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advance of the proposed transaction. The Chief Legal Officer or other member of the Fastly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Legal team as may be designated by the CEO from time to time or Chief Financial Officer 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their designees will then determine whether the transaction may proceed and, if so, will direct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Compliance Coordinator (as identified in Fastly’s Section 16 Compliance Program) to help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comply with any required reporting requirements under Section 16(a) of the Exchange Act. Pre-</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cleared transactions not completed within two business days will require new pre-clearance.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Fastly may choose to shorten this period.</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Q51: Who is required to provide advance notice of stock option exercises?</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A51: Persons subject to the reporting requirements under Section 16(a) of the Exchange Act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must also give advance notice of their plans to exercise an outstanding stock option to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Compliance Coordinator or Chief Legal Officer or other member of the Fastly Legal team as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may be designated by the CEO from time to time or Chief Financial Officer. Once any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transaction takes place, the officer, director, or applicable member of management must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immediately notify the Compliance Coordinator and any other individuals identified under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heading “Notification of Execution of Transaction” in Fastly’s Section 16 Compliance Program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so that Fastly may assist in any Section 16 reporting obligations.</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Q52: What additional requirements apply to individuals subject to Section 16?</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A52: Officers and directors subject to the reporting obligations under Section 16 of the Exchange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Act should take care to avoid short-swing transactions (within the meaning of Section 16(b)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Exchange Act) and the restrictions on sales by control persons (Rule 144 under the Securities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Act of 1933, as amended), and should file all appropriate Section 16(a) reports (Forms 3, 4, and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5), which are described in Fastly’s Section 16 Compliance Program, and any notices of sale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required by Rule 144.</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Q53: What happens if I violate our insider trading policy?</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A53:</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Violating our policies may result in disciplinary action, which may include termination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your employment or other relationship with Fastly. In addition, you may be subject to criminal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and civil sanctions. Anyone who has questions about this policy should contact their own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attorney or Fastly’s Office of the General Counsel, gc@fastly.com.</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Q54: What are the sanctions if I trade on material nonpublic information or tip </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off someone else?</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A54: </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4"/>
          <w:u w:val="none"/>
          <w:effect w:val="none"/>
          <w:shd w:fill="E4E4E4" w:val="clear"/>
        </w:rPr>
        <w:t xml:space="preserve">In addition to disciplinary action by Fastly—which may include termination of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employment—you may be liable for civil sanctions for trading on material nonpublic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information. The sanctions may include return of any profit made or loss avoided as well as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penalties of up to three times any profit made or any loss avoided. Persons found liable for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tipping material nonpublic information, even if they did not trade themselves, may be liable for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the amount of any profit gained or loss avoided by everyone in the chain of tippees as well as a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penalty of up to three times that amount. In addition, anyone convicted of criminal insider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trading could face prison and additional fines.</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Q55: What is “loss avoided”?</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A55:  If you sell common stock or a related derivative security before negative news is publicly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announced, and as a result of the announcement the stock price declines, you have avoided the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loss caused by the negative news.</w:t>
      </w:r>
    </w:p>
    <w:p>
      <w:pPr>
        <w:pStyle w:val="TextBody"/>
        <w:bidi w:val="0"/>
        <w:spacing w:lineRule="atLeast" w:line="183" w:before="0" w:after="0"/>
        <w:jc w:val="left"/>
        <w:rPr>
          <w:rFonts w:ascii="Times New Roman;serif" w:hAnsi="Times New Roman;serif"/>
          <w:b/>
          <w:i w:val="false"/>
          <w:caps w:val="false"/>
          <w:smallCaps w:val="false"/>
          <w:strike w:val="false"/>
          <w:dstrike w:val="false"/>
          <w:sz w:val="27"/>
          <w:u w:val="none"/>
          <w:effect w:val="none"/>
          <w:shd w:fill="E4E4E4" w:val="clear"/>
        </w:rPr>
      </w:pPr>
      <w:r>
        <w:rPr>
          <w:rFonts w:ascii="Times New Roman;serif" w:hAnsi="Times New Roman;serif"/>
          <w:b/>
          <w:i w:val="false"/>
          <w:caps w:val="false"/>
          <w:smallCaps w:val="false"/>
          <w:strike w:val="false"/>
          <w:dstrike w:val="false"/>
          <w:sz w:val="27"/>
          <w:u w:val="none"/>
          <w:effect w:val="none"/>
          <w:shd w:fill="E4E4E4" w:val="clear"/>
        </w:rPr>
        <w:t xml:space="preserve">Q56: Do changes to this policy require approval by Fastly’s Board?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A56: Substantive changes to this policy require approval by Fastly’s Board of Directors or a duly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appointed committee of the Board. Non-substantive changes may be approved by Fastly’s Chief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 xml:space="preserve">Legal Officer or other member of the Fastly Legal team as may be designated by the CEO from </w:t>
      </w:r>
    </w:p>
    <w:p>
      <w:pPr>
        <w:pStyle w:val="TextBody"/>
        <w:bidi w:val="0"/>
        <w:spacing w:lineRule="atLeast" w:line="166"/>
        <w:jc w:val="left"/>
        <w:rPr>
          <w:rFonts w:ascii="Times New Roman;serif" w:hAnsi="Times New Roman;serif"/>
          <w:b w:val="false"/>
          <w:i w:val="false"/>
          <w:caps w:val="false"/>
          <w:smallCaps w:val="false"/>
          <w:strike w:val="false"/>
          <w:dstrike w:val="false"/>
          <w:sz w:val="24"/>
          <w:u w:val="none"/>
          <w:effect w:val="none"/>
          <w:shd w:fill="E4E4E4" w:val="clear"/>
        </w:rPr>
      </w:pPr>
      <w:r>
        <w:rPr>
          <w:rFonts w:ascii="Times New Roman;serif" w:hAnsi="Times New Roman;serif"/>
          <w:b w:val="false"/>
          <w:i w:val="false"/>
          <w:caps w:val="false"/>
          <w:smallCaps w:val="false"/>
          <w:strike w:val="false"/>
          <w:dstrike w:val="false"/>
          <w:sz w:val="24"/>
          <w:u w:val="none"/>
          <w:effect w:val="none"/>
          <w:shd w:fill="E4E4E4" w:val="clear"/>
        </w:rPr>
        <w:t>time to time.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Registration Statement Nos. 333-273627, 333-249495 and 333-242370 on Form S-3ASR and Registration Statement Nos. 333-231558, 333-237655, 333-249504, 333-253745, 333-263191, 333-270026, 333-277238, 333-285243 and 333-289315 on Form S-8 of our reports dated February 25, 2026, relating to the financial statements of Fastly, Inc. and the effectiveness of Fastly Inc.’s internal control over financial reporting appearing in this Annual Report on Form 10-K for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Charles Compton,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Fastly,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252"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09"/>
        <w:gridCol w:w="109"/>
        <w:gridCol w:w="109"/>
        <w:gridCol w:w="109"/>
        <w:gridCol w:w="109"/>
        <w:gridCol w:w="109"/>
        <w:gridCol w:w="109"/>
        <w:gridCol w:w="109"/>
        <w:gridCol w:w="109"/>
        <w:gridCol w:w="134"/>
        <w:gridCol w:w="134"/>
        <w:gridCol w:w="136"/>
        <w:gridCol w:w="674"/>
        <w:gridCol w:w="674"/>
        <w:gridCol w:w="67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Compton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Compton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Richard Wong,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Fastly,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9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09"/>
        <w:gridCol w:w="109"/>
        <w:gridCol w:w="109"/>
        <w:gridCol w:w="109"/>
        <w:gridCol w:w="109"/>
        <w:gridCol w:w="109"/>
        <w:gridCol w:w="109"/>
        <w:gridCol w:w="109"/>
        <w:gridCol w:w="109"/>
        <w:gridCol w:w="134"/>
        <w:gridCol w:w="134"/>
        <w:gridCol w:w="136"/>
        <w:gridCol w:w="654"/>
        <w:gridCol w:w="654"/>
        <w:gridCol w:w="65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Wong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Wong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Fastly, Inc. (the "Company”) on Form 10-K for the year ended December 31, 2025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59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09"/>
        <w:gridCol w:w="109"/>
        <w:gridCol w:w="109"/>
        <w:gridCol w:w="134"/>
        <w:gridCol w:w="134"/>
        <w:gridCol w:w="136"/>
        <w:gridCol w:w="674"/>
        <w:gridCol w:w="674"/>
        <w:gridCol w:w="67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Compton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Compton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Fastly, Inc. (the “Company”) on Form 10-K for the year ended December 31, 2025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539"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09"/>
        <w:gridCol w:w="109"/>
        <w:gridCol w:w="109"/>
        <w:gridCol w:w="134"/>
        <w:gridCol w:w="134"/>
        <w:gridCol w:w="136"/>
        <w:gridCol w:w="654"/>
        <w:gridCol w:w="654"/>
        <w:gridCol w:w="65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Wong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Wong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17413/000119312519152823/d752396dex31.htm" TargetMode="External"/><Relationship Id="rId5" Type="http://schemas.openxmlformats.org/officeDocument/2006/relationships/hyperlink" Target="https://www.sec.gov/Archives/edgar/data/1517413/000119312520165805/d890035dex31.htm" TargetMode="External"/><Relationship Id="rId6" Type="http://schemas.openxmlformats.org/officeDocument/2006/relationships/hyperlink" Target="https://www.sec.gov/Archives/edgar/data/1517413/000151741321000128/fastly-certificateofretire.htm" TargetMode="External"/><Relationship Id="rId7" Type="http://schemas.openxmlformats.org/officeDocument/2006/relationships/hyperlink" Target="https://www.sec.gov/Archives/edgar/data/1517413/000151741324000188/fastly-amendedandrestatedb.htm" TargetMode="External"/><Relationship Id="rId8" Type="http://schemas.openxmlformats.org/officeDocument/2006/relationships/hyperlink" Target="https://www.sec.gov/Archives/edgar/data/0001517413/000119312519130754/d702138dex41.htm" TargetMode="External"/><Relationship Id="rId9" Type="http://schemas.openxmlformats.org/officeDocument/2006/relationships/hyperlink" Target="https://www.sec.gov/Archives/edgar/data/1517413/000119312521071602/d127610dex41.htm" TargetMode="External"/><Relationship Id="rId10" Type="http://schemas.openxmlformats.org/officeDocument/2006/relationships/hyperlink" Target="https://www.sec.gov/Archives/edgar/data/1517413/000119312521071602/d127610dex41.htm" TargetMode="External"/><Relationship Id="rId11" Type="http://schemas.openxmlformats.org/officeDocument/2006/relationships/hyperlink" Target="https://www.sec.gov/Archives/edgar/data/1517413/000151741324000244/wrkva-fslyxform8xkxex41xin.htm" TargetMode="External"/><Relationship Id="rId12" Type="http://schemas.openxmlformats.org/officeDocument/2006/relationships/hyperlink" Target="https://www.sec.gov/Archives/edgar/data/1517413/000151741324000244/wrkva-fslyxform8xkxex41xin.htm" TargetMode="External"/><Relationship Id="rId13" Type="http://schemas.openxmlformats.org/officeDocument/2006/relationships/hyperlink" Target="https://www.sec.gov/Archives/edgar/data/1517413/000151741325000343/fsly-ex41indentureprinter.htm" TargetMode="External"/><Relationship Id="rId14" Type="http://schemas.openxmlformats.org/officeDocument/2006/relationships/hyperlink" Target="https://www.sec.gov/Archives/edgar/data/1517413/000151741325000343/fsly-ex41indentureprinter.htm" TargetMode="External"/><Relationship Id="rId15" Type="http://schemas.openxmlformats.org/officeDocument/2006/relationships/hyperlink" Target="https://www.sec.gov/Archives/edgar/data/1517413/000151741325000343/projectlotus-ex101formofca.htm" TargetMode="External"/><Relationship Id="rId16" Type="http://schemas.openxmlformats.org/officeDocument/2006/relationships/hyperlink" Target="https://www.sec.gov/Archives/edgar/data/1517413/000151741325000343/projectlotus-ex101formofca.htm" TargetMode="External"/><Relationship Id="rId17" Type="http://schemas.openxmlformats.org/officeDocument/2006/relationships/hyperlink" Target="https://www.sec.gov/Archives/edgar/data/1517413/000151741325000343/projectlotus-ex101formofca.htm" TargetMode="External"/><Relationship Id="rId18" Type="http://schemas.openxmlformats.org/officeDocument/2006/relationships/hyperlink" Target="https://www.sec.gov/Archives/edgar/data/1517413/000151741325000343/projectlotus-ex101formofca.htm" TargetMode="External"/><Relationship Id="rId19" Type="http://schemas.openxmlformats.org/officeDocument/2006/relationships/hyperlink" Target="https://www.sec.gov/Archives/edgar/data/1517413/000151741325000343/projectlotus-ex101formofca.htm" TargetMode="External"/><Relationship Id="rId20" Type="http://schemas.openxmlformats.org/officeDocument/2006/relationships/hyperlink" Target="https://www.sec.gov/Archives/edgar/data/1517413/000151741322000038/fastly-10xkxdescriptionofs.htm" TargetMode="External"/><Relationship Id="rId21" Type="http://schemas.openxmlformats.org/officeDocument/2006/relationships/hyperlink" Target="https://www.sec.gov/Archives/edgar/data/00001517413/000119312519111675/d702138dex102.htm" TargetMode="External"/><Relationship Id="rId22" Type="http://schemas.openxmlformats.org/officeDocument/2006/relationships/hyperlink" Target="https://www.sec.gov/Archives/edgar/data/00001517413/000119312519111675/d702138dex103.htm" TargetMode="External"/><Relationship Id="rId23" Type="http://schemas.openxmlformats.org/officeDocument/2006/relationships/hyperlink" Target="https://www.sec.gov/Archives/edgar/data/1517413/000119312519137435/d702138dex104.htm" TargetMode="External"/><Relationship Id="rId24" Type="http://schemas.openxmlformats.org/officeDocument/2006/relationships/hyperlink" Target="https://www.sec.gov/Archives/edgar/data/1517413/000119312519137435/d702138dex105.htm" TargetMode="External"/><Relationship Id="rId25" Type="http://schemas.openxmlformats.org/officeDocument/2006/relationships/hyperlink" Target="https://www.sec.gov/Archives/edgar/data/1517413/000151741319000012/fsly-10xqexhibit103.htm" TargetMode="External"/><Relationship Id="rId26" Type="http://schemas.openxmlformats.org/officeDocument/2006/relationships/hyperlink" Target="https://www.sec.gov/Archives/edgar/data/1517413/000119312519137435/d702138dex107.htm" TargetMode="External"/><Relationship Id="rId27" Type="http://schemas.openxmlformats.org/officeDocument/2006/relationships/hyperlink" Target="https://www.sec.gov/Archives/edgar/data/1517413/000119312519137435/d702138dex108.htm" TargetMode="External"/><Relationship Id="rId28" Type="http://schemas.openxmlformats.org/officeDocument/2006/relationships/hyperlink" Target="https://www.sec.gov/Archives/edgar/data/1517413/000119312519137435/d702138dex109.htm" TargetMode="External"/><Relationship Id="rId29" Type="http://schemas.openxmlformats.org/officeDocument/2006/relationships/hyperlink" Target="https://www.sec.gov/Archives/edgar/data/1517413/000119312519137435/d702138dex1010.htm" TargetMode="External"/><Relationship Id="rId30" Type="http://schemas.openxmlformats.org/officeDocument/2006/relationships/hyperlink" Target="https://www.sec.gov/Archives/edgar/data/00001517413/000119312519111675/d702138dex1017.htm" TargetMode="External"/><Relationship Id="rId31" Type="http://schemas.openxmlformats.org/officeDocument/2006/relationships/hyperlink" Target="https://www.sec.gov/Archives/edgar/data/00001517413/000119312519111675/d702138dex1018.htm" TargetMode="External"/><Relationship Id="rId32" Type="http://schemas.openxmlformats.org/officeDocument/2006/relationships/hyperlink" Target="https://www.sec.gov/Archives/edgar/data/00001517413/000119312519111675/d702138dex1032.htm" TargetMode="External"/><Relationship Id="rId33" Type="http://schemas.openxmlformats.org/officeDocument/2006/relationships/hyperlink" Target="https://www.sec.gov/Archives/edgar/data/1517413/000151741325000218/ex102-fastly3rdamendment.htm" TargetMode="External"/><Relationship Id="rId34" Type="http://schemas.openxmlformats.org/officeDocument/2006/relationships/hyperlink" Target="https://www.sec.gov/Archives/edgar/data/1517413/000151741325000218/ex103-fourthamendmenttol.htm" TargetMode="External"/><Relationship Id="rId35" Type="http://schemas.openxmlformats.org/officeDocument/2006/relationships/hyperlink" Target="https://www.sec.gov/Archives/edgar/data/1517413/000119312519137435/d702138dex1031.htm" TargetMode="External"/><Relationship Id="rId36" Type="http://schemas.openxmlformats.org/officeDocument/2006/relationships/hyperlink" Target="https://www.sec.gov/Archives/edgar/data/1517413/000151741324000175/ex1022022changeincontrolan.htm" TargetMode="External"/><Relationship Id="rId37" Type="http://schemas.openxmlformats.org/officeDocument/2006/relationships/hyperlink" Target="https://www.sec.gov/Archives/edgar/data/1517413/000151741324000048/ex1014non-employeedirector.htm" TargetMode="External"/><Relationship Id="rId38" Type="http://schemas.openxmlformats.org/officeDocument/2006/relationships/hyperlink" Target="https://www.sec.gov/Archives/edgar/data/1517413/000151741324000104/exhibit103-stockownershipg.htm" TargetMode="External"/><Relationship Id="rId39" Type="http://schemas.openxmlformats.org/officeDocument/2006/relationships/hyperlink" Target="https://www.sec.gov/Archives/edgar/data/1517413/000151741323000308/fastly-modificationofoffer.htm" TargetMode="External"/><Relationship Id="rId40" Type="http://schemas.openxmlformats.org/officeDocument/2006/relationships/hyperlink" Target="https://www.sec.gov/Archives/edgar/data/1517413/000151741320000238/fastly-sx8xexhibit991.htm" TargetMode="External"/><Relationship Id="rId41" Type="http://schemas.openxmlformats.org/officeDocument/2006/relationships/hyperlink" Target="https://www.sec.gov/Archives/edgar/data/1517413/000151741321000030/fsly-123120x10kex1023.htm" TargetMode="External"/><Relationship Id="rId42" Type="http://schemas.openxmlformats.org/officeDocument/2006/relationships/hyperlink" Target="https://www.sec.gov/Archives/edgar/data/1517413/000151741323000218/fastly-firstamendmenttocre.htm" TargetMode="External"/><Relationship Id="rId43" Type="http://schemas.openxmlformats.org/officeDocument/2006/relationships/hyperlink" Target="https://www.sec.gov/Archives/edgar/data/1517413/000151741324000048/secondamendmenttocreditagr.htm" TargetMode="External"/><Relationship Id="rId44" Type="http://schemas.openxmlformats.org/officeDocument/2006/relationships/hyperlink" Target="https://www.sec.gov/Archives/edgar/data/1517413/000151741324000104/exhibit102-thirdamendmentt.htm" TargetMode="External"/><Relationship Id="rId45" Type="http://schemas.openxmlformats.org/officeDocument/2006/relationships/hyperlink" Target="https://www.sec.gov/Archives/edgar/data/1517413/000151741321000116/ronkisling-fastlyxusofferl.htm" TargetMode="External"/><Relationship Id="rId46" Type="http://schemas.openxmlformats.org/officeDocument/2006/relationships/hyperlink" Target="https://www.sec.gov/Archives/edgar/data/1517413/000151741322000115/exh101ceoofferletter1.htm" TargetMode="External"/><Relationship Id="rId47" Type="http://schemas.openxmlformats.org/officeDocument/2006/relationships/hyperlink" Target="https://www.sec.gov/Archives/edgar/data/1517413/000151741324000175/ex101-scottlovettofferlett.htm" TargetMode="External"/><Relationship Id="rId48" Type="http://schemas.openxmlformats.org/officeDocument/2006/relationships/hyperlink" Target="https://www.sec.gov/Archives/edgar/data/1517413/000151741325000178/fastly-kipcomptonofferlett.htm" TargetMode="External"/><Relationship Id="rId49" Type="http://schemas.openxmlformats.org/officeDocument/2006/relationships/hyperlink" Target="https://www.sec.gov/Archives/edgar/data/1517413/000151741325000218/fastly2025employmentinduce.htm" TargetMode="External"/><Relationship Id="rId50" Type="http://schemas.openxmlformats.org/officeDocument/2006/relationships/hyperlink" Target="https://www.sec.gov/Archives/edgar/data/1517413/000151741325000218/fastlyformrsuagreement2025.htm" TargetMode="External"/><Relationship Id="rId51" Type="http://schemas.openxmlformats.org/officeDocument/2006/relationships/hyperlink" Target="https://www.sec.gov/Archives/edgar/data/1517413/000151741325000218/fastlyrtsragreement2019equ.htm" TargetMode="External"/><Relationship Id="rId52" Type="http://schemas.openxmlformats.org/officeDocument/2006/relationships/hyperlink" Target="https://www.sec.gov/Archives/edgar/data/1517413/000151741325000215/rwong_cfoofferletter.htm" TargetMode="External"/><Relationship Id="rId53" Type="http://schemas.openxmlformats.org/officeDocument/2006/relationships/hyperlink" Target="https://www.sec.gov/Archives/edgar/data/1517413/000151741325000215/slovett_presidentgtmofferl.htm" TargetMode="External"/><Relationship Id="rId54" Type="http://schemas.openxmlformats.org/officeDocument/2006/relationships/hyperlink" Target="https://www.sec.gov/Archives/edgar/data/1517413/000151741325000215/fastly-ronkislingxtransiti.htm" TargetMode="External"/><Relationship Id="rId55" Type="http://schemas.openxmlformats.org/officeDocument/2006/relationships/hyperlink" Target="https://www.sec.gov/Archives/edgar/data/1517413/000151741324000048/fsly-123123x10kex211.htm" TargetMode="External"/><Relationship Id="rId56" Type="http://schemas.openxmlformats.org/officeDocument/2006/relationships/hyperlink" Target="https://www.sec.gov/Archives/edgar/data/1517413/000151741324000048/ex971incentivecompensation.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86760</Words>
  <Characters>483987</Characters>
  <CharactersWithSpaces>567717</CharactersWithSpaces>
  <Paragraphs>5221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