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of the Securities Exchange Act of 1934</w:t>
      </w:r>
    </w:p>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August 17, 2026</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FASTLY,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left"/>
        <w:rPr>
          <w:color w:val="000000"/>
        </w:rPr>
      </w:pPr>
      <w:r>
        <w:rPr>
          <w:color w:val="000000"/>
        </w:rPr>
        <w:t> </w:t>
      </w:r>
    </w:p>
    <w:tbl>
      <w:tblPr>
        <w:tblW w:w="5893" w:type="dxa"/>
        <w:jc w:val="center"/>
        <w:tblInd w:w="0" w:type="dxa"/>
        <w:tblLayout w:type="fixed"/>
        <w:tblCellMar>
          <w:top w:w="28" w:type="dxa"/>
          <w:left w:w="28" w:type="dxa"/>
          <w:bottom w:w="28" w:type="dxa"/>
          <w:right w:w="28" w:type="dxa"/>
        </w:tblCellMar>
      </w:tblPr>
      <w:tblGrid>
        <w:gridCol w:w="859"/>
        <w:gridCol w:w="753"/>
        <w:gridCol w:w="758"/>
        <w:gridCol w:w="677"/>
        <w:gridCol w:w="677"/>
        <w:gridCol w:w="685"/>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001-38897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27-5411834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475 Brannan Street, Suite 300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 94107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(844) 432-7859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pPr>
      <w:r>
        <w:rPr>
          <w:rFonts w:ascii="Times New Roman;serif" w:hAnsi="Times New Roman;serif"/>
          <w:b/>
          <w:color w:val="000000"/>
          <w:sz w:val="18"/>
        </w:rPr>
        <w:t>(Former Name or Former Address, if Changed Since Last Report)</w:t>
      </w:r>
      <w:r>
        <w:rPr>
          <w:color w:val="000000"/>
        </w:rPr>
        <w:t> </w:t>
      </w:r>
    </w:p>
    <w:p>
      <w:pPr>
        <w:pStyle w:val="TextBody"/>
        <w:bidi w:val="0"/>
        <w:spacing w:lineRule="auto" w:line="288" w:before="200" w:after="283"/>
        <w:jc w:val="left"/>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18"/>
          <w:u w:val="single"/>
        </w:rPr>
        <w:t>see</w:t>
      </w:r>
      <w:r>
        <w:rPr>
          <w:color w:val="000000"/>
        </w:rPr>
        <w:t xml:space="preserve"> </w:t>
      </w:r>
      <w:r>
        <w:rPr>
          <w:rFonts w:ascii="Times New Roman;serif" w:hAnsi="Times New Roman;serif"/>
          <w:b w:val="false"/>
          <w:color w:val="000000"/>
          <w:sz w:val="18"/>
        </w:rPr>
        <w:t>General Instruction A.2. below):</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206" w:type="dxa"/>
        <w:jc w:val="left"/>
        <w:tblInd w:w="0" w:type="dxa"/>
        <w:tblLayout w:type="fixed"/>
        <w:tblCellMar>
          <w:top w:w="28" w:type="dxa"/>
          <w:left w:w="28" w:type="dxa"/>
          <w:bottom w:w="28" w:type="dxa"/>
          <w:right w:w="28" w:type="dxa"/>
        </w:tblCellMar>
      </w:tblPr>
      <w:tblGrid>
        <w:gridCol w:w="1198"/>
        <w:gridCol w:w="1051"/>
        <w:gridCol w:w="1065"/>
        <w:gridCol w:w="109"/>
        <w:gridCol w:w="109"/>
        <w:gridCol w:w="109"/>
        <w:gridCol w:w="274"/>
        <w:gridCol w:w="274"/>
        <w:gridCol w:w="276"/>
        <w:gridCol w:w="109"/>
        <w:gridCol w:w="109"/>
        <w:gridCol w:w="109"/>
        <w:gridCol w:w="706"/>
        <w:gridCol w:w="706"/>
        <w:gridCol w:w="1002"/>
      </w:tblGrid>
      <w:tr>
        <w:trPr/>
        <w:tc>
          <w:tcPr>
            <w:tcW w:w="119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 $0.00002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16"/>
              </w:rPr>
              <w:t>FSLY”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18"/>
        </w:rPr>
        <w:t>Emerging growth company  </w:t>
      </w:r>
      <w:r>
        <w:rPr>
          <w:color w:val="000000"/>
        </w:rPr>
        <w: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283"/>
        <w:ind w:left="0" w:right="0" w:firstLine="49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17, 2026, Fastly, Inc. (the “Company”) entered into a Fourth Amendment to Credit Agreement (the “Fourth Amendment”) to its Credit Agreement dated as of February 16, 2021, among the Company, as borrower, the lenders from time to time party thereto, and Silicon Valley Bank, a division of First-Citizens Bank &amp; Trust Company (the “Agent”), as administrative agent, issuing lender, and swingline lender (as amended, restated, supplemented, or modified prior to the Fourth Amendment, the “Credit Agreement” and as amended by the Fourth Amendment, the “Amended Credit Agreement”).</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Fourth Amendment amends the Credit Agreement to, among other things: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 increase the commitments under the Company’s senior secured revolving facility (the “Credit Facility”) from $60.0 million to $100.0 million;</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(ii) extend the scheduled maturity date of the Credit Facility to the earliest of (a) August 17, 2029 (the “Scheduled Revolving Termination Date”); provided that the Scheduled Revolving Termination Date may be extended for one year at the Company’s election, so long as Net Liquidity (defined as the sum of available amounts to be drawn under the Credit Facility plus the aggregate amount of cash and cash equivalents held by the Company in deposit accounts or securities accounts subject to a first priority perfected lien of the Agent) as of the date that is 90 days prior to the Scheduled Revolving Termination Date is greater than or equal to $200.0 million, (b) so long as any of the Company’s 7.75% convertible senior notes due 2028 (the “2028 Notes”) are outstanding, the date that is 91 days prior to the stated maturity date of the 2028 Notes (the “Initial Springing Maturity Test Date”), unless Net Liquidity as of such Initial Springing Maturity Test Date is greater than or equal to $200.0 million (or, if less than $50.0 million of the 2028 Notes remain outstanding on the Initial Springing Maturity Test Date, $120.0 million), and (c) so long as any of the 2028 Notes are outstanding, any date after the Initial Springing Maturity Test Date if Net Liquidity is less than $200.0 million (or, if less than $50.0 million of the 2028 Notes remain outstanding on such date, $120.0 million);</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(iii) decrease the interest rates for borrowings under the Credit Facility by 0.25%, so that such borrowings bear interest, at the Company’s election, at a per annum rate based on SOFR plus 1.75% or base rate plus 0.75%; and</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(iv) adjust the commitment fee rate from 0.25% per annum to a quarterly commitment fee equal to, if the average daily outstanding balance of all loans and letters of credit is less than or equal to $50.0 million, 0.25% per annum on the unused portion of the revolving commitments, or, if the average daily outstanding balance of all loans and letters of credit is greater than $50.0 million, 0.20% per annum on the unused portion of the revolving commitments.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summary of the Fourth Amendment is qualified in its entirety by reference to the full text of the Fourth Amendment, which will be filed as an exhibit to the Company’s quarterly report on Form 10-Q for the quarter ending September 30, 2026.</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the extent required, the information set forth above under Item 1.01 is hereby incorporated by reference into this Item 2.03.</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50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109"/>
        <w:gridCol w:w="109"/>
        <w:gridCol w:w="109"/>
        <w:gridCol w:w="134"/>
        <w:gridCol w:w="134"/>
        <w:gridCol w:w="136"/>
        <w:gridCol w:w="109"/>
        <w:gridCol w:w="109"/>
        <w:gridCol w:w="109"/>
        <w:gridCol w:w="588"/>
        <w:gridCol w:w="588"/>
        <w:gridCol w:w="83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FASTLY,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4840</Characters>
  <CharactersWithSpaces>5710</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