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August 6, 2026</w: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 xml:space="preserve">Registration No. 333- </w:t>
      </w:r>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WASHINGTON, D.C. 20549 </w:t>
      </w:r>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FORM S-3</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REGISTRATION STATEMENT</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 xml:space="preserve">UNDER </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THE SECURITIES ACT OF 1933</w:t>
      </w:r>
    </w:p>
    <w:p>
      <w:pPr>
        <w:pStyle w:val="TextBody"/>
        <w:bidi w:val="0"/>
        <w:spacing w:lineRule="auto" w:line="288" w:before="40" w:after="283"/>
        <w:jc w:val="center"/>
        <w:rPr>
          <w:rFonts w:ascii="Times New Roman;serif" w:hAnsi="Times New Roman;serif"/>
          <w:b/>
          <w:color w:val="000000"/>
          <w:sz w:val="40"/>
        </w:rPr>
      </w:pPr>
      <w:r>
        <w:rPr>
          <w:rFonts w:ascii="Times New Roman;serif" w:hAnsi="Times New Roman;serif"/>
          <w:b/>
          <w:color w:val="000000"/>
          <w:sz w:val="40"/>
        </w:rPr>
        <w:t xml:space="preserve">FASTLY, INC. </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 xml:space="preserve">(Exact name of Registrant as specified in its charter) </w:t>
      </w:r>
    </w:p>
    <w:tbl>
      <w:tblPr>
        <w:tblW w:w="4511"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27-5411834</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475 Brannan Street, Suite 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San Francisco, CA 94107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(844) 432-7859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including zip code, and telephone number, including area code, of Registrant’s principal executive offices) </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Charles Compton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Chief Executive Officer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Fastly,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475 Brannan Street, Suite 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San Francisco, CA 94107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(844) 432-7859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address, including zip code, and telephone number, including area code, of agent for service) </w:t>
      </w:r>
    </w:p>
    <w:p>
      <w:pPr>
        <w:pStyle w:val="TextBody"/>
        <w:bidi w:val="0"/>
        <w:spacing w:lineRule="auto" w:line="288" w:before="40" w:after="283"/>
        <w:jc w:val="center"/>
        <w:rPr>
          <w:rFonts w:ascii="Times New Roman;serif" w:hAnsi="Times New Roman;serif"/>
          <w:b/>
          <w:i/>
          <w:color w:val="000000"/>
          <w:sz w:val="16"/>
        </w:rPr>
      </w:pPr>
      <w:r>
        <w:rPr>
          <w:rFonts w:ascii="Times New Roman;serif" w:hAnsi="Times New Roman;serif"/>
          <w:b/>
          <w:i/>
          <w:color w:val="000000"/>
          <w:sz w:val="16"/>
        </w:rPr>
        <w:t xml:space="preserve">Copies to: </w:t>
      </w:r>
    </w:p>
    <w:tbl>
      <w:tblPr>
        <w:tblW w:w="5785" w:type="dxa"/>
        <w:jc w:val="left"/>
        <w:tblInd w:w="0" w:type="dxa"/>
        <w:tblLayout w:type="fixed"/>
        <w:tblCellMar>
          <w:top w:w="28" w:type="dxa"/>
          <w:left w:w="28" w:type="dxa"/>
          <w:bottom w:w="28" w:type="dxa"/>
          <w:right w:w="28" w:type="dxa"/>
        </w:tblCellMar>
      </w:tblPr>
      <w:tblGrid>
        <w:gridCol w:w="890"/>
        <w:gridCol w:w="783"/>
        <w:gridCol w:w="786"/>
        <w:gridCol w:w="109"/>
        <w:gridCol w:w="109"/>
        <w:gridCol w:w="109"/>
        <w:gridCol w:w="877"/>
        <w:gridCol w:w="877"/>
        <w:gridCol w:w="1245"/>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Seth J. Gottlieb</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Latham &amp; Watkins LLP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801 Jefferson Avenue, Suite 300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Redwood City, CA 94063</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(650) 328-4600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Tara Seracka</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Chief Legal and Administrative Officer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Fastly, Inc.</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475 Brannan Street, Suite 300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San Francisco, CA 94107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(844) 432-7859</w:t>
            </w:r>
          </w:p>
        </w:tc>
      </w:tr>
    </w:tbl>
    <w:p>
      <w:pPr>
        <w:pStyle w:val="TextBody"/>
        <w:bidi w:val="0"/>
        <w:spacing w:lineRule="auto" w:line="288" w:before="0" w:after="0"/>
        <w:jc w:val="left"/>
        <w:rPr/>
      </w:pPr>
      <w:r>
        <w:rPr>
          <w:rFonts w:ascii="Times New Roman;serif" w:hAnsi="Times New Roman;serif"/>
          <w:b/>
          <w:color w:val="000000"/>
          <w:sz w:val="16"/>
        </w:rPr>
        <w:t>Approximate date of commencement of proposed sale to the public:</w:t>
      </w:r>
      <w:r>
        <w:rPr>
          <w:color w:val="000000"/>
        </w:rPr>
        <w:t xml:space="preserve"> </w:t>
      </w:r>
      <w:r>
        <w:rPr>
          <w:rFonts w:ascii="Times New Roman;serif" w:hAnsi="Times New Roman;serif"/>
          <w:b w:val="false"/>
          <w:color w:val="000000"/>
          <w:sz w:val="16"/>
        </w:rPr>
        <w:t xml:space="preserve">From time to time after the effective date of this Registration Statement. </w:t>
      </w:r>
    </w:p>
    <w:p>
      <w:pPr>
        <w:pStyle w:val="TextBody"/>
        <w:bidi w:val="0"/>
        <w:spacing w:before="0" w:after="0"/>
        <w:jc w:val="left"/>
        <w:rPr/>
      </w:pPr>
      <w:r>
        <w:rPr/>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If the only securities being registered on this Form are being offered pursuant to dividend or interest reinvestment plans, please check the following box: ☐ </w:t>
      </w:r>
    </w:p>
    <w:p>
      <w:pPr>
        <w:pStyle w:val="TextBody"/>
        <w:bidi w:val="0"/>
        <w:spacing w:before="0" w:after="0"/>
        <w:jc w:val="left"/>
        <w:rPr/>
      </w:pPr>
      <w:r>
        <w:rPr/>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0" w:after="0"/>
        <w:jc w:val="left"/>
        <w:rPr/>
      </w:pPr>
      <w:r>
        <w:rPr/>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0" w:after="0"/>
        <w:jc w:val="left"/>
        <w:rPr/>
      </w:pPr>
      <w:r>
        <w:rPr/>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0" w:after="0"/>
        <w:jc w:val="left"/>
        <w:rPr/>
      </w:pPr>
      <w:r>
        <w:rPr/>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0" w:after="0"/>
        <w:jc w:val="left"/>
        <w:rPr/>
      </w:pPr>
      <w:r>
        <w:rPr/>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5780"/>
                <wp:effectExtent l="0" t="0" r="0" b="0"/>
                <wp:wrapNone/>
                <wp:docPr id="1" name="Frame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30"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109"/>
        <w:gridCol w:w="109"/>
        <w:gridCol w:w="109"/>
        <w:gridCol w:w="669"/>
        <w:gridCol w:w="669"/>
        <w:gridCol w:w="672"/>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20" w:after="283"/>
        <w:jc w:val="center"/>
        <w:rPr/>
      </w:pPr>
      <w:r>
        <w:rPr/>
      </w:r>
    </w:p>
    <w:p>
      <w:pPr>
        <w:pStyle w:val="TextBody"/>
        <w:bidi w:val="0"/>
        <w:spacing w:before="0" w:after="0"/>
        <w:jc w:val="center"/>
        <w:rPr/>
      </w:pPr>
      <w:r>
        <w:rPr/>
      </w:r>
    </w:p>
    <w:p>
      <w:pPr>
        <w:pStyle w:val="TextBody"/>
        <w:bidi w:val="0"/>
        <w:spacing w:before="0" w:after="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35965"/>
                <wp:effectExtent l="0" t="0" r="0" b="0"/>
                <wp:wrapNone/>
                <wp:docPr id="2" name="Frame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Prospectus </w:t>
      </w:r>
    </w:p>
    <w:p>
      <w:pPr>
        <w:pStyle w:val="TextBody"/>
        <w:bidi w:val="0"/>
        <w:spacing w:before="0" w:after="0"/>
        <w:jc w:val="center"/>
        <w:rPr/>
      </w:pPr>
      <w:r>
        <w:rPr/>
      </w:r>
    </w:p>
    <w:p>
      <w:pPr>
        <w:pStyle w:val="TextBody"/>
        <w:bidi w:val="0"/>
        <w:spacing w:before="240" w:after="283"/>
        <w:jc w:val="center"/>
        <w:rPr/>
      </w:pPr>
      <w:r>
        <w:rPr/>
        <w:drawing>
          <wp:inline distT="0" distB="0" distL="0" distR="0">
            <wp:extent cx="1781175" cy="7239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781175" cy="7239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FASTLY,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Class A Common Stock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Warrants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from time to time, offer and sell any combination of the securities described in this prospectus, either individually or in combination, at prices and on terms described in one or more supplements to this prospectus. We may also offer Class A common stock or preferred stock upon conversion of debt securities, or Class A common stock upon conversion of preferred stock, or Class A common stock, preferred stock, or debt securities upon exercise of warrants.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may be sold by us to or through underwriters or dealers, directly to purchasers or through agents designated from time to time, or through a combination of these methods. For additional information on the methods of sale, you should refer to the sections titled "About this Prospectus" and “Plan of Distribution” in this prospectus and in the applicable prospectus supplement. If any underwriters or agents are involved in the sale of any securities with respect to which this prospectus is being delivered, the names of such underwriters or agents and any applicable discounts or commissions and options to purchase additional securities will be set forth in the applicable prospectus supplement. The price to the public of such securities and the net proceeds we expect to receive from such sale will also be set forth in a prospectus supplement. No securities may be sold without delivery of this prospectus and the applicable prospectus supplement describing the method and terms of the offering of such securities.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listed on the Nasdaq Global Select Market under the trading symbol “FSLY.” On August 5, 2026, the last reported sale price of our Class A common stock was $26.03 per share. The applicable prospectus supplement will contain information, where applicable, as to other listings, if any, on the Nasdaq Global Select Market or other securities exchange of the securities covered by the prospectus supplement. </w:t>
      </w:r>
    </w:p>
    <w:p>
      <w:pPr>
        <w:pStyle w:val="TextBody"/>
        <w:bidi w:val="0"/>
        <w:spacing w:lineRule="auto" w:line="288" w:before="240" w:after="283"/>
        <w:jc w:val="left"/>
        <w:rPr/>
      </w:pPr>
      <w:r>
        <w:rPr>
          <w:rFonts w:ascii="Times New Roman;serif" w:hAnsi="Times New Roman;serif"/>
          <w:b/>
          <w:color w:val="000000"/>
          <w:sz w:val="24"/>
        </w:rPr>
        <w:t>Investing in our securities involves a high degree of risk. You should review carefully the risks and uncertainties described under the heading “</w:t>
      </w:r>
      <w:hyperlink w:anchor="i891e2ffe01bb4559aa7ba41bac06991d_13">
        <w:r>
          <w:rPr>
            <w:rStyle w:val="InternetLink"/>
            <w:rFonts w:ascii="Times New Roman;serif" w:hAnsi="Times New Roman;serif"/>
            <w:b/>
            <w:color w:val="0000FF"/>
            <w:sz w:val="24"/>
            <w:u w:val="single"/>
          </w:rPr>
          <w:t>Risk Factors</w:t>
        </w:r>
      </w:hyperlink>
      <w:r>
        <w:rPr>
          <w:color w:val="000000"/>
        </w:rPr>
        <w:t xml:space="preserve">” </w:t>
      </w:r>
      <w:r>
        <w:rPr>
          <w:rFonts w:ascii="Times New Roman;serif" w:hAnsi="Times New Roman;serif"/>
          <w:b/>
          <w:color w:val="000000"/>
          <w:sz w:val="24"/>
        </w:rPr>
        <w:t xml:space="preserve">on page </w:t>
      </w:r>
      <w:hyperlink w:anchor="i891e2ffe01bb4559aa7ba41bac06991d_13">
        <w:r>
          <w:rPr>
            <w:rStyle w:val="InternetLink"/>
            <w:rFonts w:ascii="Times New Roman;serif" w:hAnsi="Times New Roman;serif"/>
            <w:b/>
            <w:color w:val="0000FF"/>
            <w:sz w:val="24"/>
            <w:u w:val="single"/>
          </w:rPr>
          <w:t>5</w:t>
        </w:r>
      </w:hyperlink>
      <w:r>
        <w:rPr>
          <w:color w:val="000000"/>
        </w:rPr>
        <w:t xml:space="preserve"> </w:t>
      </w:r>
      <w:r>
        <w:rPr>
          <w:rFonts w:ascii="Times New Roman;serif" w:hAnsi="Times New Roman;serif"/>
          <w:b/>
          <w:color w:val="000000"/>
          <w:sz w:val="24"/>
        </w:rPr>
        <w:t>of this prospectus and in our most recent Annual Report on Form 10-K and Quarterly Report on Form 10-Q incorporated by reference into this prospectus, the applicable prospectus supplement, and in any free writing prospectuses we have authorized for use in connection with a specific offering, and under similar headings in the other documents that are incorporated by reference into this prospectus.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35965"/>
                <wp:effectExtent l="0" t="0" r="0" b="0"/>
                <wp:wrapNone/>
                <wp:docPr id="4" name="Frame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date of this prospectus is August 6,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5965"/>
                <wp:effectExtent l="0" t="0" r="0" b="0"/>
                <wp:wrapNone/>
                <wp:docPr id="5" name="Frame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6221" w:type="dxa"/>
        <w:jc w:val="left"/>
        <w:tblInd w:w="0" w:type="dxa"/>
        <w:tblLayout w:type="fixed"/>
        <w:tblCellMar>
          <w:top w:w="28" w:type="dxa"/>
          <w:left w:w="28" w:type="dxa"/>
          <w:bottom w:w="28" w:type="dxa"/>
          <w:right w:w="28" w:type="dxa"/>
        </w:tblCellMar>
      </w:tblPr>
      <w:tblGrid>
        <w:gridCol w:w="2116"/>
        <w:gridCol w:w="1864"/>
        <w:gridCol w:w="1869"/>
        <w:gridCol w:w="109"/>
        <w:gridCol w:w="109"/>
        <w:gridCol w:w="154"/>
      </w:tblGrid>
      <w:tr>
        <w:trPr/>
        <w:tc>
          <w:tcPr>
            <w:tcW w:w="211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b57bda0166840e89a2d2399236634a2">
              <w:r>
                <w:rPr>
                  <w:rStyle w:val="InternetLink"/>
                  <w:rFonts w:ascii="Times New Roman;serif" w:hAnsi="Times New Roman;serif"/>
                  <w:b w:val="false"/>
                  <w:color w:val="0E32E1"/>
                  <w:sz w:val="20"/>
                  <w:u w:val="single"/>
                </w:rPr>
                <w:t xml:space="preserve">ABOUT THIS PROSPECTUS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b57bda0166840e89a2d2399236634a2">
              <w:r>
                <w:rPr>
                  <w:rStyle w:val="InternetLink"/>
                  <w:rFonts w:ascii="Times New Roman;serif" w:hAnsi="Times New Roman;serif"/>
                  <w:b w:val="false"/>
                  <w:color w:val="0E32E1"/>
                  <w:sz w:val="20"/>
                  <w:u w:val="single"/>
                </w:rPr>
                <w:t>i</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39d2483a58f4f81abd370627e2a489f">
              <w:r>
                <w:rPr>
                  <w:rStyle w:val="InternetLink"/>
                  <w:rFonts w:ascii="Times New Roman;serif" w:hAnsi="Times New Roman;serif"/>
                  <w:b w:val="false"/>
                  <w:color w:val="0E32E1"/>
                  <w:sz w:val="20"/>
                  <w:u w:val="single"/>
                </w:rPr>
                <w:t>PROSPECTUS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39d2483a58f4f81abd370627e2a489f">
              <w:r>
                <w:rPr>
                  <w:rStyle w:val="InternetLink"/>
                  <w:rFonts w:ascii="Times New Roman;serif" w:hAnsi="Times New Roman;serif"/>
                  <w:b w:val="false"/>
                  <w:color w:val="0E32E1"/>
                  <w:sz w:val="20"/>
                  <w:u w:val="single"/>
                </w:rPr>
                <w:t>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ce6ed44737949a1b93b0ea59eea4d7c">
              <w:r>
                <w:rPr>
                  <w:rStyle w:val="InternetLink"/>
                  <w:rFonts w:ascii="Times New Roman;serif" w:hAnsi="Times New Roman;serif"/>
                  <w:b w:val="false"/>
                  <w:color w:val="0E32E1"/>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ce6ed44737949a1b93b0ea59eea4d7c">
              <w:r>
                <w:rPr>
                  <w:rStyle w:val="InternetLink"/>
                  <w:rFonts w:ascii="Times New Roman;serif" w:hAnsi="Times New Roman;serif"/>
                  <w:b w:val="false"/>
                  <w:color w:val="0E32E1"/>
                  <w:sz w:val="20"/>
                  <w:u w:val="single"/>
                </w:rPr>
                <w:t>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89c83c833843028642a461d005409b">
              <w:r>
                <w:rPr>
                  <w:rStyle w:val="InternetLink"/>
                  <w:rFonts w:ascii="Times New Roman;serif" w:hAnsi="Times New Roman;serif"/>
                  <w:b w:val="false"/>
                  <w:color w:val="0E32E1"/>
                  <w:sz w:val="20"/>
                  <w:u w:val="single"/>
                </w:rPr>
                <w:t>SPECIAL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89c83c833843028642a461d005409b">
              <w:r>
                <w:rPr>
                  <w:rStyle w:val="InternetLink"/>
                  <w:rFonts w:ascii="Times New Roman;serif" w:hAnsi="Times New Roman;serif"/>
                  <w:b w:val="false"/>
                  <w:color w:val="0E32E1"/>
                  <w:sz w:val="20"/>
                  <w:u w:val="single"/>
                </w:rPr>
                <w:t>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aa907286094f57ac0ed4c33c153f93">
              <w:r>
                <w:rPr>
                  <w:rStyle w:val="InternetLink"/>
                  <w:rFonts w:ascii="Times New Roman;serif" w:hAnsi="Times New Roman;serif"/>
                  <w:b w:val="false"/>
                  <w:color w:val="0E32E1"/>
                  <w:sz w:val="20"/>
                  <w:u w:val="single"/>
                </w:rPr>
                <w:t xml:space="preserve">USE OF PROCEEDS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eaa907286094f57ac0ed4c33c153f93">
              <w:r>
                <w:rPr>
                  <w:rStyle w:val="InternetLink"/>
                  <w:rFonts w:ascii="Times New Roman;serif" w:hAnsi="Times New Roman;serif"/>
                  <w:b w:val="false"/>
                  <w:color w:val="0E32E1"/>
                  <w:sz w:val="20"/>
                  <w:u w:val="single"/>
                </w:rPr>
                <w:t>8</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fac2225e134a5a85e40c0ec5a86c78">
              <w:r>
                <w:rPr>
                  <w:rStyle w:val="InternetLink"/>
                  <w:rFonts w:ascii="Times New Roman;serif" w:hAnsi="Times New Roman;serif"/>
                  <w:b w:val="false"/>
                  <w:color w:val="0E32E1"/>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1fac2225e134a5a85e40c0ec5a86c78">
              <w:r>
                <w:rPr>
                  <w:rStyle w:val="InternetLink"/>
                  <w:rFonts w:ascii="Times New Roman;serif" w:hAnsi="Times New Roman;serif"/>
                  <w:b w:val="false"/>
                  <w:color w:val="0E32E1"/>
                  <w:sz w:val="20"/>
                  <w:u w:val="single"/>
                </w:rPr>
                <w:t>9</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5c2228fdd934ae09021209574fdb770">
              <w:r>
                <w:rPr>
                  <w:rStyle w:val="InternetLink"/>
                  <w:rFonts w:ascii="Times New Roman;serif" w:hAnsi="Times New Roman;serif"/>
                  <w:b w:val="false"/>
                  <w:color w:val="0E32E1"/>
                  <w:sz w:val="20"/>
                  <w:u w:val="single"/>
                </w:rPr>
                <w:t xml:space="preserve">DESCRIPTION OF DEBT SECURITIES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5c2228fdd934ae09021209574fdb770">
              <w:r>
                <w:rPr>
                  <w:rStyle w:val="InternetLink"/>
                  <w:rFonts w:ascii="Times New Roman;serif" w:hAnsi="Times New Roman;serif"/>
                  <w:b w:val="false"/>
                  <w:color w:val="0E32E1"/>
                  <w:sz w:val="20"/>
                  <w:u w:val="single"/>
                </w:rPr>
                <w:t>14</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670a18ad0e48239c412db261fd1711">
              <w:r>
                <w:rPr>
                  <w:rStyle w:val="InternetLink"/>
                  <w:rFonts w:ascii="Times New Roman;serif" w:hAnsi="Times New Roman;serif"/>
                  <w:b w:val="false"/>
                  <w:color w:val="0E32E1"/>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e670a18ad0e48239c412db261fd1711">
              <w:r>
                <w:rPr>
                  <w:rStyle w:val="InternetLink"/>
                  <w:rFonts w:ascii="Times New Roman;serif" w:hAnsi="Times New Roman;serif"/>
                  <w:b w:val="false"/>
                  <w:color w:val="0E32E1"/>
                  <w:sz w:val="20"/>
                  <w:u w:val="single"/>
                </w:rPr>
                <w:t>21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015c059c540c99b65f78bd31ee387">
              <w:r>
                <w:rPr>
                  <w:rStyle w:val="InternetLink"/>
                  <w:rFonts w:ascii="Times New Roman;serif" w:hAnsi="Times New Roman;serif"/>
                  <w:b w:val="false"/>
                  <w:color w:val="0E32E1"/>
                  <w:sz w:val="20"/>
                  <w:u w:val="single"/>
                </w:rPr>
                <w:t xml:space="preserve">LEGAL OWNERSHIP OF SECURITIES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86015c059c540c99b65f78bd31ee387">
              <w:r>
                <w:rPr>
                  <w:rStyle w:val="InternetLink"/>
                  <w:rFonts w:ascii="Times New Roman;serif" w:hAnsi="Times New Roman;serif"/>
                  <w:b w:val="false"/>
                  <w:color w:val="0E32E1"/>
                  <w:sz w:val="20"/>
                  <w:u w:val="single"/>
                </w:rPr>
                <w:t>23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b0921327254d91a0b91b07cf38a627">
              <w:r>
                <w:rPr>
                  <w:rStyle w:val="InternetLink"/>
                  <w:rFonts w:ascii="Times New Roman;serif" w:hAnsi="Times New Roman;serif"/>
                  <w:b w:val="false"/>
                  <w:color w:val="0E32E1"/>
                  <w:sz w:val="20"/>
                  <w:u w:val="single"/>
                </w:rPr>
                <w:t xml:space="preserve">PLAN OF DISTRIBUTION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7b0921327254d91a0b91b07cf38a627">
              <w:r>
                <w:rPr>
                  <w:rStyle w:val="InternetLink"/>
                  <w:rFonts w:ascii="Times New Roman;serif" w:hAnsi="Times New Roman;serif"/>
                  <w:b w:val="false"/>
                  <w:color w:val="0E32E1"/>
                  <w:sz w:val="20"/>
                  <w:u w:val="single"/>
                </w:rPr>
                <w:t>26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eb097a30d34603b9729f2cd14d8609">
              <w:r>
                <w:rPr>
                  <w:rStyle w:val="InternetLink"/>
                  <w:rFonts w:ascii="Times New Roman;serif" w:hAnsi="Times New Roman;serif"/>
                  <w:b w:val="false"/>
                  <w:color w:val="0E32E1"/>
                  <w:sz w:val="20"/>
                  <w:u w:val="single"/>
                </w:rPr>
                <w:t xml:space="preserve">LEGAL MATTERS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1eb097a30d34603b9729f2cd14d8609">
              <w:r>
                <w:rPr>
                  <w:rStyle w:val="InternetLink"/>
                  <w:rFonts w:ascii="Times New Roman;serif" w:hAnsi="Times New Roman;serif"/>
                  <w:b w:val="false"/>
                  <w:color w:val="0E32E1"/>
                  <w:sz w:val="20"/>
                  <w:u w:val="single"/>
                </w:rPr>
                <w:t>28</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8f0c369f134816a207adb1bab27263">
              <w:r>
                <w:rPr>
                  <w:rStyle w:val="InternetLink"/>
                  <w:rFonts w:ascii="Times New Roman;serif" w:hAnsi="Times New Roman;serif"/>
                  <w:b w:val="false"/>
                  <w:color w:val="0E32E1"/>
                  <w:sz w:val="20"/>
                  <w:u w:val="single"/>
                </w:rPr>
                <w:t xml:space="preserve">EXPERTS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8f0c369f134816a207adb1bab27263">
              <w:r>
                <w:rPr>
                  <w:rStyle w:val="InternetLink"/>
                  <w:rFonts w:ascii="Times New Roman;serif" w:hAnsi="Times New Roman;serif"/>
                  <w:b w:val="false"/>
                  <w:color w:val="0E32E1"/>
                  <w:sz w:val="20"/>
                  <w:u w:val="single"/>
                </w:rPr>
                <w:t>28</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0233aefa40429da0a71aab2152b5a8">
              <w:r>
                <w:rPr>
                  <w:rStyle w:val="InternetLink"/>
                  <w:rFonts w:ascii="Times New Roman;serif" w:hAnsi="Times New Roman;serif"/>
                  <w:b w:val="false"/>
                  <w:color w:val="0E32E1"/>
                  <w:sz w:val="20"/>
                  <w:u w:val="single"/>
                </w:rPr>
                <w:t xml:space="preserve">WHERE YOU CAN FIND MORE INFORMATION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40233aefa40429da0a71aab2152b5a8">
              <w:r>
                <w:rPr>
                  <w:rStyle w:val="InternetLink"/>
                  <w:rFonts w:ascii="Times New Roman;serif" w:hAnsi="Times New Roman;serif"/>
                  <w:b w:val="false"/>
                  <w:color w:val="0E32E1"/>
                  <w:sz w:val="20"/>
                  <w:u w:val="single"/>
                </w:rPr>
                <w:t>28</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614baee70d4710b49753d4ac01e9c2">
              <w:r>
                <w:rPr>
                  <w:rStyle w:val="InternetLink"/>
                  <w:rFonts w:ascii="Times New Roman;serif" w:hAnsi="Times New Roman;serif"/>
                  <w:b w:val="false"/>
                  <w:color w:val="0E32E1"/>
                  <w:sz w:val="20"/>
                  <w:u w:val="single"/>
                </w:rPr>
                <w:t xml:space="preserve">INCORPORATION OF CERTAIN INFORMATION BY REFERENCE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3614baee70d4710b49753d4ac01e9c2">
              <w:r>
                <w:rPr>
                  <w:rStyle w:val="InternetLink"/>
                  <w:rFonts w:ascii="Times New Roman;serif" w:hAnsi="Times New Roman;serif"/>
                  <w:b w:val="false"/>
                  <w:color w:val="0E32E1"/>
                  <w:sz w:val="20"/>
                  <w:u w:val="singl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bookmarkStart w:id="0" w:name="i5b57bda0166840e89a2d2399236634a2"/>
      <w:bookmarkEnd w:id="0"/>
      <w:r>
        <w:rPr>
          <w:rFonts w:ascii="Times New Roman;serif" w:hAnsi="Times New Roman;serif"/>
          <w:b/>
          <w:color w:val="000000"/>
          <w:sz w:val="20"/>
        </w:rPr>
        <w:t xml:space="preserve">ABOUT THIS PROSPECTUS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an automatic registration statement on Form S-3 that we filed with the Securities and Exchange Commission (“SEC”), using a “shelf” registration process as a “well-known seasoned issuer” as defined in Rule 405 under the Securities Act of 1933, as amended (the “Securities Act”). Under this shelf registration statement, we may sell from time to time in one or more offerings of Class A common stock, preferred stock, various series of debt securities and/or warrants to purchase any of such securities, either individually or in combination with other securities, in one or more offerings described in this prospectus. There is no limit on the aggregate amount of the securities that we may offer pursuant to the registration statement of which this prospectus is a part. This prospectus provides you with a general description of the securities we may offer.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We may also add, update, or change in a prospectus supplement or free writing prospectus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If there is any inconsistency between the information in this prospectus and the applicable prospectus supplement or free writing prospectus, you should rely on the prospectus supplement or free writing prospectus, as applicable;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You should carefully read both this prospectus and the applicable prospectus supplement and any related free writing prospectus, together with the additional information described under “Where You Can Find More Information,” before buying any of the securities being offered.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authorized anyone to provide you with any information or to make any representations other than those contained in, or incorporated by reference into, this prospectus and the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You should not assume that the information contained in or incorporated by reference in this prospectus or any prospectus supplement or in any such free writing prospectus is accurate as of any date other than their respective dates. Our business, financial condition, results of operations, and prospects may have changed since those dates.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context indicates otherwise, as used in this prospectus, the terms “Fastly,” “Fastly, Inc.,” “Company,” “we,” “us” and “our” refer to Fastly, Inc. and, where appropriate, its subsidiaries on a consolidated basis.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bookmarkStart w:id="1" w:name="ie39d2483a58f4f81abd370627e2a489f"/>
      <w:bookmarkEnd w:id="1"/>
      <w:r>
        <w:rPr>
          <w:rFonts w:ascii="Times New Roman;serif" w:hAnsi="Times New Roman;serif"/>
          <w:b/>
          <w:color w:val="000000"/>
          <w:sz w:val="20"/>
        </w:rPr>
        <w:t>PROSPECTUS SUMMARY</w:t>
      </w:r>
    </w:p>
    <w:tbl>
      <w:tblPr>
        <w:tblW w:w="10205" w:type="dxa"/>
        <w:jc w:val="center"/>
        <w:tblInd w:w="0" w:type="dxa"/>
        <w:tblLayout w:type="fixed"/>
        <w:tblCellMar>
          <w:top w:w="28" w:type="dxa"/>
          <w:left w:w="28" w:type="dxa"/>
          <w:bottom w:w="28" w:type="dxa"/>
          <w:right w:w="28" w:type="dxa"/>
        </w:tblCellMar>
      </w:tblPr>
      <w:tblGrid>
        <w:gridCol w:w="3264"/>
        <w:gridCol w:w="2867"/>
        <w:gridCol w:w="4074"/>
      </w:tblGrid>
      <w:tr>
        <w:trPr/>
        <w:tc>
          <w:tcPr>
            <w:tcW w:w="326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before="240" w:after="283"/>
              <w:jc w:val="center"/>
              <w:rPr/>
            </w:pPr>
            <w:r>
              <w:rPr/>
            </w:r>
          </w:p>
          <w:p>
            <w:pPr>
              <w:pStyle w:val="TableContents"/>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ableContents"/>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Fastly, Inc.</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Organizations around the world are more dependent on the quality of digital experiences they provide than ever before. As the internet approaches an inflection point where automated, artificial intelligence (“AI”)-driven traffic increases demands on infrastructure, Fastly is the essential platform to deliver resilient, highly performant, always-on software and services at global scale.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edge cloud is a category of Infrastructure as a Service that enables software engineers to build, secure, and deliver digital experiences at the edge of the Internet. Our platform represents the convergence of the Content Delivery Network with functionality that has traditionally been delivered by hardware-centric appliances such as Application Delivery Controllers, Web Application Firewalls, API Management, Bot Detection, Distributed Denial of Service, Web Application and API Protection, and infrastructure protection.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Processing at the edge is an ideal way to handle highly dynamic and time-sensitive data, especially when performance matters. Organizations of all sizes, including Fortune 500 companies that run 24/7 operations, leverage our edge cloud platform for a diverse range of critical functions that benefit from processing at the edge, including enhancing user experience, scaling agentic AI workloads, and powering core commerce capabilities to drive conversion and customer success. The edge cloud complements data center, central cloud, and hybrid solutions, and is critical for responsive, safe, and secure AI-centric experiences.</w:t>
            </w:r>
          </w:p>
          <w:p>
            <w:pPr>
              <w:pStyle w:val="TableContents"/>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Company Information </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were initially incorporated under the laws of the State of Delaware in March 2011 under the name SkyCache, Inc. We changed our name to Fastly, Inc. in May 2012. Our principal executive offices are located at 475 Brannan Street, Suite 300, San Francisco, California 94107. Our telephone number is 1-844-432-7859. Our website address is www.fastly.com. The information contained on, or that can be accessed through, our website does not constitute part of this prospectus and is not incorporated by reference herein, and the inclusion of our website address in this prospectus is an inactive textual reference only. </w:t>
            </w:r>
          </w:p>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Fastly logo and other trademarks or service marks of Fastly, Inc. appearing in this prospectus are the property of Fastly,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267"/>
        <w:gridCol w:w="2866"/>
        <w:gridCol w:w="4072"/>
      </w:tblGrid>
      <w:tr>
        <w:trPr/>
        <w:tc>
          <w:tcPr>
            <w:tcW w:w="3267"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360" w:after="2"/>
              <w:jc w:val="center"/>
              <w:rPr>
                <w:rFonts w:ascii="Times New Roman;serif" w:hAnsi="Times New Roman;serif"/>
                <w:b/>
                <w:color w:val="000000"/>
                <w:sz w:val="20"/>
              </w:rPr>
            </w:pPr>
            <w:r>
              <w:rPr>
                <w:rFonts w:ascii="Times New Roman;serif" w:hAnsi="Times New Roman;serif"/>
                <w:b/>
                <w:color w:val="000000"/>
                <w:sz w:val="20"/>
              </w:rPr>
              <w:t xml:space="preserve">Description of Securities </w:t>
            </w:r>
          </w:p>
          <w:p>
            <w:pPr>
              <w:pStyle w:val="TableContents"/>
              <w:bidi w:val="0"/>
              <w:spacing w:lineRule="auto" w:line="300" w:before="120" w:after="2"/>
              <w:jc w:val="left"/>
              <w:rPr>
                <w:rFonts w:ascii="Times New Roman;serif" w:hAnsi="Times New Roman;serif"/>
                <w:b w:val="false"/>
                <w:color w:val="000000"/>
                <w:sz w:val="20"/>
              </w:rPr>
            </w:pPr>
            <w:r>
              <w:rPr>
                <w:rFonts w:ascii="Times New Roman;serif" w:hAnsi="Times New Roman;serif"/>
                <w:b w:val="false"/>
                <w:color w:val="000000"/>
                <w:sz w:val="20"/>
              </w:rPr>
              <w:t xml:space="preserve">We may offer shares of our Class A common stock, preferred stock, various series of debt securities, or warrants to purchase any of such securities, either individually or in combination with other securities, from time to time under this prospectus, together with the applicable prospectus supplement and any related free writing prospectus, at prices and on terms to be determined at the time of any offering. We may also offer Class A common stock, preferred stock, 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ableContents"/>
              <w:bidi w:val="0"/>
              <w:spacing w:lineRule="auto" w:line="276" w:before="120" w:after="2"/>
              <w:ind w:left="0" w:right="0" w:hanging="360"/>
              <w:jc w:val="left"/>
              <w:rPr/>
            </w:pPr>
            <w:r>
              <w:rPr>
                <w:color w:val="000000"/>
              </w:rPr>
              <w:t>•</w:t>
            </w:r>
            <w:r>
              <w:rPr>
                <w:rFonts w:ascii="Times New Roman;serif" w:hAnsi="Times New Roman;serif"/>
                <w:b w:val="false"/>
                <w:color w:val="000000"/>
                <w:sz w:val="20"/>
              </w:rPr>
              <w:t xml:space="preserve">designation or classification; </w:t>
            </w:r>
          </w:p>
          <w:p>
            <w:pPr>
              <w:pStyle w:val="TableContents"/>
              <w:bidi w:val="0"/>
              <w:spacing w:lineRule="auto" w:line="276" w:before="120" w:after="2"/>
              <w:ind w:left="0" w:right="0" w:hanging="360"/>
              <w:jc w:val="left"/>
              <w:rPr/>
            </w:pPr>
            <w:r>
              <w:rPr>
                <w:color w:val="000000"/>
              </w:rPr>
              <w:t>•</w:t>
            </w:r>
            <w:r>
              <w:rPr>
                <w:rFonts w:ascii="Times New Roman;serif" w:hAnsi="Times New Roman;serif"/>
                <w:b w:val="false"/>
                <w:color w:val="000000"/>
                <w:sz w:val="20"/>
              </w:rPr>
              <w:t xml:space="preserve">aggregate principal amount or aggregate offering price; </w:t>
            </w:r>
          </w:p>
          <w:p>
            <w:pPr>
              <w:pStyle w:val="TableContents"/>
              <w:bidi w:val="0"/>
              <w:spacing w:lineRule="auto" w:line="276" w:before="120" w:after="2"/>
              <w:ind w:left="0" w:right="0" w:hanging="360"/>
              <w:jc w:val="left"/>
              <w:rPr/>
            </w:pPr>
            <w:r>
              <w:rPr>
                <w:color w:val="000000"/>
              </w:rPr>
              <w:t>•</w:t>
            </w:r>
            <w:r>
              <w:rPr>
                <w:rFonts w:ascii="Times New Roman;serif" w:hAnsi="Times New Roman;serif"/>
                <w:b w:val="false"/>
                <w:color w:val="000000"/>
                <w:sz w:val="20"/>
              </w:rPr>
              <w:t xml:space="preserve">maturity date, if applicable; </w:t>
            </w:r>
          </w:p>
          <w:p>
            <w:pPr>
              <w:pStyle w:val="TableContents"/>
              <w:bidi w:val="0"/>
              <w:spacing w:lineRule="auto" w:line="276" w:before="120" w:after="2"/>
              <w:ind w:left="0" w:right="0" w:hanging="360"/>
              <w:jc w:val="left"/>
              <w:rPr/>
            </w:pPr>
            <w:r>
              <w:rPr>
                <w:color w:val="000000"/>
              </w:rPr>
              <w:t>•</w:t>
            </w:r>
            <w:r>
              <w:rPr>
                <w:rFonts w:ascii="Times New Roman;serif" w:hAnsi="Times New Roman;serif"/>
                <w:b w:val="false"/>
                <w:color w:val="000000"/>
                <w:sz w:val="20"/>
              </w:rPr>
              <w:t xml:space="preserve">original issue discount, if any; </w:t>
            </w:r>
          </w:p>
          <w:p>
            <w:pPr>
              <w:pStyle w:val="TableContents"/>
              <w:bidi w:val="0"/>
              <w:spacing w:lineRule="auto" w:line="276" w:before="120" w:after="2"/>
              <w:ind w:left="0" w:right="0" w:hanging="360"/>
              <w:jc w:val="left"/>
              <w:rPr/>
            </w:pPr>
            <w:r>
              <w:rPr>
                <w:color w:val="000000"/>
              </w:rPr>
              <w:t>•</w:t>
            </w:r>
            <w:r>
              <w:rPr>
                <w:rFonts w:ascii="Times New Roman;serif" w:hAnsi="Times New Roman;serif"/>
                <w:b w:val="false"/>
                <w:color w:val="000000"/>
                <w:sz w:val="20"/>
              </w:rPr>
              <w:t xml:space="preserve">rates and times of payment of interest or dividends, if any; </w:t>
            </w:r>
          </w:p>
          <w:p>
            <w:pPr>
              <w:pStyle w:val="TableContents"/>
              <w:bidi w:val="0"/>
              <w:spacing w:lineRule="auto" w:line="276" w:before="120" w:after="2"/>
              <w:ind w:left="0" w:right="0" w:hanging="360"/>
              <w:jc w:val="left"/>
              <w:rPr/>
            </w:pPr>
            <w:r>
              <w:rPr>
                <w:color w:val="000000"/>
              </w:rPr>
              <w:t>•</w:t>
            </w:r>
            <w:r>
              <w:rPr>
                <w:rFonts w:ascii="Times New Roman;serif" w:hAnsi="Times New Roman;serif"/>
                <w:b w:val="false"/>
                <w:color w:val="000000"/>
                <w:sz w:val="20"/>
              </w:rPr>
              <w:t xml:space="preserve">redemption, conversion, exercise, exchange, or sinking fund terms, if any; </w:t>
            </w:r>
          </w:p>
          <w:p>
            <w:pPr>
              <w:pStyle w:val="TableContents"/>
              <w:bidi w:val="0"/>
              <w:spacing w:lineRule="auto" w:line="276" w:before="120" w:after="2"/>
              <w:ind w:left="0" w:right="0" w:hanging="360"/>
              <w:jc w:val="left"/>
              <w:rPr/>
            </w:pPr>
            <w:r>
              <w:rPr>
                <w:color w:val="000000"/>
              </w:rPr>
              <w:t>•</w:t>
            </w:r>
            <w:r>
              <w:rPr>
                <w:rFonts w:ascii="Times New Roman;serif" w:hAnsi="Times New Roman;serif"/>
                <w:b w:val="false"/>
                <w:color w:val="000000"/>
                <w:sz w:val="20"/>
              </w:rPr>
              <w:t xml:space="preserve">ranking; </w:t>
            </w:r>
          </w:p>
          <w:p>
            <w:pPr>
              <w:pStyle w:val="TableContents"/>
              <w:bidi w:val="0"/>
              <w:spacing w:lineRule="auto" w:line="276" w:before="120" w:after="2"/>
              <w:ind w:left="0" w:right="0" w:hanging="360"/>
              <w:jc w:val="left"/>
              <w:rPr/>
            </w:pPr>
            <w:r>
              <w:rPr>
                <w:color w:val="000000"/>
              </w:rPr>
              <w:t>•</w:t>
            </w:r>
            <w:r>
              <w:rPr>
                <w:rFonts w:ascii="Times New Roman;serif" w:hAnsi="Times New Roman;serif"/>
                <w:b w:val="false"/>
                <w:color w:val="000000"/>
                <w:sz w:val="20"/>
              </w:rPr>
              <w:t xml:space="preserve">restrictive covenants, if any; </w:t>
            </w:r>
          </w:p>
          <w:p>
            <w:pPr>
              <w:pStyle w:val="TableContents"/>
              <w:bidi w:val="0"/>
              <w:spacing w:lineRule="auto" w:line="276" w:before="120" w:after="2"/>
              <w:ind w:left="0" w:right="0" w:hanging="360"/>
              <w:jc w:val="left"/>
              <w:rPr/>
            </w:pPr>
            <w:r>
              <w:rPr>
                <w:color w:val="000000"/>
              </w:rPr>
              <w:t>•</w:t>
            </w:r>
            <w:r>
              <w:rPr>
                <w:rFonts w:ascii="Times New Roman;serif" w:hAnsi="Times New Roman;serif"/>
                <w:b w:val="false"/>
                <w:color w:val="000000"/>
                <w:sz w:val="20"/>
              </w:rPr>
              <w:t xml:space="preserve">voting or other rights, if any; </w:t>
            </w:r>
          </w:p>
          <w:p>
            <w:pPr>
              <w:pStyle w:val="TableContents"/>
              <w:bidi w:val="0"/>
              <w:spacing w:lineRule="auto" w:line="276" w:before="120" w:after="2"/>
              <w:ind w:left="0" w:right="0" w:hanging="360"/>
              <w:jc w:val="left"/>
              <w:rPr/>
            </w:pPr>
            <w:r>
              <w:rPr>
                <w:color w:val="000000"/>
              </w:rPr>
              <w:t>•</w:t>
            </w:r>
            <w:r>
              <w:rPr>
                <w:rFonts w:ascii="Times New Roman;serif" w:hAnsi="Times New Roman;serif"/>
                <w:b w:val="false"/>
                <w:color w:val="000000"/>
                <w:sz w:val="20"/>
              </w:rPr>
              <w:t xml:space="preserve">conversion or exchange prices or rates, if any, and, if applicable, any provisions for changes to or adjustments in the conversion or exchange prices or rates and in the securities or other property receivable upon conversion or exchange; and </w:t>
            </w:r>
          </w:p>
          <w:p>
            <w:pPr>
              <w:pStyle w:val="TableContents"/>
              <w:bidi w:val="0"/>
              <w:spacing w:lineRule="auto" w:line="276" w:before="120" w:after="2"/>
              <w:ind w:left="0" w:right="0" w:hanging="360"/>
              <w:jc w:val="left"/>
              <w:rPr/>
            </w:pPr>
            <w:r>
              <w:rPr>
                <w:color w:val="000000"/>
              </w:rPr>
              <w:t>•</w:t>
            </w:r>
            <w:r>
              <w:rPr>
                <w:rFonts w:ascii="Times New Roman;serif" w:hAnsi="Times New Roman;serif"/>
                <w:b w:val="false"/>
                <w:color w:val="000000"/>
                <w:sz w:val="20"/>
              </w:rPr>
              <w:t xml:space="preserve">material or special U.S. federal income tax considerations, if any. </w:t>
            </w:r>
          </w:p>
          <w:p>
            <w:pPr>
              <w:pStyle w:val="TableContents"/>
              <w:bidi w:val="0"/>
              <w:spacing w:before="120" w:after="2"/>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applicable prospectus supplement and any related free writing prospectus that we may authorize to be provided to you may also add, update or change any of the information contained in this prospectus or in the documents we have incorporated by reference. </w:t>
            </w:r>
          </w:p>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 </w:t>
            </w:r>
          </w:p>
          <w:p>
            <w:pPr>
              <w:pStyle w:val="TableContents"/>
              <w:bidi w:val="0"/>
              <w:spacing w:lineRule="auto" w:line="300" w:before="120" w:after="2"/>
              <w:ind w:left="0" w:right="0" w:hanging="360"/>
              <w:jc w:val="left"/>
              <w:rPr/>
            </w:pPr>
            <w:r>
              <w:rPr>
                <w:color w:val="000000"/>
              </w:rPr>
              <w:t>•</w:t>
            </w:r>
            <w:r>
              <w:rPr>
                <w:rFonts w:ascii="Times New Roman;serif" w:hAnsi="Times New Roman;serif"/>
                <w:b w:val="false"/>
                <w:color w:val="000000"/>
                <w:sz w:val="20"/>
              </w:rPr>
              <w:t xml:space="preserve">the names of those agents or underwriters; </w:t>
            </w:r>
          </w:p>
          <w:p>
            <w:pPr>
              <w:pStyle w:val="TableContents"/>
              <w:bidi w:val="0"/>
              <w:spacing w:lineRule="auto" w:line="300" w:before="120" w:after="2"/>
              <w:ind w:left="0" w:right="0" w:hanging="360"/>
              <w:jc w:val="left"/>
              <w:rPr/>
            </w:pPr>
            <w:r>
              <w:rPr>
                <w:color w:val="000000"/>
              </w:rPr>
              <w:t>•</w:t>
            </w:r>
            <w:r>
              <w:rPr>
                <w:rFonts w:ascii="Times New Roman;serif" w:hAnsi="Times New Roman;serif"/>
                <w:b w:val="false"/>
                <w:color w:val="000000"/>
                <w:sz w:val="20"/>
              </w:rPr>
              <w:t xml:space="preserve">applicable fees, discounts, and commissions to be paid to them; </w:t>
            </w:r>
          </w:p>
          <w:p>
            <w:pPr>
              <w:pStyle w:val="TableContents"/>
              <w:bidi w:val="0"/>
              <w:spacing w:lineRule="auto" w:line="300" w:before="120" w:after="2"/>
              <w:ind w:left="0" w:right="0" w:hanging="360"/>
              <w:jc w:val="left"/>
              <w:rPr/>
            </w:pPr>
            <w:r>
              <w:rPr>
                <w:color w:val="000000"/>
              </w:rPr>
              <w:t>•</w:t>
            </w:r>
            <w:r>
              <w:rPr>
                <w:rFonts w:ascii="Times New Roman;serif" w:hAnsi="Times New Roman;serif"/>
                <w:b w:val="false"/>
                <w:color w:val="000000"/>
                <w:sz w:val="20"/>
              </w:rPr>
              <w:t xml:space="preserve">details regarding over-allotment or other options, if any; and </w:t>
            </w:r>
          </w:p>
          <w:p>
            <w:pPr>
              <w:pStyle w:val="TableContents"/>
              <w:bidi w:val="0"/>
              <w:spacing w:lineRule="auto" w:line="300" w:before="120" w:after="2"/>
              <w:ind w:left="0" w:right="0" w:hanging="360"/>
              <w:jc w:val="left"/>
              <w:rPr/>
            </w:pPr>
            <w:r>
              <w:rPr>
                <w:color w:val="000000"/>
              </w:rPr>
              <w:t>•</w:t>
            </w:r>
            <w:r>
              <w:rPr>
                <w:rFonts w:ascii="Times New Roman;serif" w:hAnsi="Times New Roman;serif"/>
                <w:b w:val="false"/>
                <w:color w:val="000000"/>
                <w:sz w:val="20"/>
              </w:rPr>
              <w:t xml:space="preserve">the net proceeds to us, if any. </w:t>
            </w:r>
          </w:p>
          <w:p>
            <w:pPr>
              <w:pStyle w:val="TableContents"/>
              <w:bidi w:val="0"/>
              <w:spacing w:before="0" w:after="2"/>
              <w:jc w:val="left"/>
              <w:rPr/>
            </w:pPr>
            <w:r>
              <w:rPr/>
            </w:r>
          </w:p>
          <w:p>
            <w:pPr>
              <w:pStyle w:val="TableContents"/>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Class A Common Stock </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shares of our Class A common stock from time to time. The holders of Class A common stock are entitled to one vote per share on all matters to be voted on by the stockholders. Subject to the preferences that may be applicable to any outstanding shares of preferred stock, the holders of Class A common stock are entitled to receive ratably any dividends our board of directors declares out of funds legally available for the payment of dividends. If we are liquidated, dissolved, or wound up, the holders of Class A common stock are entitled to share pro rata all assets remaining after payment of liabilities and liquidation preferences of any outstanding shares of preferred stock. Holders of Class A common stock have no preemptive rights or rights to convert their Class A common stock into any other securities. There are no redemption or sinking fund provisions applicable to the Class A common stock. In this prospectus, we have summarized certain general features of the Class A common stock under the heading “Description of Capital Stock—Class A Common Stock.” We urge you, however, to read the applicable prospectus supplement (and any related free writing prospectus that we may authorize to be provided to you) related to any Class A common stock being offered.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Preferred Stock </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shares of our preferred stock from time to time, in one or more series. Our board of directors will determine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our Class A common stock. </w:t>
            </w:r>
          </w:p>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 </w:t>
            </w:r>
          </w:p>
          <w:p>
            <w:pPr>
              <w:pStyle w:val="TableContents"/>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Debt Securities </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 </w:t>
            </w:r>
          </w:p>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ableContents"/>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Warrants </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w:t>
            </w:r>
          </w:p>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Warrants may be issued under a warrant agreement that we enter into with a warrant agent. We will indicate the name and address of the warrant agent, if any, in the applicable prospectus supplement relating to a particular series of warrants.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Except as described in any applicable prospectus supplement or in any free writing prospectuses we have authorized for use in connection with a specific offering, we intend to use the net proceeds for working capital and general corporate purposes, including sales and marketing activities, research and development activities, general and administrative matters, repayment of debt, other business opportunities, and capital expenditures. We may also use a portion of the net proceeds to acquire or invest in businesses, products, and technologies that are complementary to our own, although we have no current commitments or agreements with respect to any acquisitions or investments. See “Use of Proceeds” in this prospectus. </w:t>
            </w:r>
          </w:p>
          <w:p>
            <w:pPr>
              <w:pStyle w:val="TableContents"/>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Listing </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listed on the Nasdaq Global Select Market under the symbol “FSLY.” The applicable prospectus supplement will contain information, where applicable, as to other listings, if any, on the Nasdaq Global Select Market or any other securities market or other exchange of the securities covered by the applicable prospectus supplement. </w:t>
            </w:r>
          </w:p>
          <w:p>
            <w:pPr>
              <w:pStyle w:val="TableContents"/>
              <w:bidi w:val="0"/>
              <w:spacing w:before="0" w:after="0"/>
              <w:jc w:val="center"/>
              <w:rPr/>
            </w:pPr>
            <w:r>
              <w:rPr/>
            </w:r>
          </w:p>
        </w:tc>
      </w:tr>
    </w:tbl>
    <w:p>
      <w:pPr>
        <w:pStyle w:val="TextBody"/>
        <w:bidi w:val="0"/>
        <w:spacing w:before="36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bookmarkStart w:id="2" w:name="i6ce6ed44737949a1b93b0ea59eea4d7c"/>
      <w:bookmarkEnd w:id="2"/>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Investing in our securities involves a high degree of risk. Before deciding whether to invest in our securities, you should carefully consider the risks and uncertainties described under the heading “Risk Factors” contained in the applicable prospectus supplement and any related free writing prospectus, and discussed under the section titled “Risk Factors” contained in our most recent Annual Report on Form 10-K, as may be updated by our subsequent Quarterly Reports on Form 10-Q or Current Reports on Form 8-K, as well as any amendments thereto, and other filings we make with the SEC, which are incorporated by reference into this prospectus in their entirety, together with other information in this prospectus, the documents incorporated by reference and any applicable prospectus supplement and free writing prospectus that we may authorize for use in connection with a specific offering. The risks described in these documents are not the only ones we face, but those that we consider to be material. Additional risks and uncertainties that we are unaware of, or that we currently believe are not material, may also become important factors that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cash flow, and future prospects could be seriously harmed. This could cause the trading price of our securities to decline, resulting in a loss of all or part of your investment. Please also read carefully the section below titled “Special Note Regarding Forward-Looking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bookmarkStart w:id="3" w:name="i0989c83c833843028642a461d005409b"/>
      <w:bookmarkEnd w:id="3"/>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the documents we have filed with the SEC that are incorporated by reference contain “forward-looking statements” within the meaning of Section 27A of the Securities Act, and Section 21E of the Securities Exchange Act of 1934, as amended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All statements other than statements of historical facts contained in this prospectus, including, without limitation,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“target,” or the negative of these terms or other similar expressions.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prospectus and in our most recent Annual Report on Form 10-K, as may be updated by our subsequent Quarterly Reports on Form 10-Q and other filings we make with the SEC, which are incorporated by reference into this prospectus in their entirety, together with other information in this prospectus, the documents incorporated by reference, and any prospectus supplement or free writing prospectus that we may authorize for use in connection with a specific offering.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factors include, among other things: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defects, interruptions, outages, delays in performance, or similar problems with our platform;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attract new customers, in particular large customers, and to have existing large customers continue and increase their use of our platform;</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potential loss or significant reduction in usage by one or more of our major customers;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component delays, shortages, or price increases;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our history of operating losses;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potential that security measures, or those of third parties upon which we rely, are compromised, or the security, confidentiality, integrity, or availability of our information technology, software, services, networks, communications, or data is compromised, limited or fails;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efficiently develop and sell new products and respond effectively to rapidly changing technology, evolving industry standards, changing regulations, and changing customer needs, requirements, or preferences;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forecast our revenue accurately and manage our expenditures;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effectively develop and expand our marketing and sales capabilities;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compete effectively with existing competitors and new market entrants;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maintain and enhance our brand;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comply with evolving laws, regulations, industry standards, and other obligations;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identify and integrate acquisitions, strategic investments, partnerships, or alliances;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attract and retain qualified personnel;</w:t>
      </w:r>
    </w:p>
    <w:p>
      <w:pPr>
        <w:pStyle w:val="TextBody"/>
        <w:bidi w:val="0"/>
        <w:spacing w:lineRule="auto" w:line="268"/>
        <w:ind w:left="0" w:right="0" w:hanging="360"/>
        <w:jc w:val="both"/>
        <w:rPr/>
      </w:pPr>
      <w:r>
        <w:rPr>
          <w:color w:val="000000"/>
        </w:rPr>
        <w:t>•</w:t>
      </w:r>
      <w:r>
        <w:rPr>
          <w:rFonts w:ascii="Times New Roman;serif" w:hAnsi="Times New Roman;serif"/>
          <w:b w:val="false"/>
          <w:color w:val="000000"/>
          <w:sz w:val="20"/>
        </w:rPr>
        <w:t>our reliance on the performance of highly skilled personnel, including our senior management and other key employees, and the loss or transition of one or more of such personnel, or of a significant number of our team members;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our involvement in class-action lawsuits and other litigation matters;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our estimates or judgments relating to our critical accounting estimates may prove to be incorrect;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maintain effective internal control over financial reporting;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stock price volatility, and the potential decline in the value of our Class A common stock.</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risks are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rely upon forward-looking statements as predictions of future events. We cannot assure you that the events and circumstances reflected in the forward-looking statements will be achieved or occur.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bookmarkStart w:id="4" w:name="i8eaa907286094f57ac0ed4c33c153f93"/>
      <w:bookmarkEnd w:id="4"/>
      <w:r>
        <w:rPr>
          <w:rFonts w:ascii="Times New Roman;serif" w:hAnsi="Times New Roman;serif"/>
          <w:b/>
          <w:color w:val="000000"/>
          <w:sz w:val="20"/>
        </w:rPr>
        <w:t xml:space="preserve">USE OF PROCEEDS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Except as described in any applicable prospectus supplement or in any free writing prospectuses we have authorized for use in connection with a specific offering, we intend to use the net proceeds for working capital and general corporate purposes, including sales and marketing activities, research and development activities, general and administrative matters, repayment of debt, other business opportunities, and capital expenditures. We may also use a portion of the net proceeds to acquire or invest in businesses, products, and technologies that are complementary to our own, although we have no current commitments or agreements with respect to any acquisitions or investments.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bookmarkStart w:id="5" w:name="i21fac2225e134a5a85e40c0ec5a86c78"/>
      <w:bookmarkEnd w:id="5"/>
      <w:r>
        <w:rPr>
          <w:rFonts w:ascii="Times New Roman;serif" w:hAnsi="Times New Roman;serif"/>
          <w:b/>
          <w:color w:val="000000"/>
          <w:sz w:val="20"/>
        </w:rPr>
        <w:t xml:space="preserve">DESCRIPTION OF CAPITAL STOCK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prospectus, our authorized capital stock consists of shares, all with a par value of $0.00002 per share, of which: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1,000,000,000 shares are designated as Class A common stock;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4,191,275 shares are designated as Class B common stock;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10,000,000 shares are designated as preferred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description of the material terms and provisions of our Amended and Restated Certificate of Incorporation, as amended from time to time (our "Certificate of Incorporation") and Amended and Restated Bylaws, as amended from time to time (our "Bylaws") affecting the rights of holders of our capital stock is set forth below. The description is intended as a summary, and is qualified in its entirety by reference to our Certificate of Incorporation and our Bylaws, which are incorporated by reference into the registration statement of which this prospectus is a part.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Authorized Capital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12, 2021, all shares of our then-outstanding Class B common stock were automatically converted into the same number of shares of Class A common stock, pursuant to the terms of our Certificate of Incorporation. No additional shares of Class B common stock may be issued following such conversion. On July 12, 2021, we filed a certificate of retirement with the Secretary of State of the State of Delaware effecting the retirement of the shares of Class B common stock that were issued but no longer outstanding following the conversion. The filing of the certificate of retirement had the additional effect of reducing our authorized Class B common stock by the number of retired shares of Class B common stock. Our authorized capital stock therefore consists of 1,000,000,000 shares of our Class A common stock, $0.00002 par value per share, 4,191,275 shares of our Class B common stock, $0.00002 par value per share, and 10,000,000 shares of undesignated preferred stock, $0.00002 par value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Class A Common Stock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Dividend and Distribution Rights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Subject to the preferences that may apply to any shares of preferred stock at the time outstanding having prior rights as to dividends, the holders of Class A common stock are entitled to receive, when, as and if declared by our board of directors, out of any of our assets legally available therefor, such dividends as may be declared from time to time by our board of directors.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Voting Rights </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Class A common stock is entitled to one vote per share on all matters (including the election of directors) submitted to a vote of stockholders. We have not provided for cumulative voting for the election of directors in our Certificate of Incorporation.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No Preemptive or Similar Rights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not entitled to preemptive rights and is not subject to conversion, redemption, or sinking fund provisions. The rights, preferences, and privileges of the holders of our Class A common stock are subject to, and may be adversely affected by, the rights of the holders of any series of our preferred stock that we may designate and issue in the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Liquidation Rights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event of our liquidation, dissolution, or winding up, upon the completion of the distributions required with respect to any series of preferred stock that may then be outstanding, our remaining assets legally available for distribution to stockholders shall be distributed on a pro rata basis to the holders of Class A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Fully Paid and Non-Assessable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of the outstanding shares of our Class A common stock are fully paid and non-assessable.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is authorized,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our Class A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and may adversely affect the market price of our Class A common stock and the voting and other rights of the holders of our Class A common stock. It is not possible to state the actual effect of the issuance of any shares of preferred stock on the rights of holders of our Class A common stock until our board of directors determines the specific rights attached to that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title and stated value;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number of shares we are offering;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liquidation preference per share;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purchase price;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dividend rate, period, and payment date and method of calculation for dividends;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whether dividends will be cumulative or non-cumulative and, if cumulative, the date from which dividends will accumulate;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procedures for any auction and remarketing, if applicable;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provisions for a sinking fund, if applicable;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provisions for redemption or repurchase, if applicable, and any restrictions on our ability to exercise those redemption and repurchase rights;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listing of the preferred stock on any securities exchange or market;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whether the preferred stock will be convertible into our Class A common stock or Class B common stock, and, if applicable, the conversion price, or how it will be calculated, and the conversion period;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whether the preferred stock will be exchangeable into debt securities, and, if applicable, the exchange price, or how it will be calculated, and the exchange period;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voting rights of the preferred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preemptive rights, if any;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restrictions on transfer, sale, or other assignment;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whether interests in the preferred stock will be represented by depositary shares;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 discussion of any material or special U.S. federal income tax considerations applicable to the preferred stock;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relative ranking and preferences of the preferred stock as to dividend rights and rights if we liquidate, dissolve, or wind up our affairs;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limitations on the issuance of any class or series of preferred stock ranking senior to or on a parity with the series of preferred stock as to dividend rights and rights if we liquidate, dissolve, or wind up our affairs; and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any other specific terms, preferences, rights, or limitations of, or restrictions on, the preferred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transfer agent for each series of preferred stock will be described in the applicable prospectus supplement.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Anti-Takeover Provisions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Anti-Takeover Statute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Section 203 of the Delaware General Corporation Law (the "DGCL"), which generally prohibits a publicly held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before such date, the board of directors of the corporation approved either the business combination or the transaction that resulted in the stockholder becoming an interested stockholder;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on or after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Section 203 defines a “business combination” to include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merger or consolidation involving the corporation and the interested stockholder;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sale, transfer, pledge, or other disposition of 10% or more of the assets of the corporation involving the interested stockholder;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subject to certain exceptions, any transaction that results in the issuance or transfer by the corporation of any stock of the corporation to the interested stockholder;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transaction involving the corporation that has the effect of increasing the proportionate share of the stock or any class or series of the corporation beneficially owned by the interested stockholder;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receipt by the interested stockholder of the benefit of any loans, advances, guarantees, pledges, or other financial benefits by or through the corporation.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Certificate of Incorporation and Bylaws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for our board of directors to be divided into three classes with staggered three-year terms. Only one class of directors may be elected at each annual meeting of our stockholders, with the other classes continuing for the remainder of their respective three-year terms. Because our stockholders do not have cumulative voting rights, stockholders holding a majority of the voting power of shares of our Class A common stock outstanding are able to elect all of our directors. Our Certificate of Incorporation and Bylaws also provide that directors may be removed by the stockholders only for cause upon the vote of 66 2/3% or more of the voting power of all our outstanding common stock. Furthermore, the authorized number of directors may be changed only by resolution of our board of directors, and vacancies and newly created directorships on our board of directors may, except as otherwise required by law or determined by our board of directors, only be filled by a majority vote of the directors then serving on the board, even though less than a quorum.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also provide that all stockholder actions must be effected at a duly called meeting of stockholders and eliminate the right of stockholders to act by written consent without a meeting. Our Bylaws also provide that only the chairperson of our board of directors, our chief executive officer, or our board of directors pursuant to a resolution adopted by a majority of the total number of authorized directors may call a special meeting of stockholders.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Bylaws also provide that stockholders seeking to present proposals before our annual meeting of stockholders or to nominate candidates for election as directors at a meeting of stockholders must provide timely advance notice in writing, and, subject to applicable law, will specify requirements as to the form and content of a stockholder’s notice.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provide that the stockholders cannot amend the provisions described above except by a vote of 66 2⁄3% or more of the voting power of all our outstanding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combination of these provisions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us, outweigh the disadvantages of discouraging takeover proposals, because negotiation of takeover proposals could result in an improvement of their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Choice of Forum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Unless we consent in writing to the selection of an alternative forum, our Certificate of Incorporation provides that the Court of Chancery of the State of Delaware will be the exclusive forum for the following types of actions or proceedings under Delaware statutory or common law: any derivative action or proceeding brought on our behalf; any action or proceeding asserting a breach of fiduciary duty owed by any of our current or former directors, officers, or employees, or by any stockholders, to us or our stockholders; any action asserting a claim against us, any of our current or former directors, officers, or employees, or any stockholder arising pursuant to the DGCL, our Certificate of Incorporation, or our Bylaws; any action or proceeding to which the DGCL confers jurisdiction to the Court of Chancery of the State of Delaware; or any action asserting a claim against us, any of our directors, officers, or employees, or any stockholder that is governed by the internal affairs doctrine. The provisions do not apply to suits brought to enforce a duty or liability created by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Unless we consent in writing to the selection of an alternative forum, our Certificate of Incorporation provides that the federal district courts of the United States of America will be the exclusive forum for resolving any complaint asserting a cause of action arising under the Securities Act.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Transfer Agent and Registrar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transfer agent and registrar for our Class A common stock is Equiniti Trust Company, LLC. The transfer agent’s address is 28 Liberty Street, Floor 53, New York, NY 10005.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listed on the Nasdaq Global Select Market under the symbol “FSLY.”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bookmarkStart w:id="6" w:name="id5c2228fdd934ae09021209574fdb770"/>
      <w:bookmarkEnd w:id="6"/>
      <w:r>
        <w:rPr>
          <w:rFonts w:ascii="Times New Roman;serif" w:hAnsi="Times New Roman;serif"/>
          <w:b/>
          <w:color w:val="000000"/>
          <w:sz w:val="20"/>
        </w:rPr>
        <w:t xml:space="preserve">DESCRIPTION OF DEBT SECURITIES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related to the debt securities that we may offer under this prospectus, as well as any related prospectus supplement or free writing prospectuses, and the complete indenture that contains the terms of the debt securities.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describe in the applicable prospectus supplement the terms of the series of debt securities being offered,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title of the series of debt securities;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limit upon the aggregate principal amount that may be issued;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maturity date or 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form of the debt securities of the series;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applicability of any guarantees;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whether or not the debt securities will be secured or unsecured, and the terms of any secured debt;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whether the debt securities rank as senior debt, senior subordinated debt, subordinated debt, or any combination thereof, and the terms of any subordination;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right, if any, to defer payment of interest and the maximum length of any such deferral period;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denominations in which we will issue the series of debt securities, if other than denominations of $1,000 and any integral multiple thereof;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other than the full principal amount thereof, the portion of the principal amount of debt securities of the series which shall be payable upon declaration of acceleration of the maturity thereof;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additions to or changes in the covenants applicable to the particular debt securities being issued, including, among others, the consolidation, merger, or sale covenant;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additions to or changes in or deletions of the provisions relating to covenant defeasance and legal defeasance;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additions to or changes in the provisions relating to satisfaction and discharge of the indenture;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additions to or changes in the provisions relating to the modification of the indenture both with and without the consent of holders of debt securities issued under the indenture;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currency of payment of debt securities if other than U.S. dollars and the manner of determining the equivalent amount in U.S. dollars;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whether interest will be payable in cash or additional debt securities at our or the holders’ option and the terms and conditions upon which the election may be made;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restrictions on transfer, sale, or assignment of the debt securities of the series;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or advisable in connection with the marketing of the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Conversion or Exchange Rights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Consolidation, Merger, or Sale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Events of Default under the Indenture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specified events of bankruptcy, insolvency, or reorganization occur.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direction so given by the holder is not in conflict with any law or the applicable indenture;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subject to its duties under the Trust Indenture Act, the trustee need not take any action that might involve it in personal liability or might be unduly prejudicial to the holders not involved in the proceeding.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holder of the debt securities of any series will have the right to institute a proceeding under the indenture or to appoint a receiver or trustee, or to seek other remedies only if: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holder has given written notice to the trustee of a continuing event of default with respect to that series;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holders of at least 25% in aggregate principal amount of the outstanding debt securities of that series have made written request;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such holders have offered to the trustee indemnity satisfactory to it against the costs, expenses, and liabilities to be incurred by the trustee in compliance with the request;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limitations do not apply to a suit instituted by a holder of debt securities if we default in the payment of the principal, premium, if any, or interest on, the debt securities.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periodically file statements with the trustee regarding our compliance with specified covenants in the indenture.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Modification of Indenture; Waiver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trustee may change an indenture without the consent of any holders with respect to specific matters: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to cure any ambiguity, defect, or inconsistency in the indenture or in the debt securities of any series;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to comply with the provisions described above under “Description of Debt Securities—Consolidation, Merger, or Sale;”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to provide for uncertificated debt securities in addition to or in place of certificated debt securities;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to add to, delete from, or revise the conditions, limitations, and restrictions on the authorized amount, terms, or purposes of issue, authentication, and delivery of debt securities, as set forth in the indenture;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to make any change that does not adversely affect the interests of any holder of debt securities of any series in any material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to evidence and provide for the acceptance of appointment under any indenture by a successor trustee;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to comply with any requirements of the SEC in connection with the qualification of any indenture under the Trust Indenture 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extending the fixed maturity of any debt securities of any series;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reducing the principal amount, reducing the rate of, or extending the time of payment of interest, or reducing any premium payable upon the redemption of any series of any debt securities;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reducing the percentage of debt securities, the holders of which are required to consent to any amendment, supplement, modification, or waiver.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Discharge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provide for payment;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register the transfer or exchange of debt securities of the series;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replace stolen, lost, or mutilated debt securities of the series;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pay principal of and premium and interest on any debt securities of the series;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maintain paying agencies;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hold monies for payment in trust;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recover excess money held by the trustee;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compensate and indemnify the trustee;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appoint any successor trustee.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exercise our rights to be discharged, we must deposit with the trustee money or government obligations sufficient to pay all the principal of, and any premium and interest on, the debt securities of the series on the dates payments are due.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Form, Exchange, and Transfer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elect to redeem the debt securities of any series, we will not be required to: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register the transfer of or exchange any debt securities so selected for redemption, in whole or in part, except the unredeemed portion of any debt securities we are redeeming in part.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Information Concerning the Trustee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Payment and Paying Agents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pay the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Governing Law </w:t>
      </w:r>
    </w:p>
    <w:p>
      <w:pPr>
        <w:pStyle w:val="TextBody"/>
        <w:bidi w:val="0"/>
        <w:spacing w:lineRule="auto" w:line="288" w:before="120" w:after="283"/>
        <w:jc w:val="left"/>
        <w:rPr/>
      </w:pPr>
      <w:r>
        <w:rPr>
          <w:rFonts w:ascii="Times New Roman;serif" w:hAnsi="Times New Roman;serif"/>
          <w:b w:val="false"/>
          <w:color w:val="000000"/>
          <w:sz w:val="20"/>
        </w:rPr>
        <w:t>The indenture and the debt securities will be governed by and construed in accordance with the internal laws of the State of New York, except to the extent that the Trust Indenture Act, is applicable.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bookmarkStart w:id="7" w:name="i8e670a18ad0e48239c412db261fd1711"/>
      <w:bookmarkEnd w:id="7"/>
      <w:r>
        <w:rPr>
          <w:rFonts w:ascii="Times New Roman;serif" w:hAnsi="Times New Roman;serif"/>
          <w:b/>
          <w:color w:val="000000"/>
          <w:sz w:val="20"/>
        </w:rPr>
        <w:t xml:space="preserve">DESCRIPTION OF WARRANTS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describe in the applicable prospectus supplement the terms of the series of warrants being offered,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offering price and aggregate number of warrants offered;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currency for which the warrants may be purchased;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applicable, the designation and terms of the securities with which the warrants are issued and the number of warrants issued with each such security or each principal amount of such security;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 the case of warrants to purchase Class A common stock or preferred stock, the number of shares of Class A common stock or preferred stock, as the case may be, purchasable upon the exercise of one warrant and the price at which these shares may be purchased upon such exercise;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effect of any merger, consolidation, sale, or other disposition of our business on the warrant agreements and the warrants;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terms of any rights to redeem or call the warrants;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provisions for changes to or adjustments in the exercise price or number of securities issuable upon exercise of the warrants;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dates on which the right to exercise the warrants will commence and expire;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manner in which the warrant agreements and warrants may be modified;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 discussion of any material or special U.S. federal income tax considerations of holding or exercising the warrants;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terms of the securities issuable upon exercise of the warrants;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other specific terms, preferences, rights, or limitations of or restrictions on the warrants.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Before exercising their warrants, holders of warrants will not have any of the rights of holders of the securities purchasable upon such exercise, including: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 the case of warrants to purchase debt securities, the right to receive payments of principal of, or premium, if any, or interest on, the debt securities purchasable upon exercise or to enforce covenants in the applicable indenture;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 the case of warrants to purchase Class A common stock or preferred stock, the right to receive dividends, if any, or, payments upon our liquidation, dissolution, or winding up or to exercise voting rights, if any.</w:t>
            </w:r>
          </w:p>
        </w:tc>
      </w:tr>
    </w:tbl>
    <w:p>
      <w:pPr>
        <w:pStyle w:val="TextBody"/>
        <w:bidi w:val="0"/>
        <w:spacing w:lineRule="auto" w:line="288" w:before="260" w:after="283"/>
        <w:jc w:val="left"/>
        <w:rPr>
          <w:rFonts w:ascii="Times New Roman;serif" w:hAnsi="Times New Roman;serif"/>
          <w:b/>
          <w:color w:val="000000"/>
          <w:sz w:val="20"/>
        </w:rPr>
      </w:pPr>
      <w:r>
        <w:rPr>
          <w:rFonts w:ascii="Times New Roman;serif" w:hAnsi="Times New Roman;serif"/>
          <w:b/>
          <w:color w:val="000000"/>
          <w:sz w:val="20"/>
        </w:rPr>
        <w:t xml:space="preserve">Exercise of Warrants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Governing Law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we otherwise specify in the applicable prospectus supplement, the warrants and any warrant agreements will be governed by and construed in accordance with the laws of the State of New York.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Enforceability of Rights by Holders of Warrants </w:t>
      </w:r>
    </w:p>
    <w:p>
      <w:pPr>
        <w:pStyle w:val="TextBody"/>
        <w:bidi w:val="0"/>
        <w:spacing w:lineRule="auto" w:line="288" w:before="120" w:after="283"/>
        <w:jc w:val="left"/>
        <w:rPr/>
      </w:pPr>
      <w:r>
        <w:rPr>
          <w:rFonts w:ascii="Times New Roman;serif" w:hAnsi="Times New Roman;serif"/>
          <w:b w:val="false"/>
          <w:color w:val="000000"/>
          <w:sz w:val="20"/>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bookmarkStart w:id="8" w:name="ib86015c059c540c99b65f78bd31ee387"/>
      <w:bookmarkEnd w:id="8"/>
      <w:r>
        <w:rPr>
          <w:rFonts w:ascii="Times New Roman;serif" w:hAnsi="Times New Roman;serif"/>
          <w:b/>
          <w:color w:val="000000"/>
          <w:sz w:val="20"/>
        </w:rPr>
        <w:t xml:space="preserve">LEGAL OWNERSHIP OF SECURITIES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Book-Entry Holders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Street Name Holders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Legal Holders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Special Considerations For Indirect Holders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 hold securities through a bank, broker, or other financial institution, either in book-entry form or in street name, you should check with your own institution to find out: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85"/>
        <w:gridCol w:w="1485"/>
        <w:gridCol w:w="1485"/>
        <w:gridCol w:w="1485"/>
        <w:gridCol w:w="1485"/>
        <w:gridCol w:w="21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performance of third-party service providers;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how it handles securities payments and notices;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whether it imposes fees or charges;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how it would handle a request for the holders’ consent, if ever required;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whether and how you can instruct it to send you securities registered in your own name so you can be a holder, if that is permitted in the future;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how it would exercise rights under the securities if there were a default or other event triggering the need for holders to act to protect their interests;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the securities are in book-entry form, how the depositary’s rules and procedures will affect these matters. </w:t>
            </w:r>
          </w:p>
        </w:tc>
      </w:tr>
    </w:tbl>
    <w:p>
      <w:pPr>
        <w:pStyle w:val="TextBody"/>
        <w:bidi w:val="0"/>
        <w:spacing w:lineRule="auto" w:line="288" w:before="260" w:after="283"/>
        <w:jc w:val="left"/>
        <w:rPr>
          <w:rFonts w:ascii="Times New Roman;serif" w:hAnsi="Times New Roman;serif"/>
          <w:b/>
          <w:color w:val="000000"/>
          <w:sz w:val="20"/>
        </w:rPr>
      </w:pPr>
      <w:r>
        <w:rPr>
          <w:rFonts w:ascii="Times New Roman;serif" w:hAnsi="Times New Roman;serif"/>
          <w:b/>
          <w:color w:val="000000"/>
          <w:sz w:val="20"/>
        </w:rPr>
        <w:t xml:space="preserve">Global Securities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Special Considerations For Global Securities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rights of an indirect holder relating to a global security will be governed by the account rules of the investor’s financial institution and of the depositary, as well as general laws relating to securities transfers. We do not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recognize an indirect holder as a holder of securities and instead deal only with the depositary that holds the global security.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securities are issued only in the form of a global security, an investor should be aware of the following: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6"/>
        <w:gridCol w:w="764"/>
        <w:gridCol w:w="764"/>
        <w:gridCol w:w="764"/>
        <w:gridCol w:w="764"/>
        <w:gridCol w:w="764"/>
        <w:gridCol w:w="764"/>
        <w:gridCol w:w="764"/>
        <w:gridCol w:w="764"/>
        <w:gridCol w:w="764"/>
        <w:gridCol w:w="764"/>
        <w:gridCol w:w="10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12"/>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 investor cannot cause the securities to be registered in his or her name, and cannot obtain non-global certificates for his or her interest in the securities, except in the special situations we describe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12"/>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 investor will be an indirect holder and must look to his or her own bank or broker for payments on the securities and protection of his or her legal rights relating to the securities, as we describe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12"/>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 investor may not be able to sell interests in the securities to some insurance companies and to other institutions that are required by law to own their securities in non-book-entry form;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12"/>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 investor may not be able to pledge his or her interest in a global security in circumstances where certificates representing the securities must be delivered to the lender or other beneficiary of the pledge in order for the pledge to be effective;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depositary’s policies, which may change from time to time, will govern payments, transfers, exchanges, and other matters relating to an investor’s interest in a global security;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and any applicable trustee have no responsibility for any aspect of the depositary’s actions or for its records of ownership interests in a global security, nor do we or any applicable trustee supervise the depositary in any way;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12"/>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depositary may, and we understand that DTC will, require that those who purchase and sell interests in a global security within its book-entry system use immediately available funds, and your broker or bank may require you to do so as well;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institutions that participate in the depositary’s book-entry system, and through which an investor holds its interest in a global security, may also have their own policies affecting payments, notices and other matters relating to the securities. </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more than one financial intermediary in the chain of ownership for an investor. We do not monitor and are not responsible for the actions of any of those intermediaries.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Special Situations When a Global Security Will Be Terminated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we provide otherwise in the applicable prospectus supplement, the global security will terminate when the following special situations occur: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16"/>
        <w:gridCol w:w="2680"/>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if the depositary notifies us that it is unwilling, unable, or no longer qualified to continue as depositary for that global security and we do not appoint another institution to act as depositary within 90 days;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if we notify any applicable trustee that we wish to terminate that global security;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if an event of default has occurred with regard to securities represented by that global security and has not been cured or waived.</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bookmarkStart w:id="9" w:name="i27b0921327254d91a0b91b07cf38a627"/>
      <w:bookmarkEnd w:id="9"/>
      <w:r>
        <w:rPr>
          <w:rFonts w:ascii="Times New Roman;serif" w:hAnsi="Times New Roman;serif"/>
          <w:b/>
          <w:color w:val="000000"/>
          <w:sz w:val="20"/>
        </w:rPr>
        <w:t xml:space="preserve">PLAN OF DISTRIBUTION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the securities from time to time pursuant to underwritten public offerings, direct sales to the public, “at the market” offerings, negotiated transactions, block trades, or a combination of these methods. We may sell the securities to or through one or more underwriters or dealers (acting as principal or agent), through agents, directly to one or more purchasers, or through a combination of any of these methods of sale. We may distribute securities from time to time in one or more transactions: </w:t>
      </w:r>
    </w:p>
    <w:tbl>
      <w:tblPr>
        <w:tblW w:w="5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268"/>
        <w:gridCol w:w="1268"/>
        <w:gridCol w:w="1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at a fixed price or prices, which may be changed;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at market prices prevailing at the time of sale;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at prices related to such prevailing market prices;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at negotiated prices.</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484"/>
        <w:gridCol w:w="1464"/>
        <w:gridCol w:w="1464"/>
        <w:gridCol w:w="1464"/>
        <w:gridCol w:w="1464"/>
        <w:gridCol w:w="2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42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name or names of any underwriters, dealers, agents, or other purchasers;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42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purchase price of the securities or other consideration therefor, and the proceeds, if any, we will receive from the sale;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42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any options to purchase additional shares or other options under which underwriters, dealers, agents, or other purchasers may purchase additional securities from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42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any agency fees or underwriting discounts and other items constituting agents’ or underwriters’ compensation;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42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any public offering price;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42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any discounts or concessions allowed or reallowed or paid to dealers;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42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any securities exchange or market on which the securities may be listed.</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underwriters or dealers or agents that are qualified market makers on the Nasdaq Global Select Market may engage in passive market making transactions in the Class A common stock on the Nasdaq Global Select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bookmarkStart w:id="10" w:name="i01eb097a30d34603b9729f2cd14d8609"/>
      <w:bookmarkEnd w:id="10"/>
      <w:r>
        <w:rPr>
          <w:rFonts w:ascii="Times New Roman;serif" w:hAnsi="Times New Roman;serif"/>
          <w:b/>
          <w:color w:val="000000"/>
          <w:sz w:val="20"/>
        </w:rPr>
        <w:t xml:space="preserve">LEGAL MATTERS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Latham &amp; Watkins LLP, Redwood City, California, will pass upon certain legal matters relating to the issuance and sale of the securities offered hereby on behalf of Fastly, Inc. Additional legal matters may be passed upon for us, or any underwriters, dealers, or agents, by counsel that we will name in the applicable prospectus. </w:t>
      </w:r>
    </w:p>
    <w:p>
      <w:pPr>
        <w:pStyle w:val="TextBody"/>
        <w:bidi w:val="0"/>
        <w:spacing w:lineRule="auto" w:line="288" w:before="240" w:after="283"/>
        <w:jc w:val="center"/>
        <w:rPr>
          <w:rFonts w:ascii="Times New Roman;serif" w:hAnsi="Times New Roman;serif"/>
          <w:b/>
          <w:color w:val="000000"/>
          <w:sz w:val="20"/>
        </w:rPr>
      </w:pPr>
      <w:bookmarkStart w:id="11" w:name="ib38f0c369f134816a207adb1bab27263"/>
      <w:bookmarkEnd w:id="11"/>
      <w:r>
        <w:rPr>
          <w:rFonts w:ascii="Times New Roman;serif" w:hAnsi="Times New Roman;serif"/>
          <w:b/>
          <w:color w:val="000000"/>
          <w:sz w:val="20"/>
        </w:rPr>
        <w:t xml:space="preserve">EXPERTS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Fastly, Inc. as of December 31, 2025 and 2024, and for each of the three years in the period ended December 31, 2025, incorporated by reference in this prospectus, and the effectiveness of Fastly,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lineRule="auto" w:line="288" w:before="240" w:after="283"/>
        <w:jc w:val="center"/>
        <w:rPr>
          <w:rFonts w:ascii="Times New Roman;serif" w:hAnsi="Times New Roman;serif"/>
          <w:b/>
          <w:color w:val="000000"/>
          <w:sz w:val="20"/>
        </w:rPr>
      </w:pPr>
      <w:bookmarkStart w:id="12" w:name="ie40233aefa40429da0a71aab2152b5a8"/>
      <w:bookmarkEnd w:id="12"/>
      <w:r>
        <w:rPr>
          <w:rFonts w:ascii="Times New Roman;serif" w:hAnsi="Times New Roman;serif"/>
          <w:b/>
          <w:color w:val="000000"/>
          <w:sz w:val="20"/>
        </w:rPr>
        <w:t xml:space="preserve">WHERE YOU CAN FIND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section of our website, which is located at http://www.investors.fastly.com. These filings will be available as soon as reasonably practicable after we electronically file such material with, or furnish such material to, the SEC. Our website address is http://www.fastly.com. Information contained on or accessible through our website is not a part of this prospectus and is not incorporated by reference herein, and the inclusion of our website address in this prospectus is an inactive textual reference only.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bookmarkStart w:id="13" w:name="i43614baee70d4710b49753d4ac01e9c2"/>
      <w:bookmarkEnd w:id="13"/>
      <w:r>
        <w:rPr>
          <w:rFonts w:ascii="Times New Roman;serif" w:hAnsi="Times New Roman;serif"/>
          <w:b/>
          <w:color w:val="000000"/>
          <w:sz w:val="20"/>
        </w:rPr>
        <w:t xml:space="preserve">INCORPORATION OF CERTAIN INFORMATION BY REFERENCE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The SEC allows us to </w:t>
      </w:r>
      <w:r>
        <w:rPr>
          <w:color w:val="000000"/>
        </w:rPr>
        <w:t>“</w:t>
      </w:r>
      <w:r>
        <w:rPr>
          <w:rFonts w:ascii="Times New Roman;serif" w:hAnsi="Times New Roman;serif"/>
          <w:b w:val="false"/>
          <w:color w:val="000000"/>
          <w:sz w:val="20"/>
        </w:rPr>
        <w:t>incorporate by reference</w:t>
      </w:r>
      <w:r>
        <w:rPr>
          <w:color w:val="000000"/>
        </w:rPr>
        <w:t xml:space="preserve">” </w:t>
      </w:r>
      <w:r>
        <w:rPr>
          <w:rFonts w:ascii="Times New Roman;serif" w:hAnsi="Times New Roman;serif"/>
          <w:b w:val="false"/>
          <w:color w:val="000000"/>
          <w:sz w:val="20"/>
        </w:rPr>
        <w:t xml:space="preserve">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001-38897):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30"/>
        <w:gridCol w:w="2635"/>
        <w:gridCol w:w="37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2"/>
              <w:jc w:val="left"/>
              <w:rPr/>
            </w:pPr>
            <w:hyperlink r:id="rId3">
              <w:r>
                <w:rPr>
                  <w:rStyle w:val="InternetLink"/>
                  <w:rFonts w:ascii="Times New Roman;serif" w:hAnsi="Times New Roman;serif"/>
                  <w:b w:val="false"/>
                  <w:color w:val="0000FF"/>
                  <w:sz w:val="20"/>
                  <w:u w:val="single"/>
                </w:rPr>
                <w:t>our Annual Report on Form 10-K for the year ended December 31, 2025, filed with the SEC on February 25, 2026</w:t>
              </w:r>
            </w:hyperlink>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our Quarterly Reports on Form 10-Q </w:t>
            </w:r>
            <w:hyperlink r:id="rId4">
              <w:r>
                <w:rPr>
                  <w:rStyle w:val="InternetLink"/>
                  <w:rFonts w:ascii="Times New Roman;serif" w:hAnsi="Times New Roman;serif"/>
                  <w:b w:val="false"/>
                  <w:color w:val="0000FF"/>
                  <w:sz w:val="20"/>
                  <w:u w:val="single"/>
                </w:rPr>
                <w:t>for the quarter ended March 31, 2026, filed with the SEC on May 6, 2026</w:t>
              </w:r>
            </w:hyperlink>
            <w:r>
              <w:rPr>
                <w:rFonts w:ascii="Times New Roman;serif" w:hAnsi="Times New Roman;serif"/>
                <w:b w:val="false"/>
                <w:color w:val="000000"/>
                <w:sz w:val="20"/>
              </w:rPr>
              <w:t xml:space="preserve">, and </w:t>
            </w:r>
            <w:hyperlink r:id="rId5">
              <w:r>
                <w:rPr>
                  <w:rStyle w:val="InternetLink"/>
                  <w:rFonts w:ascii="Times New Roman;serif" w:hAnsi="Times New Roman;serif"/>
                  <w:b w:val="false"/>
                  <w:color w:val="000080"/>
                  <w:sz w:val="20"/>
                  <w:u w:val="single"/>
                </w:rPr>
                <w:t xml:space="preserve">for the quarter ended June 30, 2026, filed with the SEC on August </w:t>
              </w:r>
            </w:hyperlink>
            <w:hyperlink r:id="rId6">
              <w:r>
                <w:rPr>
                  <w:rStyle w:val="InternetLink"/>
                  <w:rFonts w:ascii="Times New Roman;serif" w:hAnsi="Times New Roman;serif"/>
                  <w:b w:val="false"/>
                  <w:color w:val="000080"/>
                  <w:sz w:val="20"/>
                  <w:u w:val="single"/>
                </w:rPr>
                <w:t>5</w:t>
              </w:r>
            </w:hyperlink>
            <w:hyperlink r:id="rId7">
              <w:r>
                <w:rPr>
                  <w:rStyle w:val="InternetLink"/>
                  <w:rFonts w:ascii="Times New Roman;serif" w:hAnsi="Times New Roman;serif"/>
                  <w:b w:val="false"/>
                  <w:color w:val="000080"/>
                  <w:sz w:val="20"/>
                  <w:u w:val="single"/>
                </w:rPr>
                <w:t>, 2026</w:t>
              </w:r>
            </w:hyperlink>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our Current Reports on Form 8-K filed with the SEC on </w:t>
            </w:r>
            <w:hyperlink r:id="rId8">
              <w:r>
                <w:rPr>
                  <w:rStyle w:val="InternetLink"/>
                  <w:rFonts w:ascii="Times New Roman;serif" w:hAnsi="Times New Roman;serif"/>
                  <w:b w:val="false"/>
                  <w:color w:val="0000FF"/>
                  <w:sz w:val="20"/>
                  <w:u w:val="single"/>
                </w:rPr>
                <w:t>March 5, 2026</w:t>
              </w:r>
            </w:hyperlink>
            <w:r>
              <w:rPr>
                <w:color w:val="000000"/>
              </w:rPr>
              <w:t xml:space="preserve"> </w:t>
            </w:r>
            <w:r>
              <w:rPr>
                <w:rFonts w:ascii="Times New Roman;serif" w:hAnsi="Times New Roman;serif"/>
                <w:b w:val="false"/>
                <w:color w:val="000000"/>
                <w:sz w:val="20"/>
              </w:rPr>
              <w:t xml:space="preserve">and </w:t>
            </w:r>
            <w:hyperlink r:id="rId9">
              <w:r>
                <w:rPr>
                  <w:rStyle w:val="InternetLink"/>
                  <w:rFonts w:ascii="Times New Roman;serif" w:hAnsi="Times New Roman;serif"/>
                  <w:b w:val="false"/>
                  <w:color w:val="0000FF"/>
                  <w:sz w:val="20"/>
                  <w:u w:val="single"/>
                </w:rPr>
                <w:t>June 9, 2026</w:t>
              </w:r>
            </w:hyperlink>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the portions of our Proxy Statement pursuant to Section 14(a) of the Exchange Act for our 2026 Annual Meeting of Stockholders, filed with the SEC on </w:t>
            </w:r>
            <w:hyperlink r:id="rId10">
              <w:r>
                <w:rPr>
                  <w:rStyle w:val="InternetLink"/>
                  <w:rFonts w:ascii="Times New Roman;serif" w:hAnsi="Times New Roman;serif"/>
                  <w:b w:val="false"/>
                  <w:color w:val="0000FF"/>
                  <w:sz w:val="20"/>
                  <w:u w:val="single"/>
                </w:rPr>
                <w:t>April 22, 2026</w:t>
              </w:r>
            </w:hyperlink>
            <w:r>
              <w:rPr>
                <w:rFonts w:ascii="Times New Roman;serif" w:hAnsi="Times New Roman;serif"/>
                <w:b w:val="false"/>
                <w:color w:val="000000"/>
                <w:sz w:val="20"/>
              </w:rPr>
              <w:t>, that are specifically incorporated by reference in our Annual Report on Form 10-K for the year ended December 31, 2025;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20"/>
              </w:rPr>
              <w:t xml:space="preserve">the description of our Class A common stock set forth in our registration statement on </w:t>
            </w:r>
            <w:hyperlink r:id="rId11">
              <w:r>
                <w:rPr>
                  <w:rStyle w:val="InternetLink"/>
                  <w:rFonts w:ascii="Times New Roman;serif" w:hAnsi="Times New Roman;serif"/>
                  <w:b w:val="false"/>
                  <w:color w:val="0000FF"/>
                  <w:sz w:val="20"/>
                  <w:u w:val="single"/>
                </w:rPr>
                <w:t>Form 8-A, filed with the SEC on December 8, 2025</w:t>
              </w:r>
            </w:hyperlink>
            <w:r>
              <w:rPr>
                <w:rFonts w:ascii="Times New Roman;serif" w:hAnsi="Times New Roman;serif"/>
                <w:b w:val="false"/>
                <w:color w:val="000000"/>
                <w:sz w:val="20"/>
              </w:rPr>
              <w:t>, including any amendments thereto or reports filed for the purposes of updating this description.</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filings filed by us pursuant to the Exchange Act after the date of the initial filing of the registration statement of which this prospectus is a part effective upon filing shall be deemed to be incorporated by reference into this prospectus.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Upon request, we will provide each person, including any beneficial owner, to whom a prospectus is delivered, a copy of any or all of the documents that are incorporated by reference into this prospectus but not delivered with the prospectus, including exhibits that are specifically incorporated by reference into such documents. You can request a copy of these filings, at no cost, by writing or telephoning us at the following address or telephone number: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Fastly, Inc.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Attn: Investor Relations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475 Brannan Street, Suite 300</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San Francisco, CA 94107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(844) 432-7859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INFORMATION NOT REQUIRED IN THE PROSPECTUS </w:t>
      </w:r>
    </w:p>
    <w:tbl>
      <w:tblPr>
        <w:tblW w:w="4679" w:type="dxa"/>
        <w:jc w:val="left"/>
        <w:tblInd w:w="0" w:type="dxa"/>
        <w:tblLayout w:type="fixed"/>
        <w:tblCellMar>
          <w:top w:w="28" w:type="dxa"/>
          <w:left w:w="28" w:type="dxa"/>
          <w:bottom w:w="28" w:type="dxa"/>
          <w:right w:w="28" w:type="dxa"/>
        </w:tblCellMar>
      </w:tblPr>
      <w:tblGrid>
        <w:gridCol w:w="293"/>
        <w:gridCol w:w="257"/>
        <w:gridCol w:w="260"/>
        <w:gridCol w:w="1133"/>
        <w:gridCol w:w="1133"/>
        <w:gridCol w:w="160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14.</w:t>
            </w:r>
          </w:p>
        </w:tc>
        <w:tc>
          <w:tcPr>
            <w:tcW w:w="38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Other Expenses of Issuance and Distribution</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estimated fees and expenses payable by us in connection with the issuance and distribution of the securities being registered, other than underwriting discounts and commissions.</w:t>
      </w:r>
    </w:p>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75" w:type="dxa"/>
        <w:jc w:val="center"/>
        <w:tblInd w:w="0" w:type="dxa"/>
        <w:tblLayout w:type="fixed"/>
        <w:tblCellMar>
          <w:top w:w="28" w:type="dxa"/>
          <w:left w:w="28" w:type="dxa"/>
          <w:bottom w:w="28" w:type="dxa"/>
          <w:right w:w="28" w:type="dxa"/>
        </w:tblCellMar>
      </w:tblPr>
      <w:tblGrid>
        <w:gridCol w:w="1518"/>
        <w:gridCol w:w="1330"/>
        <w:gridCol w:w="1337"/>
        <w:gridCol w:w="109"/>
        <w:gridCol w:w="109"/>
        <w:gridCol w:w="109"/>
        <w:gridCol w:w="115"/>
        <w:gridCol w:w="115"/>
        <w:gridCol w:w="115"/>
        <w:gridCol w:w="115"/>
        <w:gridCol w:w="115"/>
        <w:gridCol w:w="116"/>
        <w:gridCol w:w="109"/>
        <w:gridCol w:w="109"/>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6"/>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Financial Industry Regulatory Authority filing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Nasdaq listing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Transfer agent and registrar fees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Trustee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Blue sky fees and expenses (including legal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Printing and miscellaneous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3"/>
            <w:tcBorders/>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32"/>
        <w:gridCol w:w="2862"/>
        <w:gridCol w:w="4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Because this registration statement covers an indeterminate amount of securities, the Securities and Exchange Commission (the "SEC") registration fee is not currently determinable. In accordance with Rules 456(b) and 457(r), the registrant is deferring payment of all applicable registration fees for the securities offered by this prospectus.</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145 of the Delaware General Corporation Law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amended (the “Securities Act”). Our Amended and Restated Certificate of Incorporation, as amended from time to time (our "Certificate of Incorporation") provides for indemnification of our directors, officers, employees, and other agents to the maximum extent permitted by the DGCL, and our Amended and Restated Bylaws, as amended from time to time (our “Bylaws”) provide for indemnification of our directors, officers, employees, and other agents to the maximum extent permitted by the DGCL.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Fastly, provided that such director or officer acted in good faith and in a manner that the director or officer reasonably believed to be in, or not opposed to, the best interest of Fastly.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insurance policies that indemnify our directors and officers against various liabilities arising under the Securities Act and the Securities Exchange Act of 1934, as amended (the "Exchange Act") that might be incurred by any director or officer in his capacity as such.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82320"/>
                <wp:effectExtent l="0" t="0" r="0" b="0"/>
                <wp:wrapNone/>
                <wp:docPr id="37" name="Frame36"/>
                <a:graphic xmlns:a="http://schemas.openxmlformats.org/drawingml/2006/main">
                  <a:graphicData uri="http://schemas.microsoft.com/office/word/2010/wordprocessingShape">
                    <wps:wsp>
                      <wps:cNvSpPr txBox="1"/>
                      <wps:spPr>
                        <a:xfrm>
                          <a:off x="0" y="0"/>
                          <a:ext cx="6480175" cy="78232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will be obligated, under certain circumstances, pursuant to any underwriting agreements we enter into in connection with the sale of any securities being registered hereby, to indemnify us and our officers and directors against certain liabilities under the Securities Act. </w:t>
      </w:r>
    </w:p>
    <w:tbl>
      <w:tblPr>
        <w:tblW w:w="10205" w:type="dxa"/>
        <w:jc w:val="left"/>
        <w:tblInd w:w="0" w:type="dxa"/>
        <w:tblLayout w:type="fixed"/>
        <w:tblCellMar>
          <w:top w:w="28" w:type="dxa"/>
          <w:left w:w="28" w:type="dxa"/>
          <w:bottom w:w="28" w:type="dxa"/>
          <w:right w:w="28" w:type="dxa"/>
        </w:tblCellMar>
      </w:tblPr>
      <w:tblGrid>
        <w:gridCol w:w="130"/>
        <w:gridCol w:w="115"/>
        <w:gridCol w:w="115"/>
        <w:gridCol w:w="115"/>
        <w:gridCol w:w="115"/>
        <w:gridCol w:w="116"/>
        <w:gridCol w:w="109"/>
        <w:gridCol w:w="109"/>
        <w:gridCol w:w="109"/>
        <w:gridCol w:w="109"/>
        <w:gridCol w:w="109"/>
        <w:gridCol w:w="109"/>
        <w:gridCol w:w="1401"/>
        <w:gridCol w:w="1384"/>
        <w:gridCol w:w="1397"/>
        <w:gridCol w:w="109"/>
        <w:gridCol w:w="109"/>
        <w:gridCol w:w="109"/>
        <w:gridCol w:w="245"/>
        <w:gridCol w:w="245"/>
        <w:gridCol w:w="246"/>
        <w:gridCol w:w="109"/>
        <w:gridCol w:w="109"/>
        <w:gridCol w:w="109"/>
        <w:gridCol w:w="317"/>
        <w:gridCol w:w="292"/>
        <w:gridCol w:w="294"/>
        <w:gridCol w:w="109"/>
        <w:gridCol w:w="109"/>
        <w:gridCol w:w="109"/>
        <w:gridCol w:w="210"/>
        <w:gridCol w:w="210"/>
        <w:gridCol w:w="211"/>
        <w:gridCol w:w="109"/>
        <w:gridCol w:w="109"/>
        <w:gridCol w:w="109"/>
        <w:gridCol w:w="380"/>
        <w:gridCol w:w="290"/>
        <w:gridCol w:w="4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033"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16.</w:t>
            </w:r>
          </w:p>
        </w:tc>
        <w:tc>
          <w:tcPr>
            <w:tcW w:w="9172" w:type="dxa"/>
            <w:gridSpan w:val="30"/>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Exhibits</w:t>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06"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Number</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Schedule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E32E1"/>
                  <w:sz w:val="20"/>
                  <w:u w:val="single"/>
                </w:rPr>
                <w:t>Amended and Restated Certificate of Incorporation of Fastly,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001-38897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May 21, 2019</w:t>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E32E1"/>
                  <w:sz w:val="20"/>
                  <w:u w:val="single"/>
                </w:rPr>
                <w:t>Certificate of Amendment to Amended and Restated Certificate of Incorporation of Fastly,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001-38897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June 10, 2020</w:t>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E32E1"/>
                  <w:sz w:val="20"/>
                  <w:u w:val="single"/>
                </w:rPr>
                <w:t>Amended and Restated Bylaws of Fastly,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001-38897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15, 2024</w:t>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E32E1"/>
                  <w:sz w:val="20"/>
                  <w:u w:val="single"/>
                </w:rPr>
                <w:t>Certificate of Retirement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July 13, 2021</w:t>
            </w:r>
          </w:p>
        </w:tc>
      </w:tr>
      <w:tr>
        <w:trPr/>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Reference is made to Exhibits 3.1 through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E32E1"/>
                  <w:sz w:val="20"/>
                  <w:u w:val="single"/>
                </w:rPr>
                <w:t>Form of Class A common stock certificate of Fastly,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333-230953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May 6, 2019</w:t>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Specimen Preferred Stock Certificate and Form of Certificate of Designation of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44-formofindenture2.htm">
              <w:r>
                <w:rPr>
                  <w:rStyle w:val="InternetLink"/>
                  <w:rFonts w:ascii="Times New Roman;serif" w:hAnsi="Times New Roman;serif"/>
                  <w:b w:val="false"/>
                  <w:color w:val="0E32E1"/>
                  <w:sz w:val="20"/>
                  <w:u w:val="single"/>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Form of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Form of Class A Common Stock Warrant Agreement and Warrant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Form of Preferred Stock Warrant Agreement and Warrant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Form of Debt Securities Warrant Agreement and Warrant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lathamopinion2026.htm">
              <w:r>
                <w:rPr>
                  <w:rStyle w:val="InternetLink"/>
                  <w:rFonts w:ascii="Times New Roman;serif" w:hAnsi="Times New Roman;serif"/>
                  <w:b w:val="false"/>
                  <w:color w:val="0E32E1"/>
                  <w:sz w:val="20"/>
                  <w:u w:val="single"/>
                </w:rPr>
                <w:t>Opinion of Latham &amp; Watkins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sx3deloittecons.htm">
              <w:r>
                <w:rPr>
                  <w:rStyle w:val="InternetLink"/>
                  <w:rFonts w:ascii="Times New Roman;serif" w:hAnsi="Times New Roman;serif"/>
                  <w:b w:val="false"/>
                  <w:color w:val="0E32E1"/>
                  <w:sz w:val="20"/>
                  <w:u w:val="single"/>
                </w:rPr>
                <w:t>Consent of Deloitte &amp; Touche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lathamopinion2026.htm">
              <w:r>
                <w:rPr>
                  <w:rStyle w:val="InternetLink"/>
                  <w:rFonts w:ascii="Times New Roman;serif" w:hAnsi="Times New Roman;serif"/>
                  <w:b w:val="false"/>
                  <w:color w:val="0E32E1"/>
                  <w:sz w:val="20"/>
                  <w:u w:val="single"/>
                </w:rPr>
                <w:t>Consent of Latham &amp; Watkins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Power of Attorney (see signature pages).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25.1**</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Statement of Eligibility of Trustee under the Indenture.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17"/>
        <w:gridCol w:w="217"/>
        <w:gridCol w:w="217"/>
        <w:gridCol w:w="217"/>
        <w:gridCol w:w="217"/>
        <w:gridCol w:w="217"/>
        <w:gridCol w:w="217"/>
        <w:gridCol w:w="217"/>
        <w:gridCol w:w="217"/>
        <w:gridCol w:w="867"/>
        <w:gridCol w:w="867"/>
        <w:gridCol w:w="870"/>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3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99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filingfees.htm">
              <w:r>
                <w:rPr>
                  <w:rStyle w:val="InternetLink"/>
                  <w:rFonts w:ascii="Times New Roman;serif" w:hAnsi="Times New Roman;serif"/>
                  <w:b w:val="false"/>
                  <w:color w:val="0E32E1"/>
                  <w:sz w:val="20"/>
                  <w:u w:val="single"/>
                </w:rPr>
                <w:t>Filing Fee Table</w:t>
              </w:r>
            </w:hyperlink>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 be filed by amendment or as an exhibit to a Current Report on Form 8-K and incorporated herein by reference, if applicable.</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 be filed in accordance with the requirements of Section 305(b)(2) of the Trust Indenture Act of 1939, as amended, and the applicable rules thereunder.</w:t>
            </w:r>
          </w:p>
        </w:tc>
      </w:tr>
    </w:tbl>
    <w:p>
      <w:pPr>
        <w:pStyle w:val="TextBody"/>
        <w:bidi w:val="0"/>
        <w:spacing w:before="0" w:after="0"/>
        <w:jc w:val="left"/>
        <w:rPr/>
      </w:pPr>
      <w:r>
        <w:rPr/>
      </w:r>
    </w:p>
    <w:p>
      <w:pPr>
        <w:pStyle w:val="TextBody"/>
        <w:bidi w:val="0"/>
        <w:spacing w:before="0" w:after="0"/>
        <w:jc w:val="left"/>
        <w:rPr/>
      </w:pPr>
      <w:r>
        <w:rPr/>
      </w:r>
    </w:p>
    <w:tbl>
      <w:tblPr>
        <w:tblW w:w="2101" w:type="dxa"/>
        <w:jc w:val="left"/>
        <w:tblInd w:w="0" w:type="dxa"/>
        <w:tblLayout w:type="fixed"/>
        <w:tblCellMar>
          <w:top w:w="28" w:type="dxa"/>
          <w:left w:w="28" w:type="dxa"/>
          <w:bottom w:w="28" w:type="dxa"/>
          <w:right w:w="28" w:type="dxa"/>
        </w:tblCellMar>
      </w:tblPr>
      <w:tblGrid>
        <w:gridCol w:w="293"/>
        <w:gridCol w:w="257"/>
        <w:gridCol w:w="260"/>
        <w:gridCol w:w="378"/>
        <w:gridCol w:w="378"/>
        <w:gridCol w:w="535"/>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17.</w:t>
            </w:r>
          </w:p>
        </w:tc>
        <w:tc>
          <w:tcPr>
            <w:tcW w:w="129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Undertakings</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The undersigned registrant hereby undertakes: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To file, during any period in which offers or sales are being made, a post-effective amendment to this registration statement: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to include any prospectus required by Section 10(a)(3) of the Securities Act;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240" w:after="283"/>
        <w:jc w:val="left"/>
        <w:rPr/>
      </w:pPr>
      <w:r>
        <w:rPr>
          <w:rFonts w:ascii="Times New Roman;serif" w:hAnsi="Times New Roman;serif"/>
          <w:b w:val="false"/>
          <w:i/>
          <w:color w:val="000000"/>
          <w:sz w:val="20"/>
        </w:rPr>
        <w:t>provided,</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paragraphs (a)(1)(i), (a)(1)(ii) and (a)(1)(iii)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uto" w:line="288" w:before="240" w:after="283"/>
        <w:jc w:val="left"/>
        <w:rPr/>
      </w:pPr>
      <w:r>
        <w:rPr>
          <w:rFonts w:ascii="Times New Roman;serif" w:hAnsi="Times New Roman;serif"/>
          <w:b w:val="false"/>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 xml:space="preserve">offering thereof.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 To remove from registration by means of a post-effective amendment any of the securities being registered which remain unsold at the termination of the offering.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That, for the purpose of determining liability under the Securities Act to any purchaser: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registration statement to which that prospectus relates,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 xml:space="preserve">offering thereof.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Any preliminary prospectus or prospectus of the undersigned registrant relating to the offering required to be filed pursuant to Rule 424;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(ii) Any free writing prospectus relating to the offering prepared by or on behalf of the undersigned registrant or used or referred to by the undersigned registrant;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(iv) Any other communication that is an offer in the offering made by the undersigned registrant to the purchaser. </w:t>
      </w:r>
    </w:p>
    <w:p>
      <w:pPr>
        <w:pStyle w:val="TextBody"/>
        <w:bidi w:val="0"/>
        <w:spacing w:lineRule="auto" w:line="288" w:before="240" w:after="283"/>
        <w:jc w:val="left"/>
        <w:rPr/>
      </w:pPr>
      <w:r>
        <w:rPr>
          <w:rFonts w:ascii="Times New Roman;serif" w:hAnsi="Times New Roman;serif"/>
          <w:b w:val="false"/>
          <w:color w:val="000000"/>
          <w:sz w:val="20"/>
        </w:rPr>
        <w:t xml:space="preserve">(b) The undersigned registrant hereby undertakes that, for purposes of determining any liability of the registrant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 xml:space="preserve">offering thereof.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 The undersigned registrant hereby undertakes to file an application for the purpose of determining the eligibility of the trustee to act under subsection (a) of Section 310 of the Trust Indenture Act (“Act”) in accordance with the rules and regulations prescribed by the SEC under section 305(b)(2) of the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Francisco, State of California, on August 6, 2026. </w:t>
      </w:r>
    </w:p>
    <w:tbl>
      <w:tblPr>
        <w:tblW w:w="4787" w:type="dxa"/>
        <w:jc w:val="left"/>
        <w:tblInd w:w="0" w:type="dxa"/>
        <w:tblLayout w:type="fixed"/>
        <w:tblCellMar>
          <w:top w:w="28" w:type="dxa"/>
          <w:left w:w="28" w:type="dxa"/>
          <w:bottom w:w="28" w:type="dxa"/>
          <w:right w:w="28" w:type="dxa"/>
        </w:tblCellMar>
      </w:tblPr>
      <w:tblGrid>
        <w:gridCol w:w="667"/>
        <w:gridCol w:w="587"/>
        <w:gridCol w:w="590"/>
        <w:gridCol w:w="148"/>
        <w:gridCol w:w="148"/>
        <w:gridCol w:w="148"/>
        <w:gridCol w:w="148"/>
        <w:gridCol w:w="148"/>
        <w:gridCol w:w="148"/>
        <w:gridCol w:w="601"/>
        <w:gridCol w:w="601"/>
        <w:gridCol w:w="85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color w:val="000000"/>
                <w:sz w:val="20"/>
              </w:rPr>
            </w:pPr>
            <w:r>
              <w:rPr>
                <w:rFonts w:ascii="Times New Roman;serif" w:hAnsi="Times New Roman;serif"/>
                <w:b/>
                <w:color w:val="000000"/>
                <w:sz w:val="20"/>
              </w:rPr>
              <w:t>FASTLY,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44"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/s/ Charles Compton</w:t>
            </w:r>
            <w:r>
              <w:rPr>
                <w:color w:val="000000"/>
              </w:rPr>
              <w:t xml:space="preserve">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Charles Compton</w:t>
            </w:r>
          </w:p>
          <w:p>
            <w:pPr>
              <w:pStyle w:val="TableContents"/>
              <w:bidi w:val="0"/>
              <w:spacing w:lineRule="auto" w:line="276" w:before="0" w:after="2"/>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Charles Compton and Richard Wong and each of them, as his or her true and lawful attorney-in-fact and agent with full power of substitution and resubstitution, for such individual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on behalf of the Company and in the capacities and on the dates indicated.</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tbl>
      <w:tblPr>
        <w:tblW w:w="8406" w:type="dxa"/>
        <w:jc w:val="center"/>
        <w:tblInd w:w="0" w:type="dxa"/>
        <w:tblLayout w:type="fixed"/>
        <w:tblCellMar>
          <w:top w:w="28" w:type="dxa"/>
          <w:left w:w="28" w:type="dxa"/>
          <w:bottom w:w="28" w:type="dxa"/>
          <w:right w:w="28" w:type="dxa"/>
        </w:tblCellMar>
      </w:tblPr>
      <w:tblGrid>
        <w:gridCol w:w="787"/>
        <w:gridCol w:w="692"/>
        <w:gridCol w:w="695"/>
        <w:gridCol w:w="109"/>
        <w:gridCol w:w="109"/>
        <w:gridCol w:w="109"/>
        <w:gridCol w:w="1388"/>
        <w:gridCol w:w="1388"/>
        <w:gridCol w:w="1408"/>
        <w:gridCol w:w="109"/>
        <w:gridCol w:w="109"/>
        <w:gridCol w:w="109"/>
        <w:gridCol w:w="407"/>
        <w:gridCol w:w="407"/>
        <w:gridCol w:w="580"/>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Charles Compton</w:t>
            </w:r>
          </w:p>
        </w:tc>
        <w:tc>
          <w:tcPr>
            <w:tcW w:w="4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Charles Compton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Richard Wong</w:t>
            </w:r>
          </w:p>
        </w:tc>
        <w:tc>
          <w:tcPr>
            <w:tcW w:w="4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Richard Wong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Jeffrey Ford</w:t>
            </w:r>
          </w:p>
        </w:tc>
        <w:tc>
          <w:tcPr>
            <w:tcW w:w="4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Jeffrey 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Aida Álvarez</w:t>
            </w:r>
          </w:p>
        </w:tc>
        <w:tc>
          <w:tcPr>
            <w:tcW w:w="4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Aida Álvarez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Artur Bergman</w:t>
            </w:r>
          </w:p>
        </w:tc>
        <w:tc>
          <w:tcPr>
            <w:tcW w:w="4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Artur Bergman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Chief Technology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Richard Daniels</w:t>
            </w:r>
          </w:p>
        </w:tc>
        <w:tc>
          <w:tcPr>
            <w:tcW w:w="4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Richard Daniels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David Hornik</w:t>
            </w:r>
          </w:p>
        </w:tc>
        <w:tc>
          <w:tcPr>
            <w:tcW w:w="4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David Hornik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Director and Chairperson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Paula Loop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Paula Loop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Charles Meyers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Charles Meyers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Christopher B. Paisley</w:t>
            </w:r>
          </w:p>
        </w:tc>
        <w:tc>
          <w:tcPr>
            <w:tcW w:w="4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Christopher B. Paisley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Vanessa Smith</w:t>
            </w:r>
          </w:p>
        </w:tc>
        <w:tc>
          <w:tcPr>
            <w:tcW w:w="4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Vanessa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Calculation of Filing Fee Tables</w:t>
      </w:r>
    </w:p>
    <w:p>
      <w:pPr>
        <w:pStyle w:val="TextBody"/>
        <w:bidi w:val="0"/>
        <w:spacing w:lineRule="auto" w:line="333" w:before="0" w:after="0"/>
        <w:jc w:val="center"/>
        <w:rPr/>
      </w:pPr>
      <w:r>
        <w:rPr>
          <w:rFonts w:ascii="Times New Roman;serif" w:hAnsi="Times New Roman;serif"/>
          <w:b w:val="false"/>
          <w:color w:val="000000"/>
          <w:sz w:val="20"/>
          <w:u w:val="single"/>
        </w:rPr>
        <w:t>Form S-3</w:t>
      </w:r>
      <w:r>
        <w:rPr>
          <w:color w:val="000000"/>
        </w:rPr>
        <w:t xml:space="preserve">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Fastly, Inc.</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Table 1: Newly Registered and Carry Forward Securities </w:t>
      </w:r>
    </w:p>
    <w:tbl>
      <w:tblPr>
        <w:tblW w:w="13987" w:type="dxa"/>
        <w:jc w:val="center"/>
        <w:tblInd w:w="0" w:type="dxa"/>
        <w:tblLayout w:type="fixed"/>
        <w:tblCellMar>
          <w:top w:w="28" w:type="dxa"/>
          <w:left w:w="28" w:type="dxa"/>
          <w:bottom w:w="28" w:type="dxa"/>
          <w:right w:w="28" w:type="dxa"/>
        </w:tblCellMar>
      </w:tblPr>
      <w:tblGrid>
        <w:gridCol w:w="309"/>
        <w:gridCol w:w="272"/>
        <w:gridCol w:w="275"/>
        <w:gridCol w:w="109"/>
        <w:gridCol w:w="109"/>
        <w:gridCol w:w="109"/>
        <w:gridCol w:w="225"/>
        <w:gridCol w:w="225"/>
        <w:gridCol w:w="226"/>
        <w:gridCol w:w="109"/>
        <w:gridCol w:w="109"/>
        <w:gridCol w:w="109"/>
        <w:gridCol w:w="264"/>
        <w:gridCol w:w="264"/>
        <w:gridCol w:w="268"/>
        <w:gridCol w:w="109"/>
        <w:gridCol w:w="109"/>
        <w:gridCol w:w="109"/>
        <w:gridCol w:w="295"/>
        <w:gridCol w:w="295"/>
        <w:gridCol w:w="296"/>
        <w:gridCol w:w="109"/>
        <w:gridCol w:w="109"/>
        <w:gridCol w:w="109"/>
        <w:gridCol w:w="275"/>
        <w:gridCol w:w="275"/>
        <w:gridCol w:w="276"/>
        <w:gridCol w:w="109"/>
        <w:gridCol w:w="109"/>
        <w:gridCol w:w="109"/>
        <w:gridCol w:w="275"/>
        <w:gridCol w:w="275"/>
        <w:gridCol w:w="276"/>
        <w:gridCol w:w="109"/>
        <w:gridCol w:w="109"/>
        <w:gridCol w:w="109"/>
        <w:gridCol w:w="275"/>
        <w:gridCol w:w="275"/>
        <w:gridCol w:w="276"/>
        <w:gridCol w:w="109"/>
        <w:gridCol w:w="109"/>
        <w:gridCol w:w="109"/>
        <w:gridCol w:w="135"/>
        <w:gridCol w:w="135"/>
        <w:gridCol w:w="136"/>
        <w:gridCol w:w="109"/>
        <w:gridCol w:w="109"/>
        <w:gridCol w:w="109"/>
        <w:gridCol w:w="310"/>
        <w:gridCol w:w="310"/>
        <w:gridCol w:w="311"/>
        <w:gridCol w:w="109"/>
        <w:gridCol w:w="109"/>
        <w:gridCol w:w="109"/>
        <w:gridCol w:w="230"/>
        <w:gridCol w:w="230"/>
        <w:gridCol w:w="231"/>
        <w:gridCol w:w="109"/>
        <w:gridCol w:w="109"/>
        <w:gridCol w:w="109"/>
        <w:gridCol w:w="230"/>
        <w:gridCol w:w="230"/>
        <w:gridCol w:w="231"/>
        <w:gridCol w:w="327"/>
        <w:gridCol w:w="706"/>
        <w:gridCol w:w="327"/>
        <w:gridCol w:w="946"/>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Security</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Type</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Security</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Class</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Title</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Fee</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Calculation</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or Carry</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Forward</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Rule</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Amount</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Registered</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Proposed</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Maximum</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Offering</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Price Per</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Unit</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Maximum</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Aggregate</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Offering</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Price</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Fee</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Rate</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Amount of</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Registration</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Fee</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Carry</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Forward</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Form</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Type</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Carry</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Forward</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File</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Number</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Carry</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Forward</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Initial</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effective</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date</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6" w:space="0" w:color="000000"/>
              <w:right w:val="single" w:sz="6" w:space="0" w:color="000000"/>
            </w:tcBorders>
            <w:tcMar>
              <w:top w:w="0" w:type="dxa"/>
              <w:left w:w="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Filing Fee</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Previously</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Paid In</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Connection</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with Unsold</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Securities to</w:t>
              <w:br/>
              <w:t>be Carried</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Forward</w:t>
            </w:r>
          </w:p>
        </w:tc>
      </w:tr>
      <w:tr>
        <w:trPr/>
        <w:tc>
          <w:tcPr>
            <w:tcW w:w="13987" w:type="dxa"/>
            <w:gridSpan w:val="75"/>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987" w:type="dxa"/>
            <w:gridSpan w:val="75"/>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Newly Registered Securities</w:t>
            </w:r>
          </w:p>
        </w:tc>
      </w:tr>
      <w:tr>
        <w:trPr/>
        <w:tc>
          <w:tcPr>
            <w:tcW w:w="85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03" w:type="dxa"/>
            <w:gridSpan w:val="6"/>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restart"/>
            <w:tcBorders>
              <w:left w:val="single" w:sz="6"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Fees to Be</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Paid</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Debt</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Debt Securities</w:t>
            </w:r>
            <w:r>
              <w:rPr>
                <w:rFonts w:ascii="Times New Roman;serif" w:hAnsi="Times New Roman;serif"/>
                <w:b w:val="false"/>
                <w:color w:val="000000"/>
                <w:sz w:val="11"/>
              </w:rPr>
              <w:t>(1)</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Rule 456(b)</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and</w:t>
            </w:r>
          </w:p>
          <w:p>
            <w:pPr>
              <w:pStyle w:val="TableContents"/>
              <w:bidi w:val="0"/>
              <w:spacing w:lineRule="auto" w:line="240" w:before="0" w:after="0"/>
              <w:jc w:val="center"/>
              <w:rPr/>
            </w:pPr>
            <w:r>
              <w:rPr>
                <w:rFonts w:ascii="Times New Roman;serif" w:hAnsi="Times New Roman;serif"/>
                <w:b w:val="false"/>
                <w:color w:val="000000"/>
                <w:sz w:val="17"/>
              </w:rPr>
              <w:t>Rule 457(r)</w:t>
            </w:r>
            <w:r>
              <w:rPr>
                <w:rFonts w:ascii="Times New Roman;serif" w:hAnsi="Times New Roman;serif"/>
                <w:b w:val="false"/>
                <w:color w:val="000000"/>
                <w:sz w:val="11"/>
              </w:rPr>
              <w:t>(3)</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(3)</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(3)</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continue"/>
            <w:tcBorders>
              <w:left w:val="single" w:sz="6" w:space="0" w:color="000000"/>
            </w:tcBorders>
            <w:tcMar>
              <w:top w:w="0" w:type="dxa"/>
              <w:bottom w:w="0" w:type="dxa"/>
              <w:right w:w="0" w:type="dxa"/>
            </w:tcMar>
            <w:vAlign w:val="center"/>
          </w:tcPr>
          <w:p>
            <w:pPr>
              <w:pStyle w:val="Normal"/>
              <w:bidi w:val="0"/>
              <w:jc w:val="left"/>
              <w:rPr/>
            </w:pPr>
            <w:r>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Equity</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Preferred Stock, par value $0.00002 per share</w:t>
            </w:r>
            <w:r>
              <w:rPr>
                <w:rFonts w:ascii="Times New Roman;serif" w:hAnsi="Times New Roman;serif"/>
                <w:b w:val="false"/>
                <w:color w:val="000000"/>
                <w:sz w:val="11"/>
              </w:rPr>
              <w:t>(1)</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Rule 456(b)</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and</w:t>
            </w:r>
          </w:p>
          <w:p>
            <w:pPr>
              <w:pStyle w:val="TableContents"/>
              <w:bidi w:val="0"/>
              <w:spacing w:lineRule="auto" w:line="240" w:before="0" w:after="0"/>
              <w:jc w:val="center"/>
              <w:rPr/>
            </w:pPr>
            <w:r>
              <w:rPr>
                <w:rFonts w:ascii="Times New Roman;serif" w:hAnsi="Times New Roman;serif"/>
                <w:b w:val="false"/>
                <w:color w:val="000000"/>
                <w:sz w:val="17"/>
              </w:rPr>
              <w:t>Rule 457(r)</w:t>
            </w:r>
            <w:r>
              <w:rPr>
                <w:rFonts w:ascii="Times New Roman;serif" w:hAnsi="Times New Roman;serif"/>
                <w:b w:val="false"/>
                <w:color w:val="000000"/>
                <w:sz w:val="11"/>
              </w:rPr>
              <w:t>(3)</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(3)</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(3)</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right w:val="single" w:sz="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continue"/>
            <w:tcBorders>
              <w:left w:val="single" w:sz="6" w:space="0" w:color="000000"/>
            </w:tcBorders>
            <w:tcMar>
              <w:top w:w="0" w:type="dxa"/>
              <w:bottom w:w="0" w:type="dxa"/>
              <w:right w:w="0" w:type="dxa"/>
            </w:tcMar>
            <w:vAlign w:val="center"/>
          </w:tcPr>
          <w:p>
            <w:pPr>
              <w:pStyle w:val="Normal"/>
              <w:bidi w:val="0"/>
              <w:jc w:val="left"/>
              <w:rPr/>
            </w:pPr>
            <w:r>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Equity</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Class A Common Stock, par value $0.00002 per share</w:t>
            </w:r>
            <w:r>
              <w:rPr>
                <w:rFonts w:ascii="Times New Roman;serif" w:hAnsi="Times New Roman;serif"/>
                <w:b w:val="false"/>
                <w:color w:val="000000"/>
                <w:sz w:val="11"/>
              </w:rPr>
              <w:t>(1)</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Rule 456(b)</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and</w:t>
            </w:r>
          </w:p>
          <w:p>
            <w:pPr>
              <w:pStyle w:val="TableContents"/>
              <w:bidi w:val="0"/>
              <w:spacing w:lineRule="auto" w:line="240" w:before="0" w:after="0"/>
              <w:jc w:val="center"/>
              <w:rPr/>
            </w:pPr>
            <w:r>
              <w:rPr>
                <w:rFonts w:ascii="Times New Roman;serif" w:hAnsi="Times New Roman;serif"/>
                <w:b w:val="false"/>
                <w:color w:val="000000"/>
                <w:sz w:val="17"/>
              </w:rPr>
              <w:t>Rule 457(r)</w:t>
            </w:r>
            <w:r>
              <w:rPr>
                <w:rFonts w:ascii="Times New Roman;serif" w:hAnsi="Times New Roman;serif"/>
                <w:b w:val="false"/>
                <w:color w:val="000000"/>
                <w:sz w:val="11"/>
              </w:rPr>
              <w:t>(3)</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(3)</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(3)</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right w:val="single" w:sz="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continue"/>
            <w:tcBorders>
              <w:left w:val="single" w:sz="6" w:space="0" w:color="000000"/>
            </w:tcBorders>
            <w:tcMar>
              <w:top w:w="0" w:type="dxa"/>
              <w:bottom w:w="0" w:type="dxa"/>
              <w:right w:w="0" w:type="dxa"/>
            </w:tcMar>
            <w:vAlign w:val="center"/>
          </w:tcPr>
          <w:p>
            <w:pPr>
              <w:pStyle w:val="Normal"/>
              <w:bidi w:val="0"/>
              <w:jc w:val="left"/>
              <w:rPr/>
            </w:pPr>
            <w:r>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Other</w:t>
            </w:r>
            <w:r>
              <w:rPr>
                <w:rFonts w:ascii="Times New Roman;serif" w:hAnsi="Times New Roman;serif"/>
                <w:b w:val="false"/>
                <w:color w:val="000000"/>
                <w:sz w:val="11"/>
              </w:rPr>
              <w:t>(4)</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Warrants</w:t>
            </w:r>
            <w:r>
              <w:rPr>
                <w:rFonts w:ascii="Times New Roman;serif" w:hAnsi="Times New Roman;serif"/>
                <w:b w:val="false"/>
                <w:color w:val="000000"/>
                <w:sz w:val="11"/>
              </w:rPr>
              <w:t>(1)(4)</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Rule 456(b)</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and</w:t>
            </w:r>
          </w:p>
          <w:p>
            <w:pPr>
              <w:pStyle w:val="TableContents"/>
              <w:bidi w:val="0"/>
              <w:spacing w:lineRule="auto" w:line="240" w:before="0" w:after="0"/>
              <w:jc w:val="center"/>
              <w:rPr/>
            </w:pPr>
            <w:r>
              <w:rPr>
                <w:rFonts w:ascii="Times New Roman;serif" w:hAnsi="Times New Roman;serif"/>
                <w:b w:val="false"/>
                <w:color w:val="000000"/>
                <w:sz w:val="17"/>
              </w:rPr>
              <w:t>Rule 457(r)</w:t>
            </w:r>
            <w:r>
              <w:rPr>
                <w:rFonts w:ascii="Times New Roman;serif" w:hAnsi="Times New Roman;serif"/>
                <w:b w:val="false"/>
                <w:color w:val="000000"/>
                <w:sz w:val="11"/>
              </w:rPr>
              <w:t>(3)</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(2)</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(3)</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1"/>
              </w:rPr>
            </w:pPr>
            <w:r>
              <w:rPr>
                <w:rFonts w:ascii="Times New Roman;serif" w:hAnsi="Times New Roman;serif"/>
                <w:b w:val="false"/>
                <w:color w:val="000000"/>
                <w:sz w:val="11"/>
              </w:rPr>
              <w:t>(3)</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Fees</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Previously</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Paid</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13987" w:type="dxa"/>
            <w:gridSpan w:val="75"/>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987" w:type="dxa"/>
            <w:gridSpan w:val="75"/>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Carry Forward Securities</w:t>
            </w:r>
          </w:p>
        </w:tc>
      </w:tr>
      <w:tr>
        <w:trPr/>
        <w:tc>
          <w:tcPr>
            <w:tcW w:w="85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03" w:type="dxa"/>
            <w:gridSpan w:val="6"/>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Carry</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Forward</w:t>
            </w:r>
          </w:p>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Securities</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6" w:space="0" w:color="000000"/>
              <w:right w:val="single" w:sz="6" w:space="0" w:color="000000"/>
            </w:tcBorders>
            <w:tcMar>
              <w:top w:w="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r>
      <w:tr>
        <w:trPr/>
        <w:tc>
          <w:tcPr>
            <w:tcW w:w="85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4492"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Total Offering Amounts</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4492"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Total Fees Previously Paid</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4492"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Total Fee Offsets</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4492"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Net Fee Due</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70255"/>
                <wp:effectExtent l="0" t="0" r="0" b="0"/>
                <wp:wrapNone/>
                <wp:docPr id="43" name="Frame42"/>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107</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Separate consideration may or may not be received for securities that are issuable upon the conversion or exercise of, or in exchange for, other securities offered hereby.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43"/>
        <w:gridCol w:w="2823"/>
        <w:gridCol w:w="39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39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 unspecified aggregate initial offering price and number of securities of each identified class is being registered and may from time to time be offered at unspecified prices.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Registrant is relying on Rule 456(b) and Rule 457(r) under the Securities Act of 1933, as amended, to defer payment of all of the registration fees.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Representing rights or obligations to purchase debt securities, preferred stock, Class A common stock or other securities, property or assets.</w:t>
            </w:r>
          </w:p>
        </w:tc>
      </w:tr>
    </w:tbl>
    <w:p>
      <w:pPr>
        <w:pStyle w:val="TextBody"/>
        <w:bidi w:val="0"/>
        <w:spacing w:before="0" w:after="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70255"/>
                <wp:effectExtent l="0" t="0" r="0" b="0"/>
                <wp:wrapNone/>
                <wp:docPr id="44" name="Frame43"/>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4360" w:after="240"/>
        <w:ind w:left="0" w:right="0" w:firstLine="1440"/>
        <w:jc w:val="right"/>
        <w:rPr>
          <w:rFonts w:ascii="Times New Roman;serif" w:hAnsi="Times New Roman;serif"/>
          <w:b/>
          <w:color w:val="000000"/>
          <w:sz w:val="24"/>
        </w:rPr>
      </w:pPr>
      <w:r>
        <w:rPr>
          <w:rFonts w:ascii="Times New Roman;serif" w:hAnsi="Times New Roman;serif"/>
          <w:b/>
          <w:color w:val="000000"/>
          <w:sz w:val="24"/>
        </w:rPr>
        <w:t>Exhibit 4.4</w:t>
      </w:r>
    </w:p>
    <w:p>
      <w:pPr>
        <w:pStyle w:val="TextBody"/>
        <w:bidi w:val="0"/>
        <w:spacing w:before="0" w:after="0"/>
        <w:ind w:left="0" w:right="0" w:firstLine="1440"/>
        <w:jc w:val="center"/>
        <w:rPr/>
      </w:pPr>
      <w:r>
        <w:rPr/>
      </w:r>
    </w:p>
    <w:p>
      <w:pPr>
        <w:pStyle w:val="TextBody"/>
        <w:bidi w:val="0"/>
        <w:spacing w:lineRule="auto" w:line="288" w:before="0" w:after="0"/>
        <w:ind w:left="0" w:right="0" w:firstLine="1440"/>
        <w:jc w:val="center"/>
        <w:rPr>
          <w:rFonts w:ascii="Times New Roman;serif" w:hAnsi="Times New Roman;serif"/>
          <w:b/>
          <w:color w:val="000000"/>
          <w:sz w:val="24"/>
        </w:rPr>
      </w:pPr>
      <w:r>
        <w:rPr>
          <w:rFonts w:ascii="Times New Roman;serif" w:hAnsi="Times New Roman;serif"/>
          <w:b/>
          <w:color w:val="000000"/>
          <w:sz w:val="24"/>
        </w:rPr>
        <w:t>FASTLY, INC.,</w:t>
      </w:r>
    </w:p>
    <w:p>
      <w:pPr>
        <w:pStyle w:val="TextBody"/>
        <w:bidi w:val="0"/>
        <w:spacing w:lineRule="auto" w:line="288" w:before="0" w:after="0"/>
        <w:ind w:left="0" w:right="0" w:firstLine="1440"/>
        <w:jc w:val="center"/>
        <w:rPr>
          <w:rFonts w:ascii="Times New Roman;serif" w:hAnsi="Times New Roman;serif"/>
          <w:b/>
          <w:color w:val="000000"/>
          <w:sz w:val="24"/>
        </w:rPr>
      </w:pPr>
      <w:r>
        <w:rPr>
          <w:rFonts w:ascii="Times New Roman;serif" w:hAnsi="Times New Roman;serif"/>
          <w:b/>
          <w:color w:val="000000"/>
          <w:sz w:val="24"/>
        </w:rPr>
        <w:t>Issuer</w:t>
      </w:r>
    </w:p>
    <w:p>
      <w:pPr>
        <w:pStyle w:val="TextBody"/>
        <w:bidi w:val="0"/>
        <w:spacing w:before="0" w:after="0"/>
        <w:ind w:left="0" w:right="0" w:firstLine="1440"/>
        <w:jc w:val="center"/>
        <w:rPr/>
      </w:pPr>
      <w:r>
        <w:rPr/>
      </w:r>
    </w:p>
    <w:p>
      <w:pPr>
        <w:pStyle w:val="TextBody"/>
        <w:bidi w:val="0"/>
        <w:spacing w:lineRule="auto" w:line="288" w:before="0" w:after="0"/>
        <w:ind w:left="0" w:right="0" w:firstLine="14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before="0" w:after="0"/>
        <w:ind w:left="0" w:right="0" w:firstLine="1440"/>
        <w:jc w:val="center"/>
        <w:rPr/>
      </w:pPr>
      <w:r>
        <w:rPr/>
      </w:r>
    </w:p>
    <w:p>
      <w:pPr>
        <w:pStyle w:val="TextBody"/>
        <w:bidi w:val="0"/>
        <w:spacing w:lineRule="auto" w:line="288" w:before="0" w:after="0"/>
        <w:ind w:left="0" w:right="0" w:firstLine="1440"/>
        <w:jc w:val="center"/>
        <w:rPr>
          <w:rFonts w:ascii="Times New Roman;serif" w:hAnsi="Times New Roman;serif"/>
          <w:b/>
          <w:color w:val="000000"/>
          <w:sz w:val="24"/>
        </w:rPr>
      </w:pPr>
      <w:r>
        <w:rPr>
          <w:rFonts w:ascii="Times New Roman;serif" w:hAnsi="Times New Roman;serif"/>
          <w:b/>
          <w:color w:val="000000"/>
          <w:sz w:val="24"/>
        </w:rPr>
        <w:t>_______________,</w:t>
      </w:r>
    </w:p>
    <w:p>
      <w:pPr>
        <w:pStyle w:val="TextBody"/>
        <w:bidi w:val="0"/>
        <w:spacing w:lineRule="auto" w:line="288" w:before="0" w:after="0"/>
        <w:ind w:left="0" w:right="0" w:firstLine="1440"/>
        <w:jc w:val="center"/>
        <w:rPr>
          <w:rFonts w:ascii="Times New Roman;serif" w:hAnsi="Times New Roman;serif"/>
          <w:b/>
          <w:color w:val="000000"/>
          <w:sz w:val="24"/>
        </w:rPr>
      </w:pPr>
      <w:r>
        <w:rPr>
          <w:rFonts w:ascii="Times New Roman;serif" w:hAnsi="Times New Roman;serif"/>
          <w:b/>
          <w:color w:val="000000"/>
          <w:sz w:val="24"/>
        </w:rPr>
        <w:t>Trustee</w:t>
      </w:r>
    </w:p>
    <w:p>
      <w:pPr>
        <w:pStyle w:val="TextBody"/>
        <w:bidi w:val="0"/>
        <w:spacing w:lineRule="auto" w:line="288" w:before="240" w:after="283"/>
        <w:ind w:left="0" w:right="0" w:firstLine="1440"/>
        <w:jc w:val="center"/>
        <w:rPr>
          <w:rFonts w:ascii="Times New Roman;serif" w:hAnsi="Times New Roman;serif"/>
          <w:b/>
          <w:color w:val="000000"/>
          <w:sz w:val="24"/>
        </w:rPr>
      </w:pPr>
      <w:r>
        <w:rPr>
          <w:rFonts w:ascii="Times New Roman;serif" w:hAnsi="Times New Roman;serif"/>
          <w:b/>
          <w:color w:val="000000"/>
          <w:sz w:val="24"/>
        </w:rPr>
        <w:t>INDENTURE</w:t>
      </w:r>
    </w:p>
    <w:p>
      <w:pPr>
        <w:pStyle w:val="TextBody"/>
        <w:bidi w:val="0"/>
        <w:spacing w:before="0" w:after="0"/>
        <w:ind w:left="0" w:right="0" w:firstLine="1440"/>
        <w:jc w:val="center"/>
        <w:rPr/>
      </w:pPr>
      <w:r>
        <w:rPr/>
      </w:r>
    </w:p>
    <w:p>
      <w:pPr>
        <w:pStyle w:val="TextBody"/>
        <w:bidi w:val="0"/>
        <w:spacing w:lineRule="auto" w:line="288" w:before="0" w:after="0"/>
        <w:ind w:left="0" w:right="0" w:firstLine="1440"/>
        <w:jc w:val="center"/>
        <w:rPr>
          <w:rFonts w:ascii="Times New Roman;serif" w:hAnsi="Times New Roman;serif"/>
          <w:b/>
          <w:color w:val="000000"/>
          <w:sz w:val="24"/>
        </w:rPr>
      </w:pPr>
      <w:r>
        <w:rPr>
          <w:rFonts w:ascii="Times New Roman;serif" w:hAnsi="Times New Roman;serif"/>
          <w:b/>
          <w:color w:val="000000"/>
          <w:sz w:val="24"/>
        </w:rPr>
        <w:t>Dated as of [_], 20__</w:t>
      </w:r>
    </w:p>
    <w:p>
      <w:pPr>
        <w:pStyle w:val="TextBody"/>
        <w:bidi w:val="0"/>
        <w:spacing w:lineRule="auto" w:line="288" w:before="240" w:after="283"/>
        <w:ind w:left="0" w:right="0" w:firstLine="1440"/>
        <w:jc w:val="center"/>
        <w:rPr>
          <w:rFonts w:ascii="Times New Roman;serif" w:hAnsi="Times New Roman;serif"/>
          <w:b/>
          <w:color w:val="000000"/>
          <w:sz w:val="24"/>
        </w:rPr>
      </w:pPr>
      <w:r>
        <w:rPr>
          <w:rFonts w:ascii="Times New Roman;serif" w:hAnsi="Times New Roman;serif"/>
          <w:b/>
          <w:color w:val="000000"/>
          <w:sz w:val="24"/>
        </w:rPr>
        <w:t>_______________</w:t>
      </w:r>
    </w:p>
    <w:p>
      <w:pPr>
        <w:pStyle w:val="TextBody"/>
        <w:bidi w:val="0"/>
        <w:spacing w:lineRule="auto" w:line="288" w:before="240" w:after="283"/>
        <w:ind w:left="0" w:right="0" w:firstLine="1440"/>
        <w:jc w:val="center"/>
        <w:rPr>
          <w:rFonts w:ascii="Times New Roman;serif" w:hAnsi="Times New Roman;serif"/>
          <w:b/>
          <w:color w:val="000000"/>
          <w:sz w:val="24"/>
        </w:rPr>
      </w:pPr>
      <w:r>
        <w:rPr>
          <w:rFonts w:ascii="Times New Roman;serif" w:hAnsi="Times New Roman;serif"/>
          <w:b/>
          <w:color w:val="000000"/>
          <w:sz w:val="24"/>
        </w:rPr>
        <w:t>Debt Securities</w:t>
      </w:r>
    </w:p>
    <w:p>
      <w:pPr>
        <w:pStyle w:val="TextBody"/>
        <w:bidi w:val="0"/>
        <w:spacing w:before="240" w:after="283"/>
        <w:ind w:left="0" w:right="0" w:firstLine="1440"/>
        <w:jc w:val="center"/>
        <w:rPr/>
      </w:pPr>
      <w:r>
        <w:rPr/>
      </w:r>
    </w:p>
    <w:p>
      <w:pPr>
        <w:pStyle w:val="TextBody"/>
        <w:bidi w:val="0"/>
        <w:spacing w:before="0" w:after="2"/>
        <w:ind w:left="0" w:right="0" w:firstLine="7"/>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440"/>
        <w:jc w:val="left"/>
        <w:rPr/>
      </w:pPr>
      <w:r>
        <w:rPr>
          <w:color w:val="000000"/>
        </w:rPr>
        <w:t>    </w:t>
      </w: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5"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ind w:left="0" w:right="0" w:firstLine="14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0"/>
                        <w:jc w:val="left"/>
                        <w:rPr/>
                      </w:pPr>
                      <w:r>
                        <w:rPr/>
                      </w:r>
                    </w:p>
                    <w:p>
                      <w:pPr>
                        <w:pStyle w:val="TextBody"/>
                        <w:bidi w:val="0"/>
                        <w:spacing w:before="0" w:after="0"/>
                        <w:ind w:left="0" w:right="0" w:firstLine="1440"/>
                        <w:jc w:val="left"/>
                        <w:rPr/>
                      </w:pPr>
                      <w:r>
                        <w:rPr/>
                      </w:r>
                    </w:p>
                  </w:txbxContent>
                </v:textbox>
                <w10:wrap type="none"/>
              </v:rect>
            </w:pict>
          </mc:Fallback>
        </mc:AlternateConten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200"/>
        <w:ind w:left="0" w:right="0" w:firstLine="1440"/>
        <w:jc w:val="left"/>
        <w:rPr/>
      </w:pPr>
      <w:r>
        <w:rPr>
          <w:color w:val="000000"/>
        </w:rPr>
        <w:t>        </w:t>
      </w:r>
      <w:r>
        <w:rPr>
          <w:rFonts w:ascii="Times New Roman;serif" w:hAnsi="Times New Roman;serif"/>
          <w:b/>
          <w:color w:val="000000"/>
          <w:sz w:val="24"/>
        </w:rPr>
        <w:t>Page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65"/>
        <w:gridCol w:w="3021"/>
        <w:gridCol w:w="3027"/>
        <w:gridCol w:w="114"/>
        <w:gridCol w:w="114"/>
        <w:gridCol w:w="164"/>
      </w:tblGrid>
      <w:tr>
        <w:trPr/>
        <w:tc>
          <w:tcPr>
            <w:tcW w:w="3765"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1e70aedb18483684276913935a584c">
              <w:r>
                <w:rPr>
                  <w:rStyle w:val="InternetLink"/>
                  <w:rFonts w:ascii="Times New Roman;serif" w:hAnsi="Times New Roman;serif"/>
                  <w:b w:val="false"/>
                  <w:strike w:val="false"/>
                  <w:dstrike w:val="false"/>
                  <w:color w:val="000000"/>
                  <w:sz w:val="24"/>
                  <w:u w:val="none"/>
                  <w:effect w:val="none"/>
                </w:rPr>
                <w:t>ARTICLE 1.     DEFINITIONS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1e70aedb18483684276913935a584c">
              <w:r>
                <w:rPr>
                  <w:rStyle w:val="InternetLink"/>
                  <w:rFonts w:ascii="Times New Roman;serif" w:hAnsi="Times New Roman;serif"/>
                  <w:b w:val="false"/>
                  <w:strike w:val="false"/>
                  <w:dstrike w:val="false"/>
                  <w:color w:val="000000"/>
                  <w:sz w:val="24"/>
                  <w:u w:val="none"/>
                  <w:effect w:val="none"/>
                </w:rPr>
                <w:t>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d014bc10bb84358a69b87e5d3d0c5c0">
              <w:r>
                <w:rPr>
                  <w:rStyle w:val="InternetLink"/>
                  <w:rFonts w:ascii="Times New Roman;serif" w:hAnsi="Times New Roman;serif"/>
                  <w:b w:val="false"/>
                  <w:strike w:val="false"/>
                  <w:dstrike w:val="false"/>
                  <w:color w:val="000000"/>
                  <w:sz w:val="24"/>
                  <w:u w:val="none"/>
                  <w:effect w:val="none"/>
                </w:rPr>
                <w:t>Section 1.01.    Definitions of Terms.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d014bc10bb84358a69b87e5d3d0c5c0">
              <w:r>
                <w:rPr>
                  <w:rStyle w:val="InternetLink"/>
                  <w:rFonts w:ascii="Times New Roman;serif" w:hAnsi="Times New Roman;serif"/>
                  <w:b w:val="false"/>
                  <w:strike w:val="false"/>
                  <w:dstrike w:val="false"/>
                  <w:color w:val="000000"/>
                  <w:sz w:val="24"/>
                  <w:u w:val="none"/>
                  <w:effect w:val="none"/>
                </w:rPr>
                <w:t>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ce08ae1a49048078cca3308f9289963">
              <w:r>
                <w:rPr>
                  <w:rStyle w:val="InternetLink"/>
                  <w:rFonts w:ascii="Times New Roman;serif" w:hAnsi="Times New Roman;serif"/>
                  <w:b w:val="false"/>
                  <w:strike w:val="false"/>
                  <w:dstrike w:val="false"/>
                  <w:color w:val="000000"/>
                  <w:sz w:val="24"/>
                  <w:u w:val="none"/>
                  <w:effect w:val="none"/>
                </w:rPr>
                <w:t>ARTICLE 2.     ISSUE, DESCRIPTION, TERMS, EXECUTION, REGISTRATION AND EXCHANGE OF SECURITIES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ce08ae1a49048078cca3308f9289963">
              <w:r>
                <w:rPr>
                  <w:rStyle w:val="InternetLink"/>
                  <w:rFonts w:ascii="Times New Roman;serif" w:hAnsi="Times New Roman;serif"/>
                  <w:b w:val="false"/>
                  <w:strike w:val="false"/>
                  <w:dstrike w:val="false"/>
                  <w:color w:val="000000"/>
                  <w:sz w:val="24"/>
                  <w:u w:val="none"/>
                  <w:effect w:val="none"/>
                </w:rPr>
                <w:t>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e40541274f471889c4f306867dd216">
              <w:r>
                <w:rPr>
                  <w:rStyle w:val="InternetLink"/>
                  <w:rFonts w:ascii="Times New Roman;serif" w:hAnsi="Times New Roman;serif"/>
                  <w:b w:val="false"/>
                  <w:strike w:val="false"/>
                  <w:dstrike w:val="false"/>
                  <w:color w:val="000000"/>
                  <w:sz w:val="24"/>
                  <w:u w:val="none"/>
                  <w:effect w:val="none"/>
                </w:rPr>
                <w:t>Section 2.01.    Designation and Terms of Securities.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e40541274f471889c4f306867dd216">
              <w:r>
                <w:rPr>
                  <w:rStyle w:val="InternetLink"/>
                  <w:rFonts w:ascii="Times New Roman;serif" w:hAnsi="Times New Roman;serif"/>
                  <w:b w:val="false"/>
                  <w:strike w:val="false"/>
                  <w:dstrike w:val="false"/>
                  <w:color w:val="000000"/>
                  <w:sz w:val="24"/>
                  <w:u w:val="none"/>
                  <w:effect w:val="none"/>
                </w:rPr>
                <w:t>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3157a2159244c4886c5cabc7a85fe4">
              <w:r>
                <w:rPr>
                  <w:rStyle w:val="InternetLink"/>
                  <w:rFonts w:ascii="Times New Roman;serif" w:hAnsi="Times New Roman;serif"/>
                  <w:b w:val="false"/>
                  <w:strike w:val="false"/>
                  <w:dstrike w:val="false"/>
                  <w:color w:val="000000"/>
                  <w:sz w:val="24"/>
                  <w:u w:val="none"/>
                  <w:effect w:val="none"/>
                </w:rPr>
                <w:t>Section 2.02.    Form of Securities and Trustee’s Certificate.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f3157a2159244c4886c5cabc7a85fe4">
              <w:r>
                <w:rPr>
                  <w:rStyle w:val="InternetLink"/>
                  <w:rFonts w:ascii="Times New Roman;serif" w:hAnsi="Times New Roman;serif"/>
                  <w:b w:val="false"/>
                  <w:strike w:val="false"/>
                  <w:dstrike w:val="false"/>
                  <w:color w:val="000000"/>
                  <w:sz w:val="24"/>
                  <w:u w:val="none"/>
                  <w:effect w:val="none"/>
                </w:rPr>
                <w:t>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ac2cde54454c24a4014d2c96f7e9a0">
              <w:r>
                <w:rPr>
                  <w:rStyle w:val="InternetLink"/>
                  <w:rFonts w:ascii="Times New Roman;serif" w:hAnsi="Times New Roman;serif"/>
                  <w:b w:val="false"/>
                  <w:strike w:val="false"/>
                  <w:dstrike w:val="false"/>
                  <w:color w:val="000000"/>
                  <w:sz w:val="24"/>
                  <w:u w:val="none"/>
                  <w:effect w:val="none"/>
                </w:rPr>
                <w:t>Section 2.03.    Denominations: Provisions for Payment.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ac2cde54454c24a4014d2c96f7e9a0">
              <w:r>
                <w:rPr>
                  <w:rStyle w:val="InternetLink"/>
                  <w:rFonts w:ascii="Times New Roman;serif" w:hAnsi="Times New Roman;serif"/>
                  <w:b w:val="false"/>
                  <w:strike w:val="false"/>
                  <w:dstrike w:val="false"/>
                  <w:color w:val="000000"/>
                  <w:sz w:val="24"/>
                  <w:u w:val="none"/>
                  <w:effect w:val="none"/>
                </w:rPr>
                <w:t>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aa9bcbd842485f87878a6728ea859d">
              <w:r>
                <w:rPr>
                  <w:rStyle w:val="InternetLink"/>
                  <w:rFonts w:ascii="Times New Roman;serif" w:hAnsi="Times New Roman;serif"/>
                  <w:b w:val="false"/>
                  <w:strike w:val="false"/>
                  <w:dstrike w:val="false"/>
                  <w:color w:val="000000"/>
                  <w:sz w:val="24"/>
                  <w:u w:val="none"/>
                  <w:effect w:val="none"/>
                </w:rPr>
                <w:t>Section 2.04.    Execution and Authentications.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aa9bcbd842485f87878a6728ea859d">
              <w:r>
                <w:rPr>
                  <w:rStyle w:val="InternetLink"/>
                  <w:rFonts w:ascii="Times New Roman;serif" w:hAnsi="Times New Roman;serif"/>
                  <w:b w:val="false"/>
                  <w:strike w:val="false"/>
                  <w:dstrike w:val="false"/>
                  <w:color w:val="000000"/>
                  <w:sz w:val="24"/>
                  <w:u w:val="none"/>
                  <w:effect w:val="none"/>
                </w:rPr>
                <w:t>10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7ca9306b1240b1907438ca8b23dcab">
              <w:r>
                <w:rPr>
                  <w:rStyle w:val="InternetLink"/>
                  <w:rFonts w:ascii="Times New Roman;serif" w:hAnsi="Times New Roman;serif"/>
                  <w:b w:val="false"/>
                  <w:strike w:val="false"/>
                  <w:dstrike w:val="false"/>
                  <w:color w:val="000000"/>
                  <w:sz w:val="24"/>
                  <w:u w:val="none"/>
                  <w:effect w:val="none"/>
                </w:rPr>
                <w:t>Section 2.05.    Registration of Transfer and Exchange.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57ca9306b1240b1907438ca8b23dcab">
              <w:r>
                <w:rPr>
                  <w:rStyle w:val="InternetLink"/>
                  <w:rFonts w:ascii="Times New Roman;serif" w:hAnsi="Times New Roman;serif"/>
                  <w:b w:val="false"/>
                  <w:strike w:val="false"/>
                  <w:dstrike w:val="false"/>
                  <w:color w:val="000000"/>
                  <w:sz w:val="24"/>
                  <w:u w:val="none"/>
                  <w:effect w:val="none"/>
                </w:rPr>
                <w:t>10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b83f7762f174ce692c8d764c6232d9a">
              <w:r>
                <w:rPr>
                  <w:rStyle w:val="InternetLink"/>
                  <w:rFonts w:ascii="Times New Roman;serif" w:hAnsi="Times New Roman;serif"/>
                  <w:b w:val="false"/>
                  <w:strike w:val="false"/>
                  <w:dstrike w:val="false"/>
                  <w:color w:val="000000"/>
                  <w:sz w:val="24"/>
                  <w:u w:val="none"/>
                  <w:effect w:val="none"/>
                </w:rPr>
                <w:t>Section 2.06.    Temporary Securities.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b83f7762f174ce692c8d764c6232d9a">
              <w:r>
                <w:rPr>
                  <w:rStyle w:val="InternetLink"/>
                  <w:rFonts w:ascii="Times New Roman;serif" w:hAnsi="Times New Roman;serif"/>
                  <w:b w:val="false"/>
                  <w:strike w:val="false"/>
                  <w:dstrike w:val="false"/>
                  <w:color w:val="000000"/>
                  <w:sz w:val="24"/>
                  <w:u w:val="none"/>
                  <w:effect w:val="none"/>
                </w:rPr>
                <w:t>12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25047392b34e1993c8dce9ef730116">
              <w:r>
                <w:rPr>
                  <w:rStyle w:val="InternetLink"/>
                  <w:rFonts w:ascii="Times New Roman;serif" w:hAnsi="Times New Roman;serif"/>
                  <w:b w:val="false"/>
                  <w:strike w:val="false"/>
                  <w:dstrike w:val="false"/>
                  <w:color w:val="000000"/>
                  <w:sz w:val="24"/>
                  <w:u w:val="none"/>
                  <w:effect w:val="none"/>
                </w:rPr>
                <w:t>Section 2.07.    Mutilated, Destroyed, Lost or Stolen Securities.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a25047392b34e1993c8dce9ef730116">
              <w:r>
                <w:rPr>
                  <w:rStyle w:val="InternetLink"/>
                  <w:rFonts w:ascii="Times New Roman;serif" w:hAnsi="Times New Roman;serif"/>
                  <w:b w:val="false"/>
                  <w:strike w:val="false"/>
                  <w:dstrike w:val="false"/>
                  <w:color w:val="000000"/>
                  <w:sz w:val="24"/>
                  <w:u w:val="none"/>
                  <w:effect w:val="none"/>
                </w:rPr>
                <w:t>12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39680f31f4c7ea7000ee329f33e02">
              <w:r>
                <w:rPr>
                  <w:rStyle w:val="InternetLink"/>
                  <w:rFonts w:ascii="Times New Roman;serif" w:hAnsi="Times New Roman;serif"/>
                  <w:b w:val="false"/>
                  <w:strike w:val="false"/>
                  <w:dstrike w:val="false"/>
                  <w:color w:val="000000"/>
                  <w:sz w:val="24"/>
                  <w:u w:val="none"/>
                  <w:effect w:val="none"/>
                </w:rPr>
                <w:t>Section 2.08.    Cancellation.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639680f31f4c7ea7000ee329f33e02">
              <w:r>
                <w:rPr>
                  <w:rStyle w:val="InternetLink"/>
                  <w:rFonts w:ascii="Times New Roman;serif" w:hAnsi="Times New Roman;serif"/>
                  <w:b w:val="false"/>
                  <w:strike w:val="false"/>
                  <w:dstrike w:val="false"/>
                  <w:color w:val="000000"/>
                  <w:sz w:val="24"/>
                  <w:u w:val="none"/>
                  <w:effect w:val="none"/>
                </w:rPr>
                <w:t>13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db56b8ffa94de2976a02ed43f4b39a">
              <w:r>
                <w:rPr>
                  <w:rStyle w:val="InternetLink"/>
                  <w:rFonts w:ascii="Times New Roman;serif" w:hAnsi="Times New Roman;serif"/>
                  <w:b w:val="false"/>
                  <w:strike w:val="false"/>
                  <w:dstrike w:val="false"/>
                  <w:color w:val="000000"/>
                  <w:sz w:val="24"/>
                  <w:u w:val="none"/>
                  <w:effect w:val="none"/>
                </w:rPr>
                <w:t>Section 2.09.    Benefits of Indenture.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0db56b8ffa94de2976a02ed43f4b39a">
              <w:r>
                <w:rPr>
                  <w:rStyle w:val="InternetLink"/>
                  <w:rFonts w:ascii="Times New Roman;serif" w:hAnsi="Times New Roman;serif"/>
                  <w:b w:val="false"/>
                  <w:strike w:val="false"/>
                  <w:dstrike w:val="false"/>
                  <w:color w:val="000000"/>
                  <w:sz w:val="24"/>
                  <w:u w:val="none"/>
                  <w:effect w:val="none"/>
                </w:rPr>
                <w:t>13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30a1d052e04c408c38bc830007c482">
              <w:r>
                <w:rPr>
                  <w:rStyle w:val="InternetLink"/>
                  <w:rFonts w:ascii="Times New Roman;serif" w:hAnsi="Times New Roman;serif"/>
                  <w:b w:val="false"/>
                  <w:strike w:val="false"/>
                  <w:dstrike w:val="false"/>
                  <w:color w:val="000000"/>
                  <w:sz w:val="24"/>
                  <w:u w:val="none"/>
                  <w:effect w:val="none"/>
                </w:rPr>
                <w:t>Section 2.10.    Authenticating Agent.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30a1d052e04c408c38bc830007c482">
              <w:r>
                <w:rPr>
                  <w:rStyle w:val="InternetLink"/>
                  <w:rFonts w:ascii="Times New Roman;serif" w:hAnsi="Times New Roman;serif"/>
                  <w:b w:val="false"/>
                  <w:strike w:val="false"/>
                  <w:dstrike w:val="false"/>
                  <w:color w:val="000000"/>
                  <w:sz w:val="24"/>
                  <w:u w:val="none"/>
                  <w:effect w:val="none"/>
                </w:rPr>
                <w:t>13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9bf99159f846ef9fdf120ef203703b">
              <w:r>
                <w:rPr>
                  <w:rStyle w:val="InternetLink"/>
                  <w:rFonts w:ascii="Times New Roman;serif" w:hAnsi="Times New Roman;serif"/>
                  <w:b w:val="false"/>
                  <w:strike w:val="false"/>
                  <w:dstrike w:val="false"/>
                  <w:color w:val="000000"/>
                  <w:sz w:val="24"/>
                  <w:u w:val="none"/>
                  <w:effect w:val="none"/>
                </w:rPr>
                <w:t>Section 2.11.    Global Securities.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9bf99159f846ef9fdf120ef203703b">
              <w:r>
                <w:rPr>
                  <w:rStyle w:val="InternetLink"/>
                  <w:rFonts w:ascii="Times New Roman;serif" w:hAnsi="Times New Roman;serif"/>
                  <w:b w:val="false"/>
                  <w:strike w:val="false"/>
                  <w:dstrike w:val="false"/>
                  <w:color w:val="000000"/>
                  <w:sz w:val="24"/>
                  <w:u w:val="none"/>
                  <w:effect w:val="none"/>
                </w:rPr>
                <w:t>14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40cb4ace6947a0977d45c35e6eab0d">
              <w:r>
                <w:rPr>
                  <w:rStyle w:val="InternetLink"/>
                  <w:rFonts w:ascii="Times New Roman;serif" w:hAnsi="Times New Roman;serif"/>
                  <w:b w:val="false"/>
                  <w:strike w:val="false"/>
                  <w:dstrike w:val="false"/>
                  <w:color w:val="000000"/>
                  <w:sz w:val="24"/>
                  <w:u w:val="none"/>
                  <w:effect w:val="none"/>
                </w:rPr>
                <w:t>Section 2.12.    CUSIP Numbers.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a40cb4ace6947a0977d45c35e6eab0d">
              <w:r>
                <w:rPr>
                  <w:rStyle w:val="InternetLink"/>
                  <w:rFonts w:ascii="Times New Roman;serif" w:hAnsi="Times New Roman;serif"/>
                  <w:b w:val="false"/>
                  <w:strike w:val="false"/>
                  <w:dstrike w:val="false"/>
                  <w:color w:val="000000"/>
                  <w:sz w:val="24"/>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3953f3f7f0495cb69d6d0a350ecb24">
              <w:r>
                <w:rPr>
                  <w:rStyle w:val="InternetLink"/>
                  <w:rFonts w:ascii="Times New Roman;serif" w:hAnsi="Times New Roman;serif"/>
                  <w:b w:val="false"/>
                  <w:strike w:val="false"/>
                  <w:dstrike w:val="false"/>
                  <w:color w:val="000000"/>
                  <w:sz w:val="24"/>
                  <w:u w:val="none"/>
                  <w:effect w:val="none"/>
                </w:rPr>
                <w:t>ARTICLE 3.     REDEMPTION OF SECURITIES AND SINKING FUND PROVISIONS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3953f3f7f0495cb69d6d0a350ecb24">
              <w:r>
                <w:rPr>
                  <w:rStyle w:val="InternetLink"/>
                  <w:rFonts w:ascii="Times New Roman;serif" w:hAnsi="Times New Roman;serif"/>
                  <w:b w:val="false"/>
                  <w:strike w:val="false"/>
                  <w:dstrike w:val="false"/>
                  <w:color w:val="000000"/>
                  <w:sz w:val="24"/>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5aed0f4f0ae4d59a8133ff4153b8f82">
              <w:r>
                <w:rPr>
                  <w:rStyle w:val="InternetLink"/>
                  <w:rFonts w:ascii="Times New Roman;serif" w:hAnsi="Times New Roman;serif"/>
                  <w:b w:val="false"/>
                  <w:strike w:val="false"/>
                  <w:dstrike w:val="false"/>
                  <w:color w:val="000000"/>
                  <w:sz w:val="24"/>
                  <w:u w:val="none"/>
                  <w:effect w:val="none"/>
                </w:rPr>
                <w:t>Section 3.01.    Redemption.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5aed0f4f0ae4d59a8133ff4153b8f82">
              <w:r>
                <w:rPr>
                  <w:rStyle w:val="InternetLink"/>
                  <w:rFonts w:ascii="Times New Roman;serif" w:hAnsi="Times New Roman;serif"/>
                  <w:b w:val="false"/>
                  <w:strike w:val="false"/>
                  <w:dstrike w:val="false"/>
                  <w:color w:val="000000"/>
                  <w:sz w:val="24"/>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0870d2306c4a2ebe05e17564dd658d">
              <w:r>
                <w:rPr>
                  <w:rStyle w:val="InternetLink"/>
                  <w:rFonts w:ascii="Times New Roman;serif" w:hAnsi="Times New Roman;serif"/>
                  <w:b w:val="false"/>
                  <w:strike w:val="false"/>
                  <w:dstrike w:val="false"/>
                  <w:color w:val="000000"/>
                  <w:sz w:val="24"/>
                  <w:u w:val="none"/>
                  <w:effect w:val="none"/>
                </w:rPr>
                <w:t>Section 3.02.    Notice of Redemption.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0870d2306c4a2ebe05e17564dd658d">
              <w:r>
                <w:rPr>
                  <w:rStyle w:val="InternetLink"/>
                  <w:rFonts w:ascii="Times New Roman;serif" w:hAnsi="Times New Roman;serif"/>
                  <w:b w:val="false"/>
                  <w:strike w:val="false"/>
                  <w:dstrike w:val="false"/>
                  <w:color w:val="000000"/>
                  <w:sz w:val="24"/>
                  <w:u w:val="none"/>
                  <w:effect w:val="none"/>
                </w:rPr>
                <w:t>16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3674a5ce4074276b633c38e05bf423a">
              <w:r>
                <w:rPr>
                  <w:rStyle w:val="InternetLink"/>
                  <w:rFonts w:ascii="Times New Roman;serif" w:hAnsi="Times New Roman;serif"/>
                  <w:b w:val="false"/>
                  <w:strike w:val="false"/>
                  <w:dstrike w:val="false"/>
                  <w:color w:val="000000"/>
                  <w:sz w:val="24"/>
                  <w:u w:val="none"/>
                  <w:effect w:val="none"/>
                </w:rPr>
                <w:t>Section 3.03.    Payment Upon Redemption.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3674a5ce4074276b633c38e05bf423a">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f2147184cd341099327f41fa2413d08">
              <w:r>
                <w:rPr>
                  <w:rStyle w:val="InternetLink"/>
                  <w:rFonts w:ascii="Times New Roman;serif" w:hAnsi="Times New Roman;serif"/>
                  <w:b w:val="false"/>
                  <w:strike w:val="false"/>
                  <w:dstrike w:val="false"/>
                  <w:color w:val="000000"/>
                  <w:sz w:val="24"/>
                  <w:u w:val="none"/>
                  <w:effect w:val="none"/>
                </w:rPr>
                <w:t>Section 3.04.    Sinking Fund.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f2147184cd341099327f41fa2413d08">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4466fc93164b89a5715b26a81022ff">
              <w:r>
                <w:rPr>
                  <w:rStyle w:val="InternetLink"/>
                  <w:rFonts w:ascii="Times New Roman;serif" w:hAnsi="Times New Roman;serif"/>
                  <w:b w:val="false"/>
                  <w:strike w:val="false"/>
                  <w:dstrike w:val="false"/>
                  <w:color w:val="000000"/>
                  <w:sz w:val="24"/>
                  <w:u w:val="none"/>
                  <w:effect w:val="none"/>
                </w:rPr>
                <w:t>Section 3.05.    Satisfaction of Sinking Fund Payments with Securities.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24466fc93164b89a5715b26a81022ff">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800caecccf4c25a85c52768060ad76">
              <w:r>
                <w:rPr>
                  <w:rStyle w:val="InternetLink"/>
                  <w:rFonts w:ascii="Times New Roman;serif" w:hAnsi="Times New Roman;serif"/>
                  <w:b w:val="false"/>
                  <w:strike w:val="false"/>
                  <w:dstrike w:val="false"/>
                  <w:color w:val="000000"/>
                  <w:sz w:val="24"/>
                  <w:u w:val="none"/>
                  <w:effect w:val="none"/>
                </w:rPr>
                <w:t>Section 3.06.    Redemption of Securities for Sinking Fund.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3800caecccf4c25a85c52768060ad76">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ee1242f24c042b08cab9bcedeaf9943">
              <w:r>
                <w:rPr>
                  <w:rStyle w:val="InternetLink"/>
                  <w:rFonts w:ascii="Times New Roman;serif" w:hAnsi="Times New Roman;serif"/>
                  <w:b w:val="false"/>
                  <w:strike w:val="false"/>
                  <w:dstrike w:val="false"/>
                  <w:color w:val="000000"/>
                  <w:sz w:val="24"/>
                  <w:u w:val="none"/>
                  <w:effect w:val="none"/>
                </w:rPr>
                <w:t>ARTICLE 4.     COVENANTS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ee1242f24c042b08cab9bcedeaf9943">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f62990eb7a24d70a9f1325279894a12">
              <w:r>
                <w:rPr>
                  <w:rStyle w:val="InternetLink"/>
                  <w:rFonts w:ascii="Times New Roman;serif" w:hAnsi="Times New Roman;serif"/>
                  <w:b w:val="false"/>
                  <w:strike w:val="false"/>
                  <w:dstrike w:val="false"/>
                  <w:color w:val="000000"/>
                  <w:sz w:val="24"/>
                  <w:u w:val="none"/>
                  <w:effect w:val="none"/>
                </w:rPr>
                <w:t>Section 4.01.    Payment of Principal, Premium and Interest.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f62990eb7a24d70a9f1325279894a12">
              <w:r>
                <w:rPr>
                  <w:rStyle w:val="InternetLink"/>
                  <w:rFonts w:ascii="Times New Roman;serif" w:hAnsi="Times New Roman;serif"/>
                  <w:b w:val="false"/>
                  <w:strike w:val="false"/>
                  <w:dstrike w:val="false"/>
                  <w:color w:val="000000"/>
                  <w:sz w:val="24"/>
                  <w:u w:val="none"/>
                  <w:effect w:val="none"/>
                </w:rPr>
                <w:t>18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87d8925324747369323b54e15b67d02">
              <w:r>
                <w:rPr>
                  <w:rStyle w:val="InternetLink"/>
                  <w:rFonts w:ascii="Times New Roman;serif" w:hAnsi="Times New Roman;serif"/>
                  <w:b w:val="false"/>
                  <w:strike w:val="false"/>
                  <w:dstrike w:val="false"/>
                  <w:color w:val="000000"/>
                  <w:sz w:val="24"/>
                  <w:u w:val="none"/>
                  <w:effect w:val="none"/>
                </w:rPr>
                <w:t>Section 4.02.    Maintenance of Office or Agency.</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87d8925324747369323b54e15b67d02">
              <w:r>
                <w:rPr>
                  <w:rStyle w:val="InternetLink"/>
                  <w:rFonts w:ascii="Times New Roman;serif" w:hAnsi="Times New Roman;serif"/>
                  <w:b w:val="false"/>
                  <w:strike w:val="false"/>
                  <w:dstrike w:val="false"/>
                  <w:color w:val="000000"/>
                  <w:sz w:val="24"/>
                  <w:u w:val="none"/>
                  <w:effect w:val="none"/>
                </w:rPr>
                <w:t>19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726d5b06da94eafa4318037161c5fa2">
              <w:r>
                <w:rPr>
                  <w:rStyle w:val="InternetLink"/>
                  <w:rFonts w:ascii="Times New Roman;serif" w:hAnsi="Times New Roman;serif"/>
                  <w:b w:val="false"/>
                  <w:strike w:val="false"/>
                  <w:dstrike w:val="false"/>
                  <w:color w:val="000000"/>
                  <w:sz w:val="24"/>
                  <w:u w:val="none"/>
                  <w:effect w:val="none"/>
                </w:rPr>
                <w:t>Section 4.03.    Paying Agents.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726d5b06da94eafa4318037161c5fa2">
              <w:r>
                <w:rPr>
                  <w:rStyle w:val="InternetLink"/>
                  <w:rFonts w:ascii="Times New Roman;serif" w:hAnsi="Times New Roman;serif"/>
                  <w:b w:val="false"/>
                  <w:strike w:val="false"/>
                  <w:dstrike w:val="false"/>
                  <w:color w:val="000000"/>
                  <w:sz w:val="24"/>
                  <w:u w:val="none"/>
                  <w:effect w:val="none"/>
                </w:rPr>
                <w:t>19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2ef2bf9d8aa4f4b9194b3dcb0b9c473">
              <w:r>
                <w:rPr>
                  <w:rStyle w:val="InternetLink"/>
                  <w:rFonts w:ascii="Times New Roman;serif" w:hAnsi="Times New Roman;serif"/>
                  <w:b w:val="false"/>
                  <w:strike w:val="false"/>
                  <w:dstrike w:val="false"/>
                  <w:color w:val="000000"/>
                  <w:sz w:val="24"/>
                  <w:u w:val="none"/>
                  <w:effect w:val="none"/>
                </w:rPr>
                <w:t>Section 4.04.    Appointment to Fill Vacancy in Office of Trustee.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2ef2bf9d8aa4f4b9194b3dcb0b9c473">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262caa07f949dc9926cf25476feb4b">
              <w:r>
                <w:rPr>
                  <w:rStyle w:val="InternetLink"/>
                  <w:rFonts w:ascii="Times New Roman;serif" w:hAnsi="Times New Roman;serif"/>
                  <w:b w:val="false"/>
                  <w:strike w:val="false"/>
                  <w:dstrike w:val="false"/>
                  <w:color w:val="000000"/>
                  <w:sz w:val="24"/>
                  <w:u w:val="none"/>
                  <w:effect w:val="none"/>
                </w:rPr>
                <w:t>ARTICLE 5.     SECURITYHOLDERS’ LISTS AND REPORTS BY THE COMPANY AND THE TRUSTEE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2262caa07f949dc9926cf25476feb4b">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3434ef710d4c69b7d09b630828731f">
              <w:r>
                <w:rPr>
                  <w:rStyle w:val="InternetLink"/>
                  <w:rFonts w:ascii="Times New Roman;serif" w:hAnsi="Times New Roman;serif"/>
                  <w:b w:val="false"/>
                  <w:strike w:val="false"/>
                  <w:dstrike w:val="false"/>
                  <w:color w:val="000000"/>
                  <w:sz w:val="24"/>
                  <w:u w:val="none"/>
                  <w:effect w:val="none"/>
                </w:rPr>
                <w:t>Section 5.01.    Company to Furnish Trustee Names and Addresses of Securityholders.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3434ef710d4c69b7d09b630828731f">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8fbc24a3b54613a4eda3a896293dea">
              <w:r>
                <w:rPr>
                  <w:rStyle w:val="InternetLink"/>
                  <w:rFonts w:ascii="Times New Roman;serif" w:hAnsi="Times New Roman;serif"/>
                  <w:b w:val="false"/>
                  <w:strike w:val="false"/>
                  <w:dstrike w:val="false"/>
                  <w:color w:val="000000"/>
                  <w:sz w:val="24"/>
                  <w:u w:val="none"/>
                  <w:effect w:val="none"/>
                </w:rPr>
                <w:t>Section 5.02.    Preservation Of Information; Communications With Securityholders.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88fbc24a3b54613a4eda3a896293dea">
              <w:r>
                <w:rPr>
                  <w:rStyle w:val="InternetLink"/>
                  <w:rFonts w:ascii="Times New Roman;serif" w:hAnsi="Times New Roman;serif"/>
                  <w:b w:val="false"/>
                  <w:strike w:val="false"/>
                  <w:dstrike w:val="false"/>
                  <w:color w:val="000000"/>
                  <w:sz w:val="24"/>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2ddc009b442fdbf68e8ca944b4c42">
              <w:r>
                <w:rPr>
                  <w:rStyle w:val="InternetLink"/>
                  <w:rFonts w:ascii="Times New Roman;serif" w:hAnsi="Times New Roman;serif"/>
                  <w:b w:val="false"/>
                  <w:strike w:val="false"/>
                  <w:dstrike w:val="false"/>
                  <w:color w:val="000000"/>
                  <w:sz w:val="24"/>
                  <w:u w:val="none"/>
                  <w:effect w:val="none"/>
                </w:rPr>
                <w:t>Section 5.03.    Reports by the Company.</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a22ddc009b442fdbf68e8ca944b4c42">
              <w:r>
                <w:rPr>
                  <w:rStyle w:val="InternetLink"/>
                  <w:rFonts w:ascii="Times New Roman;serif" w:hAnsi="Times New Roman;serif"/>
                  <w:b w:val="false"/>
                  <w:strike w:val="false"/>
                  <w:dstrike w:val="false"/>
                  <w:color w:val="000000"/>
                  <w:sz w:val="24"/>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53033745194f39b969b933f70bbed0">
              <w:r>
                <w:rPr>
                  <w:rStyle w:val="InternetLink"/>
                  <w:rFonts w:ascii="Times New Roman;serif" w:hAnsi="Times New Roman;serif"/>
                  <w:b w:val="false"/>
                  <w:strike w:val="false"/>
                  <w:dstrike w:val="false"/>
                  <w:color w:val="000000"/>
                  <w:sz w:val="24"/>
                  <w:u w:val="none"/>
                  <w:effect w:val="none"/>
                </w:rPr>
                <w:t>Section 5.04.    Reports by the Trustee.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53033745194f39b969b933f70bbed0">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f4d0aff07b344198d6fb4ec7c01a627">
              <w:r>
                <w:rPr>
                  <w:rStyle w:val="InternetLink"/>
                  <w:rFonts w:ascii="Times New Roman;serif" w:hAnsi="Times New Roman;serif"/>
                  <w:b w:val="false"/>
                  <w:strike w:val="false"/>
                  <w:dstrike w:val="false"/>
                  <w:color w:val="000000"/>
                  <w:sz w:val="24"/>
                  <w:u w:val="none"/>
                  <w:effect w:val="none"/>
                </w:rPr>
                <w:t>ARTICLE 6.     REMEDIES OF THE TRUSTEE AND SECURITYHOLDERS ON EVENT OF DEFAULT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f4d0aff07b344198d6fb4ec7c01a627">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7847a48478d4f92b7fd536de0b18e54">
              <w:r>
                <w:rPr>
                  <w:rStyle w:val="InternetLink"/>
                  <w:rFonts w:ascii="Times New Roman;serif" w:hAnsi="Times New Roman;serif"/>
                  <w:b w:val="false"/>
                  <w:strike w:val="false"/>
                  <w:dstrike w:val="false"/>
                  <w:color w:val="000000"/>
                  <w:sz w:val="24"/>
                  <w:u w:val="none"/>
                  <w:effect w:val="none"/>
                </w:rPr>
                <w:t>Section 6.01.    Events of Default.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847a48478d4f92b7fd536de0b18e54">
              <w:r>
                <w:rPr>
                  <w:rStyle w:val="InternetLink"/>
                  <w:rFonts w:ascii="Times New Roman;serif" w:hAnsi="Times New Roman;serif"/>
                  <w:b w:val="false"/>
                  <w:strike w:val="false"/>
                  <w:dstrike w:val="false"/>
                  <w:color w:val="000000"/>
                  <w:sz w:val="24"/>
                  <w:u w:val="none"/>
                  <w:effect w:val="none"/>
                </w:rPr>
                <w:t>22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423958a644698874ca69d50fc9385">
              <w:r>
                <w:rPr>
                  <w:rStyle w:val="InternetLink"/>
                  <w:rFonts w:ascii="Times New Roman;serif" w:hAnsi="Times New Roman;serif"/>
                  <w:b w:val="false"/>
                  <w:strike w:val="false"/>
                  <w:dstrike w:val="false"/>
                  <w:color w:val="000000"/>
                  <w:sz w:val="24"/>
                  <w:u w:val="none"/>
                  <w:effect w:val="none"/>
                </w:rPr>
                <w:t>Section 6.02.    Collection of Indebtedness and Suits for Enforcement by Trustee.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e2423958a644698874ca69d50fc9385">
              <w:r>
                <w:rPr>
                  <w:rStyle w:val="InternetLink"/>
                  <w:rFonts w:ascii="Times New Roman;serif" w:hAnsi="Times New Roman;serif"/>
                  <w:b w:val="false"/>
                  <w:strike w:val="false"/>
                  <w:dstrike w:val="false"/>
                  <w:color w:val="000000"/>
                  <w:sz w:val="24"/>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13a23688874fad9b6b0bce64547ff3">
              <w:r>
                <w:rPr>
                  <w:rStyle w:val="InternetLink"/>
                  <w:rFonts w:ascii="Times New Roman;serif" w:hAnsi="Times New Roman;serif"/>
                  <w:b w:val="false"/>
                  <w:strike w:val="false"/>
                  <w:dstrike w:val="false"/>
                  <w:color w:val="000000"/>
                  <w:sz w:val="24"/>
                  <w:u w:val="none"/>
                  <w:effect w:val="none"/>
                </w:rPr>
                <w:t>Section 6.03.    Application of Moneys Collected.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013a23688874fad9b6b0bce64547ff3">
              <w:r>
                <w:rPr>
                  <w:rStyle w:val="InternetLink"/>
                  <w:rFonts w:ascii="Times New Roman;serif" w:hAnsi="Times New Roman;serif"/>
                  <w:b w:val="false"/>
                  <w:strike w:val="false"/>
                  <w:dstrike w:val="false"/>
                  <w:color w:val="000000"/>
                  <w:sz w:val="24"/>
                  <w:u w:val="none"/>
                  <w:effect w:val="none"/>
                </w:rPr>
                <w:t>25</w:t>
              </w:r>
            </w:hyperlink>
          </w:p>
        </w:tc>
      </w:tr>
    </w:tbl>
    <w:p>
      <w:pPr>
        <w:pStyle w:val="TextBody"/>
        <w:bidi w:val="0"/>
        <w:spacing w:lineRule="auto" w:line="288" w:before="0" w:after="0"/>
        <w:ind w:left="0" w:right="0" w:firstLine="1440"/>
        <w:jc w:val="left"/>
        <w:rPr/>
      </w:pPr>
      <w:r>
        <w:rPr>
          <w:color w:val="000000"/>
        </w:rPr>
        <w:t>    </w:t>
      </w: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46"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left"/>
        <w:rPr/>
      </w:pPr>
      <w:r>
        <w:rPr>
          <w:color w:val="000000"/>
        </w:rPr>
        <w:t>    </w:t>
      </w:r>
      <w:r>
        <w:rPr>
          <w:rFonts w:ascii="Times New Roman;serif" w:hAnsi="Times New Roman;serif"/>
          <w:b/>
          <w:color w:val="000000"/>
          <w:sz w:val="24"/>
        </w:rPr>
        <w:t>(continued)</w:t>
      </w:r>
    </w:p>
    <w:p>
      <w:pPr>
        <w:pStyle w:val="TextBody"/>
        <w:bidi w:val="0"/>
        <w:spacing w:lineRule="auto" w:line="288" w:before="0" w:after="200"/>
        <w:ind w:left="0" w:right="0" w:firstLine="1440"/>
        <w:jc w:val="left"/>
        <w:rPr/>
      </w:pPr>
      <w:r>
        <w:rPr>
          <w:color w:val="000000"/>
        </w:rPr>
        <w:t>        </w:t>
      </w:r>
      <w:r>
        <w:rPr>
          <w:rFonts w:ascii="Times New Roman;serif" w:hAnsi="Times New Roman;serif"/>
          <w:b/>
          <w:color w:val="000000"/>
          <w:sz w:val="24"/>
        </w:rPr>
        <w:t>Page</w:t>
      </w:r>
    </w:p>
    <w:p>
      <w:pPr>
        <w:pStyle w:val="TextBody"/>
        <w:bidi w:val="0"/>
        <w:spacing w:before="0" w:after="0"/>
        <w:jc w:val="left"/>
        <w:rPr/>
      </w:pPr>
      <w:r>
        <w:rPr/>
      </w:r>
    </w:p>
    <w:tbl>
      <w:tblPr>
        <w:tblW w:w="8295" w:type="dxa"/>
        <w:jc w:val="left"/>
        <w:tblInd w:w="0" w:type="dxa"/>
        <w:tblLayout w:type="fixed"/>
        <w:tblCellMar>
          <w:top w:w="28" w:type="dxa"/>
          <w:left w:w="28" w:type="dxa"/>
          <w:bottom w:w="28" w:type="dxa"/>
          <w:right w:w="28" w:type="dxa"/>
        </w:tblCellMar>
      </w:tblPr>
      <w:tblGrid>
        <w:gridCol w:w="2865"/>
        <w:gridCol w:w="2514"/>
        <w:gridCol w:w="2525"/>
        <w:gridCol w:w="114"/>
        <w:gridCol w:w="114"/>
        <w:gridCol w:w="163"/>
      </w:tblGrid>
      <w:tr>
        <w:trPr/>
        <w:tc>
          <w:tcPr>
            <w:tcW w:w="2865"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4ae12ac0bd41deb72b8b333349baca">
              <w:r>
                <w:rPr>
                  <w:rStyle w:val="InternetLink"/>
                  <w:rFonts w:ascii="Times New Roman;serif" w:hAnsi="Times New Roman;serif"/>
                  <w:b w:val="false"/>
                  <w:strike w:val="false"/>
                  <w:dstrike w:val="false"/>
                  <w:color w:val="000000"/>
                  <w:sz w:val="24"/>
                  <w:u w:val="none"/>
                  <w:effect w:val="none"/>
                </w:rPr>
                <w:t>Section 6.04.    Limitation on Suits.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4ae12ac0bd41deb72b8b333349baca">
              <w:r>
                <w:rPr>
                  <w:rStyle w:val="InternetLink"/>
                  <w:rFonts w:ascii="Times New Roman;serif" w:hAnsi="Times New Roman;serif"/>
                  <w:b w:val="false"/>
                  <w:strike w:val="false"/>
                  <w:dstrike w:val="false"/>
                  <w:color w:val="000000"/>
                  <w:sz w:val="24"/>
                  <w:u w:val="none"/>
                  <w:effect w:val="none"/>
                </w:rPr>
                <w:t>26</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8141241a354f558cb9685d364442e0">
              <w:r>
                <w:rPr>
                  <w:rStyle w:val="InternetLink"/>
                  <w:rFonts w:ascii="Times New Roman;serif" w:hAnsi="Times New Roman;serif"/>
                  <w:b w:val="false"/>
                  <w:strike w:val="false"/>
                  <w:dstrike w:val="false"/>
                  <w:color w:val="000000"/>
                  <w:sz w:val="24"/>
                  <w:u w:val="none"/>
                  <w:effect w:val="none"/>
                </w:rPr>
                <w:t>Section 6.05.    Rights and Remedies Cumulative; Delay or Omission Not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48141241a354f558cb9685d364442e0">
              <w:r>
                <w:rPr>
                  <w:rStyle w:val="InternetLink"/>
                  <w:rFonts w:ascii="Times New Roman;serif" w:hAnsi="Times New Roman;serif"/>
                  <w:b w:val="false"/>
                  <w:strike w:val="false"/>
                  <w:dstrike w:val="false"/>
                  <w:color w:val="000000"/>
                  <w:sz w:val="24"/>
                  <w:u w:val="none"/>
                  <w:effect w:val="none"/>
                </w:rPr>
                <w:t>26</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d78dee072b4d4bb654a252fea7f58d">
              <w:r>
                <w:rPr>
                  <w:rStyle w:val="InternetLink"/>
                  <w:rFonts w:ascii="Times New Roman;serif" w:hAnsi="Times New Roman;serif"/>
                  <w:b w:val="false"/>
                  <w:strike w:val="false"/>
                  <w:dstrike w:val="false"/>
                  <w:color w:val="000000"/>
                  <w:sz w:val="24"/>
                  <w:u w:val="none"/>
                  <w:effect w:val="none"/>
                </w:rPr>
                <w:t>Section 6.06.    Control by Securityholders.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fd78dee072b4d4bb654a252fea7f58d">
              <w:r>
                <w:rPr>
                  <w:rStyle w:val="InternetLink"/>
                  <w:rFonts w:ascii="Times New Roman;serif" w:hAnsi="Times New Roman;serif"/>
                  <w:b w:val="false"/>
                  <w:strike w:val="false"/>
                  <w:dstrike w:val="false"/>
                  <w:color w:val="000000"/>
                  <w:sz w:val="24"/>
                  <w:u w:val="none"/>
                  <w:effect w:val="none"/>
                </w:rPr>
                <w:t>27</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d8fa15c9b45ca80cfeace86c92f5f">
              <w:r>
                <w:rPr>
                  <w:rStyle w:val="InternetLink"/>
                  <w:rFonts w:ascii="Times New Roman;serif" w:hAnsi="Times New Roman;serif"/>
                  <w:b w:val="false"/>
                  <w:strike w:val="false"/>
                  <w:dstrike w:val="false"/>
                  <w:color w:val="000000"/>
                  <w:sz w:val="24"/>
                  <w:u w:val="none"/>
                  <w:effect w:val="none"/>
                </w:rPr>
                <w:t>Section 6.07.    Undertaking to Pay Costs.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5ad8fa15c9b45ca80cfeace86c92f5f">
              <w:r>
                <w:rPr>
                  <w:rStyle w:val="InternetLink"/>
                  <w:rFonts w:ascii="Times New Roman;serif" w:hAnsi="Times New Roman;serif"/>
                  <w:b w:val="false"/>
                  <w:strike w:val="false"/>
                  <w:dstrike w:val="false"/>
                  <w:color w:val="000000"/>
                  <w:sz w:val="24"/>
                  <w:u w:val="none"/>
                  <w:effect w:val="none"/>
                </w:rPr>
                <w:t>27</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62c68ca59d4e75b83f34cc9510d2c1">
              <w:r>
                <w:rPr>
                  <w:rStyle w:val="InternetLink"/>
                  <w:rFonts w:ascii="Times New Roman;serif" w:hAnsi="Times New Roman;serif"/>
                  <w:b w:val="false"/>
                  <w:strike w:val="false"/>
                  <w:dstrike w:val="false"/>
                  <w:color w:val="000000"/>
                  <w:sz w:val="24"/>
                  <w:u w:val="none"/>
                  <w:effect w:val="none"/>
                </w:rPr>
                <w:t>ARTICLE 7.     CONCERNING THE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62c68ca59d4e75b83f34cc9510d2c1">
              <w:r>
                <w:rPr>
                  <w:rStyle w:val="InternetLink"/>
                  <w:rFonts w:ascii="Times New Roman;serif" w:hAnsi="Times New Roman;serif"/>
                  <w:b w:val="false"/>
                  <w:strike w:val="false"/>
                  <w:dstrike w:val="false"/>
                  <w:color w:val="000000"/>
                  <w:sz w:val="24"/>
                  <w:u w:val="none"/>
                  <w:effect w:val="none"/>
                </w:rPr>
                <w:t>28</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4bfbd66154c3dbcfff04e176d05dd">
              <w:r>
                <w:rPr>
                  <w:rStyle w:val="InternetLink"/>
                  <w:rFonts w:ascii="Times New Roman;serif" w:hAnsi="Times New Roman;serif"/>
                  <w:b w:val="false"/>
                  <w:strike w:val="false"/>
                  <w:dstrike w:val="false"/>
                  <w:color w:val="000000"/>
                  <w:sz w:val="24"/>
                  <w:u w:val="none"/>
                  <w:effect w:val="none"/>
                </w:rPr>
                <w:t>Section 7.01.    Certain Duties and Responsibilities of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9e4bfbd66154c3dbcfff04e176d05dd">
              <w:r>
                <w:rPr>
                  <w:rStyle w:val="InternetLink"/>
                  <w:rFonts w:ascii="Times New Roman;serif" w:hAnsi="Times New Roman;serif"/>
                  <w:b w:val="false"/>
                  <w:strike w:val="false"/>
                  <w:dstrike w:val="false"/>
                  <w:color w:val="000000"/>
                  <w:sz w:val="24"/>
                  <w:u w:val="none"/>
                  <w:effect w:val="none"/>
                </w:rPr>
                <w:t>28</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700ffa80c9d414a96cb3ff602e5f4e9">
              <w:r>
                <w:rPr>
                  <w:rStyle w:val="InternetLink"/>
                  <w:rFonts w:ascii="Times New Roman;serif" w:hAnsi="Times New Roman;serif"/>
                  <w:b w:val="false"/>
                  <w:strike w:val="false"/>
                  <w:dstrike w:val="false"/>
                  <w:color w:val="000000"/>
                  <w:sz w:val="24"/>
                  <w:u w:val="none"/>
                  <w:effect w:val="none"/>
                </w:rPr>
                <w:t>Section 7.02.    Certain Rights of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00ffa80c9d414a96cb3ff602e5f4e9">
              <w:r>
                <w:rPr>
                  <w:rStyle w:val="InternetLink"/>
                  <w:rFonts w:ascii="Times New Roman;serif" w:hAnsi="Times New Roman;serif"/>
                  <w:b w:val="false"/>
                  <w:strike w:val="false"/>
                  <w:dstrike w:val="false"/>
                  <w:color w:val="000000"/>
                  <w:sz w:val="24"/>
                  <w:u w:val="none"/>
                  <w:effect w:val="none"/>
                </w:rPr>
                <w:t>29</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17b921f17546f4bf218fb05c261444">
              <w:r>
                <w:rPr>
                  <w:rStyle w:val="InternetLink"/>
                  <w:rFonts w:ascii="Times New Roman;serif" w:hAnsi="Times New Roman;serif"/>
                  <w:b w:val="false"/>
                  <w:strike w:val="false"/>
                  <w:dstrike w:val="false"/>
                  <w:color w:val="000000"/>
                  <w:sz w:val="24"/>
                  <w:u w:val="none"/>
                  <w:effect w:val="none"/>
                </w:rPr>
                <w:t>Section 7.03.    Trustee Not Responsible for Recitals or Issuance or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17b921f17546f4bf218fb05c261444">
              <w:r>
                <w:rPr>
                  <w:rStyle w:val="InternetLink"/>
                  <w:rFonts w:ascii="Times New Roman;serif" w:hAnsi="Times New Roman;serif"/>
                  <w:b w:val="false"/>
                  <w:strike w:val="false"/>
                  <w:dstrike w:val="false"/>
                  <w:color w:val="000000"/>
                  <w:sz w:val="24"/>
                  <w:u w:val="none"/>
                  <w:effect w:val="none"/>
                </w:rPr>
                <w:t>31</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fa3139a3a845a39971f26d4e256297">
              <w:r>
                <w:rPr>
                  <w:rStyle w:val="InternetLink"/>
                  <w:rFonts w:ascii="Times New Roman;serif" w:hAnsi="Times New Roman;serif"/>
                  <w:b w:val="false"/>
                  <w:strike w:val="false"/>
                  <w:dstrike w:val="false"/>
                  <w:color w:val="000000"/>
                  <w:sz w:val="24"/>
                  <w:u w:val="none"/>
                  <w:effect w:val="none"/>
                </w:rPr>
                <w:t>Section 7.04.    May Hold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1fa3139a3a845a39971f26d4e256297">
              <w:r>
                <w:rPr>
                  <w:rStyle w:val="InternetLink"/>
                  <w:rFonts w:ascii="Times New Roman;serif" w:hAnsi="Times New Roman;serif"/>
                  <w:b w:val="false"/>
                  <w:strike w:val="false"/>
                  <w:dstrike w:val="false"/>
                  <w:color w:val="000000"/>
                  <w:sz w:val="24"/>
                  <w:u w:val="none"/>
                  <w:effect w:val="none"/>
                </w:rPr>
                <w:t>31</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277393644174ce69d246411d6c7507d">
              <w:r>
                <w:rPr>
                  <w:rStyle w:val="InternetLink"/>
                  <w:rFonts w:ascii="Times New Roman;serif" w:hAnsi="Times New Roman;serif"/>
                  <w:b w:val="false"/>
                  <w:strike w:val="false"/>
                  <w:dstrike w:val="false"/>
                  <w:color w:val="000000"/>
                  <w:sz w:val="24"/>
                  <w:u w:val="none"/>
                  <w:effect w:val="none"/>
                </w:rPr>
                <w:t>Section 7.05.    Moneys Held in Trust.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277393644174ce69d246411d6c7507d">
              <w:r>
                <w:rPr>
                  <w:rStyle w:val="InternetLink"/>
                  <w:rFonts w:ascii="Times New Roman;serif" w:hAnsi="Times New Roman;serif"/>
                  <w:b w:val="false"/>
                  <w:strike w:val="false"/>
                  <w:dstrike w:val="false"/>
                  <w:color w:val="000000"/>
                  <w:sz w:val="24"/>
                  <w:u w:val="none"/>
                  <w:effect w:val="none"/>
                </w:rPr>
                <w:t>32</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554662d31b84a5faa9bc2f40aa0a233">
              <w:r>
                <w:rPr>
                  <w:rStyle w:val="InternetLink"/>
                  <w:rFonts w:ascii="Times New Roman;serif" w:hAnsi="Times New Roman;serif"/>
                  <w:b w:val="false"/>
                  <w:strike w:val="false"/>
                  <w:dstrike w:val="false"/>
                  <w:color w:val="000000"/>
                  <w:sz w:val="24"/>
                  <w:u w:val="none"/>
                  <w:effect w:val="none"/>
                </w:rPr>
                <w:t>Section 7.06.    Compensation and Reimbursement.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554662d31b84a5faa9bc2f40aa0a233">
              <w:r>
                <w:rPr>
                  <w:rStyle w:val="InternetLink"/>
                  <w:rFonts w:ascii="Times New Roman;serif" w:hAnsi="Times New Roman;serif"/>
                  <w:b w:val="false"/>
                  <w:strike w:val="false"/>
                  <w:dstrike w:val="false"/>
                  <w:color w:val="000000"/>
                  <w:sz w:val="24"/>
                  <w:u w:val="none"/>
                  <w:effect w:val="none"/>
                </w:rPr>
                <w:t>32</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bf25660cf34ab5a4d6ec95b8c82b66">
              <w:r>
                <w:rPr>
                  <w:rStyle w:val="InternetLink"/>
                  <w:rFonts w:ascii="Times New Roman;serif" w:hAnsi="Times New Roman;serif"/>
                  <w:b w:val="false"/>
                  <w:strike w:val="false"/>
                  <w:dstrike w:val="false"/>
                  <w:color w:val="000000"/>
                  <w:sz w:val="24"/>
                  <w:u w:val="none"/>
                  <w:effect w:val="none"/>
                </w:rPr>
                <w:t>Section 7.07.    Reliance on Officer’s Certificate.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6bf25660cf34ab5a4d6ec95b8c82b66">
              <w:r>
                <w:rPr>
                  <w:rStyle w:val="InternetLink"/>
                  <w:rFonts w:ascii="Times New Roman;serif" w:hAnsi="Times New Roman;serif"/>
                  <w:b w:val="false"/>
                  <w:strike w:val="false"/>
                  <w:dstrike w:val="false"/>
                  <w:color w:val="000000"/>
                  <w:sz w:val="24"/>
                  <w:u w:val="none"/>
                  <w:effect w:val="none"/>
                </w:rPr>
                <w:t>33</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6c7f2838504494ad5f888efb96dcdf">
              <w:r>
                <w:rPr>
                  <w:rStyle w:val="InternetLink"/>
                  <w:rFonts w:ascii="Times New Roman;serif" w:hAnsi="Times New Roman;serif"/>
                  <w:b w:val="false"/>
                  <w:strike w:val="false"/>
                  <w:dstrike w:val="false"/>
                  <w:color w:val="000000"/>
                  <w:sz w:val="24"/>
                  <w:u w:val="none"/>
                  <w:effect w:val="none"/>
                </w:rPr>
                <w:t>Section 7.08.    Disqualification; Conflicting Interests.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76c7f2838504494ad5f888efb96dcdf">
              <w:r>
                <w:rPr>
                  <w:rStyle w:val="InternetLink"/>
                  <w:rFonts w:ascii="Times New Roman;serif" w:hAnsi="Times New Roman;serif"/>
                  <w:b w:val="false"/>
                  <w:strike w:val="false"/>
                  <w:dstrike w:val="false"/>
                  <w:color w:val="000000"/>
                  <w:sz w:val="24"/>
                  <w:u w:val="none"/>
                  <w:effect w:val="none"/>
                </w:rPr>
                <w:t>33</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6410efa1384549b6120a30e3584512">
              <w:r>
                <w:rPr>
                  <w:rStyle w:val="InternetLink"/>
                  <w:rFonts w:ascii="Times New Roman;serif" w:hAnsi="Times New Roman;serif"/>
                  <w:b w:val="false"/>
                  <w:strike w:val="false"/>
                  <w:dstrike w:val="false"/>
                  <w:color w:val="000000"/>
                  <w:sz w:val="24"/>
                  <w:u w:val="none"/>
                  <w:effect w:val="none"/>
                </w:rPr>
                <w:t>Section 7.09.    Corporate Trustee Required; Eligibility.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6410efa1384549b6120a30e3584512">
              <w:r>
                <w:rPr>
                  <w:rStyle w:val="InternetLink"/>
                  <w:rFonts w:ascii="Times New Roman;serif" w:hAnsi="Times New Roman;serif"/>
                  <w:b w:val="false"/>
                  <w:strike w:val="false"/>
                  <w:dstrike w:val="false"/>
                  <w:color w:val="000000"/>
                  <w:sz w:val="24"/>
                  <w:u w:val="none"/>
                  <w:effect w:val="none"/>
                </w:rPr>
                <w:t>33</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a3f3fbd48fc41ff934c1606487412d7">
              <w:r>
                <w:rPr>
                  <w:rStyle w:val="InternetLink"/>
                  <w:rFonts w:ascii="Times New Roman;serif" w:hAnsi="Times New Roman;serif"/>
                  <w:b w:val="false"/>
                  <w:strike w:val="false"/>
                  <w:dstrike w:val="false"/>
                  <w:color w:val="000000"/>
                  <w:sz w:val="24"/>
                  <w:u w:val="none"/>
                  <w:effect w:val="none"/>
                </w:rPr>
                <w:t>Section 7.10.    Resignation and Removal; Appointment of Successor.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a3f3fbd48fc41ff934c1606487412d7">
              <w:r>
                <w:rPr>
                  <w:rStyle w:val="InternetLink"/>
                  <w:rFonts w:ascii="Times New Roman;serif" w:hAnsi="Times New Roman;serif"/>
                  <w:b w:val="false"/>
                  <w:strike w:val="false"/>
                  <w:dstrike w:val="false"/>
                  <w:color w:val="000000"/>
                  <w:sz w:val="24"/>
                  <w:u w:val="none"/>
                  <w:effect w:val="none"/>
                </w:rPr>
                <w:t>33</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1649e8980a4d2b801aa58a73366f53">
              <w:r>
                <w:rPr>
                  <w:rStyle w:val="InternetLink"/>
                  <w:rFonts w:ascii="Times New Roman;serif" w:hAnsi="Times New Roman;serif"/>
                  <w:b w:val="false"/>
                  <w:strike w:val="false"/>
                  <w:dstrike w:val="false"/>
                  <w:color w:val="000000"/>
                  <w:sz w:val="24"/>
                  <w:u w:val="none"/>
                  <w:effect w:val="none"/>
                </w:rPr>
                <w:t>Section 7.11.    Acceptance of Appointment By Successor.</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1649e8980a4d2b801aa58a73366f53">
              <w:r>
                <w:rPr>
                  <w:rStyle w:val="InternetLink"/>
                  <w:rFonts w:ascii="Times New Roman;serif" w:hAnsi="Times New Roman;serif"/>
                  <w:b w:val="false"/>
                  <w:strike w:val="false"/>
                  <w:dstrike w:val="false"/>
                  <w:color w:val="000000"/>
                  <w:sz w:val="24"/>
                  <w:u w:val="none"/>
                  <w:effect w:val="none"/>
                </w:rPr>
                <w:t>35</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42d590573324333a6ef8b685b89ba35">
              <w:r>
                <w:rPr>
                  <w:rStyle w:val="InternetLink"/>
                  <w:rFonts w:ascii="Times New Roman;serif" w:hAnsi="Times New Roman;serif"/>
                  <w:b w:val="false"/>
                  <w:strike w:val="false"/>
                  <w:dstrike w:val="false"/>
                  <w:color w:val="000000"/>
                  <w:sz w:val="24"/>
                  <w:u w:val="none"/>
                  <w:effect w:val="none"/>
                </w:rPr>
                <w:t>Section 7.12.    Merger, Conversion, Consolidation or Succession to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2d590573324333a6ef8b685b89ba35">
              <w:r>
                <w:rPr>
                  <w:rStyle w:val="InternetLink"/>
                  <w:rFonts w:ascii="Times New Roman;serif" w:hAnsi="Times New Roman;serif"/>
                  <w:b w:val="false"/>
                  <w:strike w:val="false"/>
                  <w:dstrike w:val="false"/>
                  <w:color w:val="000000"/>
                  <w:sz w:val="24"/>
                  <w:u w:val="none"/>
                  <w:effect w:val="none"/>
                </w:rPr>
                <w:t>36</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8db33d53c743de94a4d288d860f4a9">
              <w:r>
                <w:rPr>
                  <w:rStyle w:val="InternetLink"/>
                  <w:rFonts w:ascii="Times New Roman;serif" w:hAnsi="Times New Roman;serif"/>
                  <w:b w:val="false"/>
                  <w:strike w:val="false"/>
                  <w:dstrike w:val="false"/>
                  <w:color w:val="000000"/>
                  <w:sz w:val="24"/>
                  <w:u w:val="none"/>
                  <w:effect w:val="none"/>
                </w:rPr>
                <w:t>Section 7.13.    Preferential Collection of Claims Against the Company.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8db33d53c743de94a4d288d860f4a9">
              <w:r>
                <w:rPr>
                  <w:rStyle w:val="InternetLink"/>
                  <w:rFonts w:ascii="Times New Roman;serif" w:hAnsi="Times New Roman;serif"/>
                  <w:b w:val="false"/>
                  <w:strike w:val="false"/>
                  <w:dstrike w:val="false"/>
                  <w:color w:val="000000"/>
                  <w:sz w:val="24"/>
                  <w:u w:val="none"/>
                  <w:effect w:val="none"/>
                </w:rPr>
                <w:t>36</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fb8f55e6a84077b876ba2abd6efbf9">
              <w:r>
                <w:rPr>
                  <w:rStyle w:val="InternetLink"/>
                  <w:rFonts w:ascii="Times New Roman;serif" w:hAnsi="Times New Roman;serif"/>
                  <w:b w:val="false"/>
                  <w:strike w:val="false"/>
                  <w:dstrike w:val="false"/>
                  <w:color w:val="000000"/>
                  <w:sz w:val="24"/>
                  <w:u w:val="none"/>
                  <w:effect w:val="none"/>
                </w:rPr>
                <w:t xml:space="preserve">Section 7.14.    Notice of Default.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bfb8f55e6a84077b876ba2abd6efbf9">
              <w:r>
                <w:rPr>
                  <w:rStyle w:val="InternetLink"/>
                  <w:rFonts w:ascii="Times New Roman;serif" w:hAnsi="Times New Roman;serif"/>
                  <w:b w:val="false"/>
                  <w:strike w:val="false"/>
                  <w:dstrike w:val="false"/>
                  <w:color w:val="000000"/>
                  <w:sz w:val="24"/>
                  <w:u w:val="none"/>
                  <w:effect w:val="none"/>
                </w:rPr>
                <w:t>36</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443471e3bc42b6a55b8d52b35f2bd9">
              <w:r>
                <w:rPr>
                  <w:rStyle w:val="InternetLink"/>
                  <w:rFonts w:ascii="Times New Roman;serif" w:hAnsi="Times New Roman;serif"/>
                  <w:b w:val="false"/>
                  <w:strike w:val="false"/>
                  <w:dstrike w:val="false"/>
                  <w:color w:val="000000"/>
                  <w:sz w:val="24"/>
                  <w:u w:val="none"/>
                  <w:effect w:val="none"/>
                </w:rPr>
                <w:t>ARTICLE 8.     CONCERNING THE SECURITYHOLDERS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443471e3bc42b6a55b8d52b35f2bd9">
              <w:r>
                <w:rPr>
                  <w:rStyle w:val="InternetLink"/>
                  <w:rFonts w:ascii="Times New Roman;serif" w:hAnsi="Times New Roman;serif"/>
                  <w:b w:val="false"/>
                  <w:strike w:val="false"/>
                  <w:dstrike w:val="false"/>
                  <w:color w:val="000000"/>
                  <w:sz w:val="24"/>
                  <w:u w:val="none"/>
                  <w:effect w:val="none"/>
                </w:rPr>
                <w:t>37</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2a7e0373dcd45868f1848f173d41445">
              <w:r>
                <w:rPr>
                  <w:rStyle w:val="InternetLink"/>
                  <w:rFonts w:ascii="Times New Roman;serif" w:hAnsi="Times New Roman;serif"/>
                  <w:b w:val="false"/>
                  <w:strike w:val="false"/>
                  <w:dstrike w:val="false"/>
                  <w:color w:val="000000"/>
                  <w:sz w:val="24"/>
                  <w:u w:val="none"/>
                  <w:effect w:val="none"/>
                </w:rPr>
                <w:t>Section 8.01.    Evidence of Action by Securityholders.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2a7e0373dcd45868f1848f173d41445">
              <w:r>
                <w:rPr>
                  <w:rStyle w:val="InternetLink"/>
                  <w:rFonts w:ascii="Times New Roman;serif" w:hAnsi="Times New Roman;serif"/>
                  <w:b w:val="false"/>
                  <w:strike w:val="false"/>
                  <w:dstrike w:val="false"/>
                  <w:color w:val="000000"/>
                  <w:sz w:val="24"/>
                  <w:u w:val="none"/>
                  <w:effect w:val="none"/>
                </w:rPr>
                <w:t>37</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566d723a46442396965774d0602732">
              <w:r>
                <w:rPr>
                  <w:rStyle w:val="InternetLink"/>
                  <w:rFonts w:ascii="Times New Roman;serif" w:hAnsi="Times New Roman;serif"/>
                  <w:b w:val="false"/>
                  <w:strike w:val="false"/>
                  <w:dstrike w:val="false"/>
                  <w:color w:val="000000"/>
                  <w:sz w:val="24"/>
                  <w:u w:val="none"/>
                  <w:effect w:val="none"/>
                </w:rPr>
                <w:t>Section 8.02.    Proof of Execution by Securityholders.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5566d723a46442396965774d0602732">
              <w:r>
                <w:rPr>
                  <w:rStyle w:val="InternetLink"/>
                  <w:rFonts w:ascii="Times New Roman;serif" w:hAnsi="Times New Roman;serif"/>
                  <w:b w:val="false"/>
                  <w:strike w:val="false"/>
                  <w:dstrike w:val="false"/>
                  <w:color w:val="000000"/>
                  <w:sz w:val="24"/>
                  <w:u w:val="none"/>
                  <w:effect w:val="none"/>
                </w:rPr>
                <w:t>37</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b92a5a7c734795af6de24a8bb8231a">
              <w:r>
                <w:rPr>
                  <w:rStyle w:val="InternetLink"/>
                  <w:rFonts w:ascii="Times New Roman;serif" w:hAnsi="Times New Roman;serif"/>
                  <w:b w:val="false"/>
                  <w:strike w:val="false"/>
                  <w:dstrike w:val="false"/>
                  <w:color w:val="000000"/>
                  <w:sz w:val="24"/>
                  <w:u w:val="none"/>
                  <w:effect w:val="none"/>
                </w:rPr>
                <w:t>Section 8.03.    Who May be Deemed Owners.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3b92a5a7c734795af6de24a8bb8231a">
              <w:r>
                <w:rPr>
                  <w:rStyle w:val="InternetLink"/>
                  <w:rFonts w:ascii="Times New Roman;serif" w:hAnsi="Times New Roman;serif"/>
                  <w:b w:val="false"/>
                  <w:strike w:val="false"/>
                  <w:dstrike w:val="false"/>
                  <w:color w:val="000000"/>
                  <w:sz w:val="24"/>
                  <w:u w:val="none"/>
                  <w:effect w:val="none"/>
                </w:rPr>
                <w:t>37</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885b23a59dc44599079c7cfc86bb74a">
              <w:r>
                <w:rPr>
                  <w:rStyle w:val="InternetLink"/>
                  <w:rFonts w:ascii="Times New Roman;serif" w:hAnsi="Times New Roman;serif"/>
                  <w:b w:val="false"/>
                  <w:strike w:val="false"/>
                  <w:dstrike w:val="false"/>
                  <w:color w:val="000000"/>
                  <w:sz w:val="24"/>
                  <w:u w:val="none"/>
                  <w:effect w:val="none"/>
                </w:rPr>
                <w:t>Section 8.04.    Certain Securities Owned by Company Disregarded.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885b23a59dc44599079c7cfc86bb74a">
              <w:r>
                <w:rPr>
                  <w:rStyle w:val="InternetLink"/>
                  <w:rFonts w:ascii="Times New Roman;serif" w:hAnsi="Times New Roman;serif"/>
                  <w:b w:val="false"/>
                  <w:strike w:val="false"/>
                  <w:dstrike w:val="false"/>
                  <w:color w:val="000000"/>
                  <w:sz w:val="24"/>
                  <w:u w:val="none"/>
                  <w:effect w:val="none"/>
                </w:rPr>
                <w:t>38</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97d9a8405d14f17a1f13ae7b50f11c6">
              <w:r>
                <w:rPr>
                  <w:rStyle w:val="InternetLink"/>
                  <w:rFonts w:ascii="Times New Roman;serif" w:hAnsi="Times New Roman;serif"/>
                  <w:b w:val="false"/>
                  <w:strike w:val="false"/>
                  <w:dstrike w:val="false"/>
                  <w:color w:val="000000"/>
                  <w:sz w:val="24"/>
                  <w:u w:val="none"/>
                  <w:effect w:val="none"/>
                </w:rPr>
                <w:t>Section 8.05.    Actions Binding on Future Securityholders.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97d9a8405d14f17a1f13ae7b50f11c6">
              <w:r>
                <w:rPr>
                  <w:rStyle w:val="InternetLink"/>
                  <w:rFonts w:ascii="Times New Roman;serif" w:hAnsi="Times New Roman;serif"/>
                  <w:b w:val="false"/>
                  <w:strike w:val="false"/>
                  <w:dstrike w:val="false"/>
                  <w:color w:val="000000"/>
                  <w:sz w:val="24"/>
                  <w:u w:val="none"/>
                  <w:effect w:val="none"/>
                </w:rPr>
                <w:t>38</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35807b851d4058bbe86333ab015b45">
              <w:r>
                <w:rPr>
                  <w:rStyle w:val="InternetLink"/>
                  <w:rFonts w:ascii="Times New Roman;serif" w:hAnsi="Times New Roman;serif"/>
                  <w:b w:val="false"/>
                  <w:strike w:val="false"/>
                  <w:dstrike w:val="false"/>
                  <w:color w:val="000000"/>
                  <w:sz w:val="24"/>
                  <w:u w:val="none"/>
                  <w:effect w:val="none"/>
                </w:rPr>
                <w:t>ARTICLE 9.     SUPPLEMENTAL INDENTURES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35807b851d4058bbe86333ab015b45">
              <w:r>
                <w:rPr>
                  <w:rStyle w:val="InternetLink"/>
                  <w:rFonts w:ascii="Times New Roman;serif" w:hAnsi="Times New Roman;serif"/>
                  <w:b w:val="false"/>
                  <w:strike w:val="false"/>
                  <w:dstrike w:val="false"/>
                  <w:color w:val="000000"/>
                  <w:sz w:val="24"/>
                  <w:u w:val="none"/>
                  <w:effect w:val="none"/>
                </w:rPr>
                <w:t>38</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24828e6c30467991d8b51fab5070b4">
              <w:r>
                <w:rPr>
                  <w:rStyle w:val="InternetLink"/>
                  <w:rFonts w:ascii="Times New Roman;serif" w:hAnsi="Times New Roman;serif"/>
                  <w:b w:val="false"/>
                  <w:strike w:val="false"/>
                  <w:dstrike w:val="false"/>
                  <w:color w:val="000000"/>
                  <w:sz w:val="24"/>
                  <w:u w:val="none"/>
                  <w:effect w:val="none"/>
                </w:rPr>
                <w:t>Section 9.01.    Supplemental Indentures Without the Consent of Securityholders.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24828e6c30467991d8b51fab5070b4">
              <w:r>
                <w:rPr>
                  <w:rStyle w:val="InternetLink"/>
                  <w:rFonts w:ascii="Times New Roman;serif" w:hAnsi="Times New Roman;serif"/>
                  <w:b w:val="false"/>
                  <w:strike w:val="false"/>
                  <w:dstrike w:val="false"/>
                  <w:color w:val="000000"/>
                  <w:sz w:val="24"/>
                  <w:u w:val="none"/>
                  <w:effect w:val="none"/>
                </w:rPr>
                <w:t>39</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6189ce65ef460bbd50229d8f8faa25">
              <w:r>
                <w:rPr>
                  <w:rStyle w:val="InternetLink"/>
                  <w:rFonts w:ascii="Times New Roman;serif" w:hAnsi="Times New Roman;serif"/>
                  <w:b w:val="false"/>
                  <w:strike w:val="false"/>
                  <w:dstrike w:val="false"/>
                  <w:color w:val="000000"/>
                  <w:sz w:val="24"/>
                  <w:u w:val="none"/>
                  <w:effect w:val="none"/>
                </w:rPr>
                <w:t>Section 9.02.    Supplemental Indentures With Consent of Securityholders.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6189ce65ef460bbd50229d8f8faa25">
              <w:r>
                <w:rPr>
                  <w:rStyle w:val="InternetLink"/>
                  <w:rFonts w:ascii="Times New Roman;serif" w:hAnsi="Times New Roman;serif"/>
                  <w:b w:val="false"/>
                  <w:strike w:val="false"/>
                  <w:dstrike w:val="false"/>
                  <w:color w:val="000000"/>
                  <w:sz w:val="24"/>
                  <w:u w:val="none"/>
                  <w:effect w:val="none"/>
                </w:rPr>
                <w:t>40</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8ec4c56bcf403c892807ff06e14faa">
              <w:r>
                <w:rPr>
                  <w:rStyle w:val="InternetLink"/>
                  <w:rFonts w:ascii="Times New Roman;serif" w:hAnsi="Times New Roman;serif"/>
                  <w:b w:val="false"/>
                  <w:strike w:val="false"/>
                  <w:dstrike w:val="false"/>
                  <w:color w:val="000000"/>
                  <w:sz w:val="24"/>
                  <w:u w:val="none"/>
                  <w:effect w:val="none"/>
                </w:rPr>
                <w:t>Section 9.03.    Effect of Supplemental Indentures.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68ec4c56bcf403c892807ff06e14faa">
              <w:r>
                <w:rPr>
                  <w:rStyle w:val="InternetLink"/>
                  <w:rFonts w:ascii="Times New Roman;serif" w:hAnsi="Times New Roman;serif"/>
                  <w:b w:val="false"/>
                  <w:strike w:val="false"/>
                  <w:dstrike w:val="false"/>
                  <w:color w:val="000000"/>
                  <w:sz w:val="24"/>
                  <w:u w:val="none"/>
                  <w:effect w:val="none"/>
                </w:rPr>
                <w:t>40</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fea56ba00c479aaf5ecb775be1a1c2">
              <w:r>
                <w:rPr>
                  <w:rStyle w:val="InternetLink"/>
                  <w:rFonts w:ascii="Times New Roman;serif" w:hAnsi="Times New Roman;serif"/>
                  <w:b w:val="false"/>
                  <w:strike w:val="false"/>
                  <w:dstrike w:val="false"/>
                  <w:color w:val="000000"/>
                  <w:sz w:val="24"/>
                  <w:u w:val="none"/>
                  <w:effect w:val="none"/>
                </w:rPr>
                <w:t>Section 9.04.    Securities Affected by Supplemental Indentures.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afea56ba00c479aaf5ecb775be1a1c2">
              <w:r>
                <w:rPr>
                  <w:rStyle w:val="InternetLink"/>
                  <w:rFonts w:ascii="Times New Roman;serif" w:hAnsi="Times New Roman;serif"/>
                  <w:b w:val="false"/>
                  <w:strike w:val="false"/>
                  <w:dstrike w:val="false"/>
                  <w:color w:val="000000"/>
                  <w:sz w:val="24"/>
                  <w:u w:val="none"/>
                  <w:effect w:val="none"/>
                </w:rPr>
                <w:t>40</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26127b8b4c0478ea639432e5bed04dc">
              <w:r>
                <w:rPr>
                  <w:rStyle w:val="InternetLink"/>
                  <w:rFonts w:ascii="Times New Roman;serif" w:hAnsi="Times New Roman;serif"/>
                  <w:b w:val="false"/>
                  <w:strike w:val="false"/>
                  <w:dstrike w:val="false"/>
                  <w:color w:val="000000"/>
                  <w:sz w:val="24"/>
                  <w:u w:val="none"/>
                  <w:effect w:val="none"/>
                </w:rPr>
                <w:t>Section 9.05.    Execution of Supplemental Indentures.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26127b8b4c0478ea639432e5bed04dc">
              <w:r>
                <w:rPr>
                  <w:rStyle w:val="InternetLink"/>
                  <w:rFonts w:ascii="Times New Roman;serif" w:hAnsi="Times New Roman;serif"/>
                  <w:b w:val="false"/>
                  <w:strike w:val="false"/>
                  <w:dstrike w:val="false"/>
                  <w:color w:val="000000"/>
                  <w:sz w:val="24"/>
                  <w:u w:val="none"/>
                  <w:effect w:val="none"/>
                </w:rPr>
                <w:t>41</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93287ce0ec49ddaf7077d7b6b64b09">
              <w:r>
                <w:rPr>
                  <w:rStyle w:val="InternetLink"/>
                  <w:rFonts w:ascii="Times New Roman;serif" w:hAnsi="Times New Roman;serif"/>
                  <w:b w:val="false"/>
                  <w:strike w:val="false"/>
                  <w:dstrike w:val="false"/>
                  <w:color w:val="000000"/>
                  <w:sz w:val="24"/>
                  <w:u w:val="none"/>
                  <w:effect w:val="none"/>
                </w:rPr>
                <w:t>ARTICLE 10.    SUCCESSOR ENTITY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793287ce0ec49ddaf7077d7b6b64b09">
              <w:r>
                <w:rPr>
                  <w:rStyle w:val="InternetLink"/>
                  <w:rFonts w:ascii="Times New Roman;serif" w:hAnsi="Times New Roman;serif"/>
                  <w:b w:val="false"/>
                  <w:strike w:val="false"/>
                  <w:dstrike w:val="false"/>
                  <w:color w:val="000000"/>
                  <w:sz w:val="24"/>
                  <w:u w:val="none"/>
                  <w:effect w:val="none"/>
                </w:rPr>
                <w:t>41</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bd1b45ef2b4283a89b6a24244e1c8b">
              <w:r>
                <w:rPr>
                  <w:rStyle w:val="InternetLink"/>
                  <w:rFonts w:ascii="Times New Roman;serif" w:hAnsi="Times New Roman;serif"/>
                  <w:b w:val="false"/>
                  <w:strike w:val="false"/>
                  <w:dstrike w:val="false"/>
                  <w:color w:val="000000"/>
                  <w:sz w:val="24"/>
                  <w:u w:val="none"/>
                  <w:effect w:val="none"/>
                </w:rPr>
                <w:t>Section 10.01.     Company May Consolidate, Etc.</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bd1b45ef2b4283a89b6a24244e1c8b">
              <w:r>
                <w:rPr>
                  <w:rStyle w:val="InternetLink"/>
                  <w:rFonts w:ascii="Times New Roman;serif" w:hAnsi="Times New Roman;serif"/>
                  <w:b w:val="false"/>
                  <w:strike w:val="false"/>
                  <w:dstrike w:val="false"/>
                  <w:color w:val="000000"/>
                  <w:sz w:val="24"/>
                  <w:u w:val="none"/>
                  <w:effect w:val="none"/>
                </w:rPr>
                <w:t>41</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f9f0308e914d489ad32b7c7ae57a80">
              <w:r>
                <w:rPr>
                  <w:rStyle w:val="InternetLink"/>
                  <w:rFonts w:ascii="Times New Roman;serif" w:hAnsi="Times New Roman;serif"/>
                  <w:b w:val="false"/>
                  <w:strike w:val="false"/>
                  <w:dstrike w:val="false"/>
                  <w:color w:val="000000"/>
                  <w:sz w:val="24"/>
                  <w:u w:val="none"/>
                  <w:effect w:val="none"/>
                </w:rPr>
                <w:t>Section 10.02.     Successor Entity Substituted.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f9f0308e914d489ad32b7c7ae57a80">
              <w:r>
                <w:rPr>
                  <w:rStyle w:val="InternetLink"/>
                  <w:rFonts w:ascii="Times New Roman;serif" w:hAnsi="Times New Roman;serif"/>
                  <w:b w:val="false"/>
                  <w:strike w:val="false"/>
                  <w:dstrike w:val="false"/>
                  <w:color w:val="000000"/>
                  <w:sz w:val="24"/>
                  <w:u w:val="none"/>
                  <w:effect w:val="none"/>
                </w:rPr>
                <w:t>42</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b698fc9725d4fb09168d9f231b986c7">
              <w:r>
                <w:rPr>
                  <w:rStyle w:val="InternetLink"/>
                  <w:rFonts w:ascii="Times New Roman;serif" w:hAnsi="Times New Roman;serif"/>
                  <w:b w:val="false"/>
                  <w:strike w:val="false"/>
                  <w:dstrike w:val="false"/>
                  <w:color w:val="000000"/>
                  <w:sz w:val="24"/>
                  <w:u w:val="none"/>
                  <w:effect w:val="none"/>
                </w:rPr>
                <w:t>ARTICLE 11.    SATISFACTION AND DISCHARGE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b698fc9725d4fb09168d9f231b986c7">
              <w:r>
                <w:rPr>
                  <w:rStyle w:val="InternetLink"/>
                  <w:rFonts w:ascii="Times New Roman;serif" w:hAnsi="Times New Roman;serif"/>
                  <w:b w:val="false"/>
                  <w:strike w:val="false"/>
                  <w:dstrike w:val="false"/>
                  <w:color w:val="000000"/>
                  <w:sz w:val="24"/>
                  <w:u w:val="none"/>
                  <w:effect w:val="none"/>
                </w:rPr>
                <w:t>42</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06f05bc5c440949b600663d2c22d4e">
              <w:r>
                <w:rPr>
                  <w:rStyle w:val="InternetLink"/>
                  <w:rFonts w:ascii="Times New Roman;serif" w:hAnsi="Times New Roman;serif"/>
                  <w:b w:val="false"/>
                  <w:strike w:val="false"/>
                  <w:dstrike w:val="false"/>
                  <w:color w:val="000000"/>
                  <w:sz w:val="24"/>
                  <w:u w:val="none"/>
                  <w:effect w:val="none"/>
                </w:rPr>
                <w:t>Section 11.01.     Satisfaction and Discharge of Indenture.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06f05bc5c440949b600663d2c22d4e">
              <w:r>
                <w:rPr>
                  <w:rStyle w:val="InternetLink"/>
                  <w:rFonts w:ascii="Times New Roman;serif" w:hAnsi="Times New Roman;serif"/>
                  <w:b w:val="false"/>
                  <w:strike w:val="false"/>
                  <w:dstrike w:val="false"/>
                  <w:color w:val="000000"/>
                  <w:sz w:val="24"/>
                  <w:u w:val="none"/>
                  <w:effect w:val="none"/>
                </w:rPr>
                <w:t>42</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8fb87a52f1402eb05bb6cc29007c2f">
              <w:r>
                <w:rPr>
                  <w:rStyle w:val="InternetLink"/>
                  <w:rFonts w:ascii="Times New Roman;serif" w:hAnsi="Times New Roman;serif"/>
                  <w:b w:val="false"/>
                  <w:strike w:val="false"/>
                  <w:dstrike w:val="false"/>
                  <w:color w:val="000000"/>
                  <w:sz w:val="24"/>
                  <w:u w:val="none"/>
                  <w:effect w:val="none"/>
                </w:rPr>
                <w:t>Section 11.02.     Discharge of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38fb87a52f1402eb05bb6cc29007c2f">
              <w:r>
                <w:rPr>
                  <w:rStyle w:val="InternetLink"/>
                  <w:rFonts w:ascii="Times New Roman;serif" w:hAnsi="Times New Roman;serif"/>
                  <w:b w:val="false"/>
                  <w:strike w:val="false"/>
                  <w:dstrike w:val="false"/>
                  <w:color w:val="000000"/>
                  <w:sz w:val="24"/>
                  <w:u w:val="none"/>
                  <w:effect w:val="none"/>
                </w:rPr>
                <w:t>43</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452e55dcdf431482c6db538a9219af">
              <w:r>
                <w:rPr>
                  <w:rStyle w:val="InternetLink"/>
                  <w:rFonts w:ascii="Times New Roman;serif" w:hAnsi="Times New Roman;serif"/>
                  <w:b w:val="false"/>
                  <w:strike w:val="false"/>
                  <w:dstrike w:val="false"/>
                  <w:color w:val="000000"/>
                  <w:sz w:val="24"/>
                  <w:u w:val="none"/>
                  <w:effect w:val="none"/>
                </w:rPr>
                <w:t>Section 11.03.     Deposited Moneys to be Held in Trust.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452e55dcdf431482c6db538a9219af">
              <w:r>
                <w:rPr>
                  <w:rStyle w:val="InternetLink"/>
                  <w:rFonts w:ascii="Times New Roman;serif" w:hAnsi="Times New Roman;serif"/>
                  <w:b w:val="false"/>
                  <w:strike w:val="false"/>
                  <w:dstrike w:val="false"/>
                  <w:color w:val="000000"/>
                  <w:sz w:val="24"/>
                  <w:u w:val="none"/>
                  <w:effect w:val="none"/>
                </w:rPr>
                <w:t>43</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70795f395f4fd691c499dcd2a4791e">
              <w:r>
                <w:rPr>
                  <w:rStyle w:val="InternetLink"/>
                  <w:rFonts w:ascii="Times New Roman;serif" w:hAnsi="Times New Roman;serif"/>
                  <w:b w:val="false"/>
                  <w:strike w:val="false"/>
                  <w:dstrike w:val="false"/>
                  <w:color w:val="000000"/>
                  <w:sz w:val="24"/>
                  <w:u w:val="none"/>
                  <w:effect w:val="none"/>
                </w:rPr>
                <w:t>Section 11.04.     Payment of Moneys Held by Paying Agents.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f70795f395f4fd691c499dcd2a4791e">
              <w:r>
                <w:rPr>
                  <w:rStyle w:val="InternetLink"/>
                  <w:rFonts w:ascii="Times New Roman;serif" w:hAnsi="Times New Roman;serif"/>
                  <w:b w:val="false"/>
                  <w:strike w:val="false"/>
                  <w:dstrike w:val="false"/>
                  <w:color w:val="000000"/>
                  <w:sz w:val="24"/>
                  <w:u w:val="none"/>
                  <w:effect w:val="none"/>
                </w:rPr>
                <w:t>43</w:t>
              </w:r>
            </w:hyperlink>
          </w:p>
        </w:tc>
      </w:tr>
      <w:tr>
        <w:trPr/>
        <w:tc>
          <w:tcPr>
            <w:tcW w:w="7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336a68654f4c84abf4fb9c79361ad4">
              <w:r>
                <w:rPr>
                  <w:rStyle w:val="InternetLink"/>
                  <w:rFonts w:ascii="Times New Roman;serif" w:hAnsi="Times New Roman;serif"/>
                  <w:b w:val="false"/>
                  <w:strike w:val="false"/>
                  <w:dstrike w:val="false"/>
                  <w:color w:val="000000"/>
                  <w:sz w:val="24"/>
                  <w:u w:val="none"/>
                  <w:effect w:val="none"/>
                </w:rPr>
                <w:t>Section 11.05.     Repayment to Company.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336a68654f4c84abf4fb9c79361ad4">
              <w:r>
                <w:rPr>
                  <w:rStyle w:val="InternetLink"/>
                  <w:rFonts w:ascii="Times New Roman;serif" w:hAnsi="Times New Roman;serif"/>
                  <w:b w:val="false"/>
                  <w:strike w:val="false"/>
                  <w:dstrike w:val="false"/>
                  <w:color w:val="000000"/>
                  <w:sz w:val="24"/>
                  <w:u w:val="none"/>
                  <w:effect w:val="none"/>
                </w:rPr>
                <w:t>43</w:t>
              </w:r>
            </w:hyperlink>
          </w:p>
        </w:tc>
      </w:tr>
    </w:tbl>
    <w:p>
      <w:pPr>
        <w:pStyle w:val="TextBody"/>
        <w:bidi w:val="0"/>
        <w:spacing w:lineRule="auto" w:line="288" w:before="0" w:after="0"/>
        <w:ind w:left="0" w:right="0" w:firstLine="1440"/>
        <w:jc w:val="left"/>
        <w:rPr/>
      </w:pPr>
      <w:r>
        <w:rPr>
          <w:color w:val="000000"/>
        </w:rPr>
        <w:t>    </w:t>
      </w: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95935"/>
                <wp:effectExtent l="0" t="0" r="0" b="0"/>
                <wp:wrapNone/>
                <wp:docPr id="47" name="Frame46"/>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9"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0"/>
                        <w:jc w:val="left"/>
                        <w:rPr/>
                      </w:pPr>
                      <w:r>
                        <w:rPr/>
                      </w:r>
                    </w:p>
                    <w:p>
                      <w:pPr>
                        <w:pStyle w:val="TextBody"/>
                        <w:bidi w:val="0"/>
                        <w:spacing w:lineRule="auto" w:line="199"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left"/>
        <w:rPr/>
      </w:pPr>
      <w:r>
        <w:rPr>
          <w:color w:val="000000"/>
        </w:rPr>
        <w:t>    </w:t>
      </w:r>
      <w:r>
        <w:rPr>
          <w:rFonts w:ascii="Times New Roman;serif" w:hAnsi="Times New Roman;serif"/>
          <w:b/>
          <w:color w:val="000000"/>
          <w:sz w:val="24"/>
        </w:rPr>
        <w:t>(continued)</w:t>
      </w:r>
    </w:p>
    <w:p>
      <w:pPr>
        <w:pStyle w:val="TextBody"/>
        <w:bidi w:val="0"/>
        <w:spacing w:lineRule="auto" w:line="288" w:before="0" w:after="200"/>
        <w:ind w:left="0" w:right="0" w:firstLine="1440"/>
        <w:jc w:val="left"/>
        <w:rPr/>
      </w:pPr>
      <w:r>
        <w:rPr>
          <w:color w:val="000000"/>
        </w:rPr>
        <w:t>        </w:t>
      </w:r>
      <w:r>
        <w:rPr>
          <w:rFonts w:ascii="Times New Roman;serif" w:hAnsi="Times New Roman;serif"/>
          <w:b/>
          <w:color w:val="000000"/>
          <w:sz w:val="24"/>
        </w:rPr>
        <w:t>Page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72"/>
        <w:gridCol w:w="3116"/>
        <w:gridCol w:w="3125"/>
        <w:gridCol w:w="114"/>
        <w:gridCol w:w="114"/>
        <w:gridCol w:w="164"/>
      </w:tblGrid>
      <w:tr>
        <w:trPr/>
        <w:tc>
          <w:tcPr>
            <w:tcW w:w="3572"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5610cb6333e41c0aa5baac478627715">
              <w:r>
                <w:rPr>
                  <w:rStyle w:val="InternetLink"/>
                  <w:rFonts w:ascii="Times New Roman;serif" w:hAnsi="Times New Roman;serif"/>
                  <w:b w:val="false"/>
                  <w:strike w:val="false"/>
                  <w:dstrike w:val="false"/>
                  <w:color w:val="000000"/>
                  <w:sz w:val="24"/>
                  <w:u w:val="none"/>
                  <w:effect w:val="none"/>
                </w:rPr>
                <w:t>ARTICLE 12.    IMMUNITY OF INCORPORATORS, STOCKHOLDERS, OFFICERS AND DIRECTORS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5610cb6333e41c0aa5baac478627715">
              <w:r>
                <w:rPr>
                  <w:rStyle w:val="InternetLink"/>
                  <w:rFonts w:ascii="Times New Roman;serif" w:hAnsi="Times New Roman;serif"/>
                  <w:b w:val="false"/>
                  <w:strike w:val="false"/>
                  <w:dstrike w:val="false"/>
                  <w:color w:val="000000"/>
                  <w:sz w:val="24"/>
                  <w:u w:val="none"/>
                  <w:effect w:val="none"/>
                </w:rPr>
                <w:t>44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c8e54bfd1e4448983bda93206ef5b2b">
              <w:r>
                <w:rPr>
                  <w:rStyle w:val="InternetLink"/>
                  <w:rFonts w:ascii="Times New Roman;serif" w:hAnsi="Times New Roman;serif"/>
                  <w:b w:val="false"/>
                  <w:strike w:val="false"/>
                  <w:dstrike w:val="false"/>
                  <w:color w:val="000000"/>
                  <w:sz w:val="24"/>
                  <w:u w:val="none"/>
                  <w:effect w:val="none"/>
                </w:rPr>
                <w:t>Section 12.01.     No Recourse.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c8e54bfd1e4448983bda93206ef5b2b">
              <w:r>
                <w:rPr>
                  <w:rStyle w:val="InternetLink"/>
                  <w:rFonts w:ascii="Times New Roman;serif" w:hAnsi="Times New Roman;serif"/>
                  <w:b w:val="false"/>
                  <w:strike w:val="false"/>
                  <w:dstrike w:val="false"/>
                  <w:color w:val="000000"/>
                  <w:sz w:val="24"/>
                  <w:u w:val="none"/>
                  <w:effect w:val="none"/>
                </w:rPr>
                <w:t>44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fcad8ca14b74332922e0fd2a5345830">
              <w:r>
                <w:rPr>
                  <w:rStyle w:val="InternetLink"/>
                  <w:rFonts w:ascii="Times New Roman;serif" w:hAnsi="Times New Roman;serif"/>
                  <w:b w:val="false"/>
                  <w:strike w:val="false"/>
                  <w:dstrike w:val="false"/>
                  <w:color w:val="000000"/>
                  <w:sz w:val="24"/>
                  <w:u w:val="none"/>
                  <w:effect w:val="none"/>
                </w:rPr>
                <w:t>ARTICLE 13.    MISCELLANEOUS PROVISIONS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fcad8ca14b74332922e0fd2a5345830">
              <w:r>
                <w:rPr>
                  <w:rStyle w:val="InternetLink"/>
                  <w:rFonts w:ascii="Times New Roman;serif" w:hAnsi="Times New Roman;serif"/>
                  <w:b w:val="false"/>
                  <w:strike w:val="false"/>
                  <w:dstrike w:val="false"/>
                  <w:color w:val="000000"/>
                  <w:sz w:val="24"/>
                  <w:u w:val="none"/>
                  <w:effect w:val="none"/>
                </w:rPr>
                <w:t>44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49af5e8ce4177860a3c32b015a5e9">
              <w:r>
                <w:rPr>
                  <w:rStyle w:val="InternetLink"/>
                  <w:rFonts w:ascii="Times New Roman;serif" w:hAnsi="Times New Roman;serif"/>
                  <w:b w:val="false"/>
                  <w:strike w:val="false"/>
                  <w:dstrike w:val="false"/>
                  <w:color w:val="000000"/>
                  <w:sz w:val="24"/>
                  <w:u w:val="none"/>
                  <w:effect w:val="none"/>
                </w:rPr>
                <w:t>Section 13.01.     Effect on Successors and Assigns.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949af5e8ce4177860a3c32b015a5e9">
              <w:r>
                <w:rPr>
                  <w:rStyle w:val="InternetLink"/>
                  <w:rFonts w:ascii="Times New Roman;serif" w:hAnsi="Times New Roman;serif"/>
                  <w:b w:val="false"/>
                  <w:strike w:val="false"/>
                  <w:dstrike w:val="false"/>
                  <w:color w:val="000000"/>
                  <w:sz w:val="24"/>
                  <w:u w:val="none"/>
                  <w:effect w:val="none"/>
                </w:rPr>
                <w:t>44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9bd28471bf46d2a1f05115c2ade6fd">
              <w:r>
                <w:rPr>
                  <w:rStyle w:val="InternetLink"/>
                  <w:rFonts w:ascii="Times New Roman;serif" w:hAnsi="Times New Roman;serif"/>
                  <w:b w:val="false"/>
                  <w:strike w:val="false"/>
                  <w:dstrike w:val="false"/>
                  <w:color w:val="000000"/>
                  <w:sz w:val="24"/>
                  <w:u w:val="none"/>
                  <w:effect w:val="none"/>
                </w:rPr>
                <w:t>Section 13.02.     Actions by Successor.</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9bd28471bf46d2a1f05115c2ade6fd">
              <w:r>
                <w:rPr>
                  <w:rStyle w:val="InternetLink"/>
                  <w:rFonts w:ascii="Times New Roman;serif" w:hAnsi="Times New Roman;serif"/>
                  <w:b w:val="false"/>
                  <w:strike w:val="false"/>
                  <w:dstrike w:val="false"/>
                  <w:color w:val="000000"/>
                  <w:sz w:val="24"/>
                  <w:u w:val="none"/>
                  <w:effect w:val="none"/>
                </w:rPr>
                <w:t>44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e214908011d46bcb9c6a4187496d877">
              <w:r>
                <w:rPr>
                  <w:rStyle w:val="InternetLink"/>
                  <w:rFonts w:ascii="Times New Roman;serif" w:hAnsi="Times New Roman;serif"/>
                  <w:b w:val="false"/>
                  <w:strike w:val="false"/>
                  <w:dstrike w:val="false"/>
                  <w:color w:val="000000"/>
                  <w:sz w:val="24"/>
                  <w:u w:val="none"/>
                  <w:effect w:val="none"/>
                </w:rPr>
                <w:t>Section 13.03.     Surrender of Company Powers.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e214908011d46bcb9c6a4187496d877">
              <w:r>
                <w:rPr>
                  <w:rStyle w:val="InternetLink"/>
                  <w:rFonts w:ascii="Times New Roman;serif" w:hAnsi="Times New Roman;serif"/>
                  <w:b w:val="false"/>
                  <w:strike w:val="false"/>
                  <w:dstrike w:val="false"/>
                  <w:color w:val="000000"/>
                  <w:sz w:val="24"/>
                  <w:u w:val="none"/>
                  <w:effect w:val="none"/>
                </w:rPr>
                <w:t>45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f4ea6a287247ec882d63190a9cdfda">
              <w:r>
                <w:rPr>
                  <w:rStyle w:val="InternetLink"/>
                  <w:rFonts w:ascii="Times New Roman;serif" w:hAnsi="Times New Roman;serif"/>
                  <w:b w:val="false"/>
                  <w:strike w:val="false"/>
                  <w:dstrike w:val="false"/>
                  <w:color w:val="000000"/>
                  <w:sz w:val="24"/>
                  <w:u w:val="none"/>
                  <w:effect w:val="none"/>
                </w:rPr>
                <w:t>Section 13.04.     Notices.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f4ea6a287247ec882d63190a9cdfda">
              <w:r>
                <w:rPr>
                  <w:rStyle w:val="InternetLink"/>
                  <w:rFonts w:ascii="Times New Roman;serif" w:hAnsi="Times New Roman;serif"/>
                  <w:b w:val="false"/>
                  <w:strike w:val="false"/>
                  <w:dstrike w:val="false"/>
                  <w:color w:val="000000"/>
                  <w:sz w:val="24"/>
                  <w:u w:val="none"/>
                  <w:effect w:val="none"/>
                </w:rPr>
                <w:t>45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f94af15b814a968a6989baca9fbf3f">
              <w:r>
                <w:rPr>
                  <w:rStyle w:val="InternetLink"/>
                  <w:rFonts w:ascii="Times New Roman;serif" w:hAnsi="Times New Roman;serif"/>
                  <w:b w:val="false"/>
                  <w:strike w:val="false"/>
                  <w:dstrike w:val="false"/>
                  <w:color w:val="000000"/>
                  <w:sz w:val="24"/>
                  <w:u w:val="none"/>
                  <w:effect w:val="none"/>
                </w:rPr>
                <w:t>Section 13.05.     Governing Law; Jury Trial Waiver.</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f94af15b814a968a6989baca9fbf3f">
              <w:r>
                <w:rPr>
                  <w:rStyle w:val="InternetLink"/>
                  <w:rFonts w:ascii="Times New Roman;serif" w:hAnsi="Times New Roman;serif"/>
                  <w:b w:val="false"/>
                  <w:strike w:val="false"/>
                  <w:dstrike w:val="false"/>
                  <w:color w:val="000000"/>
                  <w:sz w:val="24"/>
                  <w:u w:val="none"/>
                  <w:effect w:val="none"/>
                </w:rPr>
                <w:t>45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9e774fd590f4bda8c9f36bc5fb6ca1b">
              <w:r>
                <w:rPr>
                  <w:rStyle w:val="InternetLink"/>
                  <w:rFonts w:ascii="Times New Roman;serif" w:hAnsi="Times New Roman;serif"/>
                  <w:b w:val="false"/>
                  <w:strike w:val="false"/>
                  <w:dstrike w:val="false"/>
                  <w:color w:val="000000"/>
                  <w:sz w:val="24"/>
                  <w:u w:val="none"/>
                  <w:effect w:val="none"/>
                </w:rPr>
                <w:t>Section 13.06.     Treatment of Securities as Debt.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9e774fd590f4bda8c9f36bc5fb6ca1b">
              <w:r>
                <w:rPr>
                  <w:rStyle w:val="InternetLink"/>
                  <w:rFonts w:ascii="Times New Roman;serif" w:hAnsi="Times New Roman;serif"/>
                  <w:b w:val="false"/>
                  <w:strike w:val="false"/>
                  <w:dstrike w:val="false"/>
                  <w:color w:val="000000"/>
                  <w:sz w:val="24"/>
                  <w:u w:val="none"/>
                  <w:effect w:val="none"/>
                </w:rPr>
                <w:t>45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c534347d6249e698f7e792e4b5642f">
              <w:r>
                <w:rPr>
                  <w:rStyle w:val="InternetLink"/>
                  <w:rFonts w:ascii="Times New Roman;serif" w:hAnsi="Times New Roman;serif"/>
                  <w:b w:val="false"/>
                  <w:strike w:val="false"/>
                  <w:dstrike w:val="false"/>
                  <w:color w:val="000000"/>
                  <w:sz w:val="24"/>
                  <w:u w:val="none"/>
                  <w:effect w:val="none"/>
                </w:rPr>
                <w:t>Section 13.07.     Certificates and Opinions as to Conditions Precedent.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5c534347d6249e698f7e792e4b5642f">
              <w:r>
                <w:rPr>
                  <w:rStyle w:val="InternetLink"/>
                  <w:rFonts w:ascii="Times New Roman;serif" w:hAnsi="Times New Roman;serif"/>
                  <w:b w:val="false"/>
                  <w:strike w:val="false"/>
                  <w:dstrike w:val="false"/>
                  <w:color w:val="000000"/>
                  <w:sz w:val="24"/>
                  <w:u w:val="none"/>
                  <w:effect w:val="none"/>
                </w:rPr>
                <w:t>45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d6d648372e4970ab29181b95de8099">
              <w:r>
                <w:rPr>
                  <w:rStyle w:val="InternetLink"/>
                  <w:rFonts w:ascii="Times New Roman;serif" w:hAnsi="Times New Roman;serif"/>
                  <w:b w:val="false"/>
                  <w:strike w:val="false"/>
                  <w:dstrike w:val="false"/>
                  <w:color w:val="000000"/>
                  <w:sz w:val="24"/>
                  <w:u w:val="none"/>
                  <w:effect w:val="none"/>
                </w:rPr>
                <w:t>Section 13.08.     Payments on Business Days.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d6d648372e4970ab29181b95de8099">
              <w:r>
                <w:rPr>
                  <w:rStyle w:val="InternetLink"/>
                  <w:rFonts w:ascii="Times New Roman;serif" w:hAnsi="Times New Roman;serif"/>
                  <w:b w:val="false"/>
                  <w:strike w:val="false"/>
                  <w:dstrike w:val="false"/>
                  <w:color w:val="000000"/>
                  <w:sz w:val="24"/>
                  <w:u w:val="none"/>
                  <w:effect w:val="none"/>
                </w:rPr>
                <w:t>46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9254fa9db421fa75d7710393b1d7a">
              <w:r>
                <w:rPr>
                  <w:rStyle w:val="InternetLink"/>
                  <w:rFonts w:ascii="Times New Roman;serif" w:hAnsi="Times New Roman;serif"/>
                  <w:b w:val="false"/>
                  <w:strike w:val="false"/>
                  <w:dstrike w:val="false"/>
                  <w:color w:val="000000"/>
                  <w:sz w:val="24"/>
                  <w:u w:val="none"/>
                  <w:effect w:val="none"/>
                </w:rPr>
                <w:t>Section 13.09.     Conflict with Trust Indenture Act.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9254fa9db421fa75d7710393b1d7a">
              <w:r>
                <w:rPr>
                  <w:rStyle w:val="InternetLink"/>
                  <w:rFonts w:ascii="Times New Roman;serif" w:hAnsi="Times New Roman;serif"/>
                  <w:b w:val="false"/>
                  <w:strike w:val="false"/>
                  <w:dstrike w:val="false"/>
                  <w:color w:val="000000"/>
                  <w:sz w:val="24"/>
                  <w:u w:val="none"/>
                  <w:effect w:val="none"/>
                </w:rPr>
                <w:t>46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ffeda30dbe41ed963a3033434284e8">
              <w:r>
                <w:rPr>
                  <w:rStyle w:val="InternetLink"/>
                  <w:rFonts w:ascii="Times New Roman;serif" w:hAnsi="Times New Roman;serif"/>
                  <w:b w:val="false"/>
                  <w:strike w:val="false"/>
                  <w:dstrike w:val="false"/>
                  <w:color w:val="000000"/>
                  <w:sz w:val="24"/>
                  <w:u w:val="none"/>
                  <w:effect w:val="none"/>
                </w:rPr>
                <w:t>Section 13.10.     Counterparts.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ffeda30dbe41ed963a3033434284e8">
              <w:r>
                <w:rPr>
                  <w:rStyle w:val="InternetLink"/>
                  <w:rFonts w:ascii="Times New Roman;serif" w:hAnsi="Times New Roman;serif"/>
                  <w:b w:val="false"/>
                  <w:strike w:val="false"/>
                  <w:dstrike w:val="false"/>
                  <w:color w:val="000000"/>
                  <w:sz w:val="24"/>
                  <w:u w:val="none"/>
                  <w:effect w:val="none"/>
                </w:rPr>
                <w:t>46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5aa6cc5edc4e929a80de4215ad5b0b">
              <w:r>
                <w:rPr>
                  <w:rStyle w:val="InternetLink"/>
                  <w:rFonts w:ascii="Times New Roman;serif" w:hAnsi="Times New Roman;serif"/>
                  <w:b w:val="false"/>
                  <w:strike w:val="false"/>
                  <w:dstrike w:val="false"/>
                  <w:color w:val="000000"/>
                  <w:sz w:val="24"/>
                  <w:u w:val="none"/>
                  <w:effect w:val="none"/>
                </w:rPr>
                <w:t>Section 13.11.     Separability.</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d5aa6cc5edc4e929a80de4215ad5b0b">
              <w:r>
                <w:rPr>
                  <w:rStyle w:val="InternetLink"/>
                  <w:rFonts w:ascii="Times New Roman;serif" w:hAnsi="Times New Roman;serif"/>
                  <w:b w:val="false"/>
                  <w:strike w:val="false"/>
                  <w:dstrike w:val="false"/>
                  <w:color w:val="000000"/>
                  <w:sz w:val="24"/>
                  <w:u w:val="none"/>
                  <w:effect w:val="none"/>
                </w:rPr>
                <w:t>47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2b7bf1f696341e48c0fdc553a179d0e">
              <w:r>
                <w:rPr>
                  <w:rStyle w:val="InternetLink"/>
                  <w:rFonts w:ascii="Times New Roman;serif" w:hAnsi="Times New Roman;serif"/>
                  <w:b w:val="false"/>
                  <w:strike w:val="false"/>
                  <w:dstrike w:val="false"/>
                  <w:color w:val="000000"/>
                  <w:sz w:val="24"/>
                  <w:u w:val="none"/>
                  <w:effect w:val="none"/>
                </w:rPr>
                <w:t>Section 13.12.     Compliance Certificates.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2b7bf1f696341e48c0fdc553a179d0e">
              <w:r>
                <w:rPr>
                  <w:rStyle w:val="InternetLink"/>
                  <w:rFonts w:ascii="Times New Roman;serif" w:hAnsi="Times New Roman;serif"/>
                  <w:b w:val="false"/>
                  <w:strike w:val="false"/>
                  <w:dstrike w:val="false"/>
                  <w:color w:val="000000"/>
                  <w:sz w:val="24"/>
                  <w:u w:val="none"/>
                  <w:effect w:val="none"/>
                </w:rPr>
                <w:t>47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e7a79ef0364c7d85624035f0ee8469">
              <w:r>
                <w:rPr>
                  <w:rStyle w:val="InternetLink"/>
                  <w:rFonts w:ascii="Times New Roman;serif" w:hAnsi="Times New Roman;serif"/>
                  <w:b w:val="false"/>
                  <w:strike w:val="false"/>
                  <w:dstrike w:val="false"/>
                  <w:color w:val="000000"/>
                  <w:sz w:val="24"/>
                  <w:u w:val="none"/>
                  <w:effect w:val="none"/>
                </w:rPr>
                <w:t xml:space="preserve">Section 13.13.     Patriot Act. </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4e7a79ef0364c7d85624035f0ee8469">
              <w:r>
                <w:rPr>
                  <w:rStyle w:val="InternetLink"/>
                  <w:rFonts w:ascii="Times New Roman;serif" w:hAnsi="Times New Roman;serif"/>
                  <w:b w:val="false"/>
                  <w:strike w:val="false"/>
                  <w:dstrike w:val="false"/>
                  <w:color w:val="000000"/>
                  <w:sz w:val="24"/>
                  <w:u w:val="none"/>
                  <w:effect w:val="none"/>
                </w:rPr>
                <w:t>47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cde71d8d86452cb824ad488a5c7b77">
              <w:r>
                <w:rPr>
                  <w:rStyle w:val="InternetLink"/>
                  <w:rFonts w:ascii="Times New Roman;serif" w:hAnsi="Times New Roman;serif"/>
                  <w:b w:val="false"/>
                  <w:strike w:val="false"/>
                  <w:dstrike w:val="false"/>
                  <w:color w:val="000000"/>
                  <w:sz w:val="24"/>
                  <w:u w:val="none"/>
                  <w:effect w:val="none"/>
                </w:rPr>
                <w:t xml:space="preserve">Section 13.14.     Force Majeure. </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cde71d8d86452cb824ad488a5c7b77">
              <w:r>
                <w:rPr>
                  <w:rStyle w:val="InternetLink"/>
                  <w:rFonts w:ascii="Times New Roman;serif" w:hAnsi="Times New Roman;serif"/>
                  <w:b w:val="false"/>
                  <w:strike w:val="false"/>
                  <w:dstrike w:val="false"/>
                  <w:color w:val="000000"/>
                  <w:sz w:val="24"/>
                  <w:u w:val="none"/>
                  <w:effect w:val="none"/>
                </w:rPr>
                <w:t>47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2a065b921b2473db506cb7520b6675b">
              <w:r>
                <w:rPr>
                  <w:rStyle w:val="InternetLink"/>
                  <w:rFonts w:ascii="Times New Roman;serif" w:hAnsi="Times New Roman;serif"/>
                  <w:b w:val="false"/>
                  <w:strike w:val="false"/>
                  <w:dstrike w:val="false"/>
                  <w:color w:val="000000"/>
                  <w:sz w:val="24"/>
                  <w:u w:val="none"/>
                  <w:effect w:val="none"/>
                </w:rPr>
                <w:t>Section 13.15.     Table of Contents; Headings.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2a065b921b2473db506cb7520b6675b">
              <w:r>
                <w:rPr>
                  <w:rStyle w:val="InternetLink"/>
                  <w:rFonts w:ascii="Times New Roman;serif" w:hAnsi="Times New Roman;serif"/>
                  <w:b w:val="false"/>
                  <w:strike w:val="false"/>
                  <w:dstrike w:val="false"/>
                  <w:color w:val="000000"/>
                  <w:sz w:val="24"/>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5935"/>
                <wp:effectExtent l="0" t="0" r="0" b="0"/>
                <wp:wrapNone/>
                <wp:docPr id="48" name="Frame47"/>
                <a:graphic xmlns:a="http://schemas.openxmlformats.org/drawingml/2006/main">
                  <a:graphicData uri="http://schemas.microsoft.com/office/word/2010/wordprocessingShape">
                    <wps:wsp>
                      <wps:cNvSpPr txBox="1"/>
                      <wps:spPr>
                        <a:xfrm>
                          <a:off x="0" y="0"/>
                          <a:ext cx="6480175" cy="49593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9"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9"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INDENTURE</w:t>
      </w:r>
    </w:p>
    <w:p>
      <w:pPr>
        <w:pStyle w:val="TextBody"/>
        <w:bidi w:val="0"/>
        <w:spacing w:lineRule="auto" w:line="288" w:before="0" w:after="240"/>
        <w:ind w:left="0" w:right="0" w:firstLine="720"/>
        <w:jc w:val="both"/>
        <w:rPr/>
      </w:pPr>
      <w:r>
        <w:rPr>
          <w:rFonts w:ascii="Times New Roman;serif" w:hAnsi="Times New Roman;serif"/>
          <w:b/>
          <w:color w:val="000000"/>
          <w:sz w:val="24"/>
        </w:rPr>
        <w:t>Indenture</w:t>
      </w:r>
      <w:r>
        <w:rPr>
          <w:rFonts w:ascii="Times New Roman;serif" w:hAnsi="Times New Roman;serif"/>
          <w:b w:val="false"/>
          <w:color w:val="000000"/>
          <w:sz w:val="24"/>
        </w:rPr>
        <w:t>, dated as of [], 20__, among Fastly, Inc.,</w:t>
      </w:r>
      <w:r>
        <w:rPr>
          <w:color w:val="000000"/>
        </w:rPr>
        <w:t xml:space="preserve"> </w:t>
      </w:r>
      <w:r>
        <w:rPr>
          <w:rFonts w:ascii="Times New Roman;serif" w:hAnsi="Times New Roman;serif"/>
          <w:b w:val="false"/>
          <w:color w:val="000000"/>
          <w:sz w:val="24"/>
        </w:rPr>
        <w:t>a Delaware corporation (the “Company”), and [</w:t>
      </w:r>
      <w:r>
        <w:rPr>
          <w:rFonts w:ascii="Times New Roman;serif" w:hAnsi="Times New Roman;serif"/>
          <w:b/>
          <w:color w:val="000000"/>
          <w:sz w:val="24"/>
        </w:rPr>
        <w:t>Trustee</w:t>
      </w:r>
      <w:r>
        <w:rPr>
          <w:rFonts w:ascii="Times New Roman;serif" w:hAnsi="Times New Roman;serif"/>
          <w:b w:val="false"/>
          <w:color w:val="000000"/>
          <w:sz w:val="24"/>
        </w:rPr>
        <w:t xml:space="preserve">], as trustee (the “Trustee”):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to provide the terms and conditions upon which the Securities are to be authenticated, issued and delivered, the Company has duly authorized the execution of this Indenture; and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all things necessary to make this Indenture a valid agreement of the Company, in accordance with its terms, have been done.</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0" w:after="2"/>
        <w:ind w:left="0" w:right="0" w:firstLine="7"/>
        <w:jc w:val="both"/>
        <w:rPr/>
      </w:pPr>
      <w:r>
        <w:rPr/>
      </w:r>
    </w:p>
    <w:p>
      <w:pPr>
        <w:pStyle w:val="TextBody"/>
        <w:bidi w:val="0"/>
        <w:spacing w:lineRule="atLeast" w:line="288" w:before="0" w:after="0"/>
        <w:jc w:val="center"/>
        <w:rPr/>
      </w:pPr>
      <w:bookmarkStart w:id="14" w:name="id31e70aedb18483684276913935a584c"/>
      <w:bookmarkEnd w:id="14"/>
      <w:r>
        <w:rPr>
          <w:rFonts w:ascii="Times New Roman;serif" w:hAnsi="Times New Roman;serif"/>
          <w:b/>
          <w:color w:val="000000"/>
          <w:sz w:val="24"/>
        </w:rPr>
        <w:t>ARTICLE 1.</w:t>
      </w:r>
      <w:r>
        <w:rPr>
          <w:color w:val="000000"/>
        </w:rPr>
        <w:t xml:space="preserve"> </w:t>
      </w:r>
      <w:r>
        <w:rPr>
          <w:rFonts w:ascii="Times New Roman;serif" w:hAnsi="Times New Roman;serif"/>
          <w:b/>
          <w:color w:val="000000"/>
          <w:sz w:val="24"/>
        </w:rPr>
        <w:t>DEFINITIONS</w:t>
      </w:r>
    </w:p>
    <w:p>
      <w:pPr>
        <w:pStyle w:val="TextBody"/>
        <w:bidi w:val="0"/>
        <w:spacing w:before="0" w:after="2"/>
        <w:jc w:val="center"/>
        <w:rPr/>
      </w:pPr>
      <w:r>
        <w:rPr/>
      </w:r>
    </w:p>
    <w:p>
      <w:pPr>
        <w:pStyle w:val="TextBody"/>
        <w:bidi w:val="0"/>
        <w:spacing w:lineRule="auto" w:line="288" w:before="0" w:after="240"/>
        <w:jc w:val="left"/>
        <w:rPr>
          <w:rFonts w:ascii="Times New Roman;serif" w:hAnsi="Times New Roman;serif"/>
          <w:b/>
          <w:color w:val="000000"/>
          <w:sz w:val="24"/>
        </w:rPr>
      </w:pPr>
      <w:bookmarkStart w:id="15" w:name="i8d014bc10bb84358a69b87e5d3d0c5c0"/>
      <w:bookmarkEnd w:id="15"/>
      <w:r>
        <w:rPr>
          <w:rFonts w:ascii="Times New Roman;serif" w:hAnsi="Times New Roman;serif"/>
          <w:b/>
          <w:color w:val="000000"/>
          <w:sz w:val="24"/>
        </w:rPr>
        <w:t>Section 1.01.Definitions of Terms.</w:t>
      </w:r>
    </w:p>
    <w:p>
      <w:pPr>
        <w:pStyle w:val="TextBody"/>
        <w:bidi w:val="0"/>
        <w:spacing w:before="0" w:after="0"/>
        <w:ind w:left="0" w:right="0" w:firstLine="108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Authenticating Agent</w:t>
      </w:r>
      <w:r>
        <w:rPr>
          <w:color w:val="000000"/>
        </w:rPr>
        <w:t xml:space="preserve">” </w:t>
      </w:r>
      <w:r>
        <w:rPr>
          <w:rFonts w:ascii="Times New Roman;serif" w:hAnsi="Times New Roman;serif"/>
          <w:b w:val="false"/>
          <w:color w:val="000000"/>
          <w:sz w:val="24"/>
        </w:rPr>
        <w:t>means the Trustee or an authenticating agent with respect to all or any of the series of Securities appointed by the Trustee pursuant to Section 2.10.</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Bankruptcy Law</w:t>
      </w:r>
      <w:r>
        <w:rPr>
          <w:color w:val="000000"/>
        </w:rPr>
        <w:t xml:space="preserve">” </w:t>
      </w:r>
      <w:r>
        <w:rPr>
          <w:rFonts w:ascii="Times New Roman;serif" w:hAnsi="Times New Roman;serif"/>
          <w:b w:val="false"/>
          <w:color w:val="000000"/>
          <w:sz w:val="24"/>
        </w:rPr>
        <w:t>means Title 11, U.S. Code, or any similar federal or state law for the relief of debtors.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Board of Directors</w:t>
      </w:r>
      <w:r>
        <w:rPr>
          <w:color w:val="000000"/>
        </w:rPr>
        <w:t xml:space="preserve">” </w:t>
      </w:r>
      <w:r>
        <w:rPr>
          <w:rFonts w:ascii="Times New Roman;serif" w:hAnsi="Times New Roman;serif"/>
          <w:b w:val="false"/>
          <w:color w:val="000000"/>
          <w:sz w:val="24"/>
        </w:rPr>
        <w:t>means the Board of Directors (or the functional equivalent thereof) of the Company or any duly authorized committee of such Board.</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0675"/>
                <wp:effectExtent l="0" t="0" r="0" b="0"/>
                <wp:wrapNone/>
                <wp:docPr id="49" name="Frame48"/>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Board Resolution</w:t>
      </w:r>
      <w:r>
        <w:rPr>
          <w:color w:val="000000"/>
        </w:rPr>
        <w:t xml:space="preserve">” </w:t>
      </w:r>
      <w:r>
        <w:rPr>
          <w:rFonts w:ascii="Times New Roman;serif" w:hAnsi="Times New Roman;serif"/>
          <w:b w:val="false"/>
          <w:color w:val="000000"/>
          <w:sz w:val="24"/>
        </w:rPr>
        <w:t>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Commission</w:t>
      </w:r>
      <w:r>
        <w:rPr>
          <w:color w:val="000000"/>
        </w:rPr>
        <w:t xml:space="preserve">” </w:t>
      </w:r>
      <w:r>
        <w:rPr>
          <w:rFonts w:ascii="Times New Roman;serif" w:hAnsi="Times New Roman;serif"/>
          <w:b w:val="false"/>
          <w:color w:val="000000"/>
          <w:sz w:val="24"/>
        </w:rPr>
        <w:t>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means Fastly, Inc., a corporation duly organized and existing under the laws of the State of Delaware, and, subject to the provisions of Article Ten, shall also include its successors and assigns.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Corporate Trust Office</w:t>
      </w:r>
      <w:r>
        <w:rPr>
          <w:color w:val="000000"/>
        </w:rPr>
        <w:t xml:space="preserve">” </w:t>
      </w:r>
      <w:r>
        <w:rPr>
          <w:rFonts w:ascii="Times New Roman;serif" w:hAnsi="Times New Roman;serif"/>
          <w:b w:val="false"/>
          <w:color w:val="000000"/>
          <w:sz w:val="24"/>
        </w:rPr>
        <w:t xml:space="preserve">means the office of the Trustee at which, at any particular time, its corporate trust business shall be principally administered, which office at the date hereof is located at </w:t>
      </w:r>
      <w:r>
        <w:rPr>
          <w:color w:val="000000"/>
          <w:u w:val="single"/>
        </w:rPr>
        <w:t>                                                                                                                                  </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Custodian</w:t>
      </w:r>
      <w:r>
        <w:rPr>
          <w:color w:val="000000"/>
        </w:rPr>
        <w:t xml:space="preserve">” </w:t>
      </w:r>
      <w:r>
        <w:rPr>
          <w:rFonts w:ascii="Times New Roman;serif" w:hAnsi="Times New Roman;serif"/>
          <w:b w:val="false"/>
          <w:color w:val="000000"/>
          <w:sz w:val="24"/>
        </w:rPr>
        <w:t>means any receiver, trustee, assignee, liquidator or similar official under any Bankruptcy Law.</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Defaulted Interest</w:t>
      </w:r>
      <w:r>
        <w:rPr>
          <w:color w:val="000000"/>
        </w:rPr>
        <w:t xml:space="preserve">” </w:t>
      </w:r>
      <w:r>
        <w:rPr>
          <w:rFonts w:ascii="Times New Roman;serif" w:hAnsi="Times New Roman;serif"/>
          <w:b w:val="false"/>
          <w:color w:val="000000"/>
          <w:sz w:val="24"/>
        </w:rPr>
        <w:t>has the meaning set forth in Section 2.03.</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Depositary</w:t>
      </w:r>
      <w:r>
        <w:rPr>
          <w:color w:val="000000"/>
        </w:rPr>
        <w:t xml:space="preserve">” </w:t>
      </w:r>
      <w:r>
        <w:rPr>
          <w:rFonts w:ascii="Times New Roman;serif" w:hAnsi="Times New Roman;serif"/>
          <w:b w:val="false"/>
          <w:color w:val="000000"/>
          <w:sz w:val="24"/>
        </w:rPr>
        <w:t>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Event of Default</w:t>
      </w:r>
      <w:r>
        <w:rPr>
          <w:color w:val="000000"/>
        </w:rPr>
        <w:t xml:space="preserve">” </w:t>
      </w:r>
      <w:r>
        <w:rPr>
          <w:rFonts w:ascii="Times New Roman;serif" w:hAnsi="Times New Roman;serif"/>
          <w:b w:val="false"/>
          <w:color w:val="000000"/>
          <w:sz w:val="24"/>
        </w:rPr>
        <w:t>means, with respect to Securities of a particular series, any event specified in Section 6.01, continued for the period of time, if any, therein designated.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United States Securities and Exchange Act of 1934, as amended, and the rules and regulations promulgated by the Commission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i/>
          <w:color w:val="000000"/>
          <w:sz w:val="24"/>
        </w:rPr>
        <w:t>given</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mailed</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notify</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sent</w:t>
      </w:r>
      <w:r>
        <w:rPr>
          <w:color w:val="000000"/>
        </w:rPr>
        <w:t xml:space="preserve">” </w:t>
      </w:r>
      <w:r>
        <w:rPr>
          <w:rFonts w:ascii="Times New Roman;serif" w:hAnsi="Times New Roman;serif"/>
          <w:b w:val="false"/>
          <w:color w:val="000000"/>
          <w:sz w:val="24"/>
        </w:rPr>
        <w:t xml:space="preserve">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0675"/>
                <wp:effectExtent l="0" t="0" r="0" b="0"/>
                <wp:wrapNone/>
                <wp:docPr id="50" name="Frame49"/>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given” shall be deemed to include any notice to be “mailed” or “delivered,” as applicable, under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Global Security</w:t>
      </w:r>
      <w:r>
        <w:rPr>
          <w:color w:val="000000"/>
        </w:rPr>
        <w:t xml:space="preserve">” </w:t>
      </w:r>
      <w:r>
        <w:rPr>
          <w:rFonts w:ascii="Times New Roman;serif" w:hAnsi="Times New Roman;serif"/>
          <w:b w:val="false"/>
          <w:color w:val="000000"/>
          <w:sz w:val="24"/>
        </w:rPr>
        <w:t>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Governmental Obligations</w:t>
      </w:r>
      <w:r>
        <w:rPr>
          <w:color w:val="000000"/>
        </w:rPr>
        <w:t xml:space="preserve">” </w:t>
      </w:r>
      <w:r>
        <w:rPr>
          <w:rFonts w:ascii="Times New Roman;serif" w:hAnsi="Times New Roman;serif"/>
          <w:b w:val="false"/>
          <w:color w:val="000000"/>
          <w:sz w:val="24"/>
        </w:rPr>
        <w:t>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herein</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hereof</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hereunder</w:t>
      </w:r>
      <w:r>
        <w:rPr>
          <w:color w:val="000000"/>
        </w:rPr>
        <w:t>”</w:t>
      </w:r>
      <w:r>
        <w:rPr>
          <w:rFonts w:ascii="Times New Roman;serif" w:hAnsi="Times New Roman;serif"/>
          <w:b w:val="false"/>
          <w:color w:val="000000"/>
          <w:sz w:val="24"/>
        </w:rPr>
        <w:t>, and other words of similar import, refer to this Indenture as a whole and not to any particular Article, Section or other subdivision.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Indenture</w:t>
      </w:r>
      <w:r>
        <w:rPr>
          <w:color w:val="000000"/>
        </w:rPr>
        <w:t xml:space="preserve">” </w:t>
      </w:r>
      <w:r>
        <w:rPr>
          <w:rFonts w:ascii="Times New Roman;serif" w:hAnsi="Times New Roman;serif"/>
          <w:b w:val="false"/>
          <w:color w:val="000000"/>
          <w:sz w:val="24"/>
        </w:rPr>
        <w:t>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Interest Payment Date</w:t>
      </w:r>
      <w:r>
        <w:rPr>
          <w:color w:val="000000"/>
        </w:rPr>
        <w:t>”</w:t>
      </w:r>
      <w:r>
        <w:rPr>
          <w:rFonts w:ascii="Times New Roman;serif" w:hAnsi="Times New Roman;serif"/>
          <w:b w:val="false"/>
          <w:color w:val="000000"/>
          <w:sz w:val="24"/>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Officer</w:t>
      </w:r>
      <w:r>
        <w:rPr>
          <w:color w:val="000000"/>
        </w:rPr>
        <w:t xml:space="preserve">” </w:t>
      </w:r>
      <w:r>
        <w:rPr>
          <w:rFonts w:ascii="Times New Roman;serif" w:hAnsi="Times New Roman;serif"/>
          <w:b w:val="false"/>
          <w:color w:val="000000"/>
          <w:sz w:val="24"/>
        </w:rPr>
        <w:t>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Officer’s Certificate</w:t>
      </w:r>
      <w:r>
        <w:rPr>
          <w:color w:val="000000"/>
        </w:rPr>
        <w:t xml:space="preserve">” </w:t>
      </w:r>
      <w:r>
        <w:rPr>
          <w:rFonts w:ascii="Times New Roman;serif" w:hAnsi="Times New Roman;serif"/>
          <w:b w:val="false"/>
          <w:color w:val="000000"/>
          <w:sz w:val="24"/>
        </w:rPr>
        <w:t>means a certificate signed by any Officer. Each such certificate shall include the statements provided for in Section 13.07, if and to the extent required by the provisions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0675"/>
                <wp:effectExtent l="0" t="0" r="0" b="0"/>
                <wp:wrapNone/>
                <wp:docPr id="51" name="Frame50"/>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Opinion of Counsel</w:t>
      </w:r>
      <w:r>
        <w:rPr>
          <w:color w:val="000000"/>
        </w:rPr>
        <w:t xml:space="preserve">” </w:t>
      </w:r>
      <w:r>
        <w:rPr>
          <w:rFonts w:ascii="Times New Roman;serif" w:hAnsi="Times New Roman;serif"/>
          <w:b w:val="false"/>
          <w:color w:val="000000"/>
          <w:sz w:val="24"/>
        </w:rPr>
        <w:t>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Outstanding</w:t>
      </w:r>
      <w:r>
        <w:rPr>
          <w:color w:val="000000"/>
        </w:rPr>
        <w:t>”</w:t>
      </w:r>
      <w:r>
        <w:rPr>
          <w:rFonts w:ascii="Times New Roman;serif" w:hAnsi="Times New Roman;serif"/>
          <w:b w:val="false"/>
          <w:color w:val="000000"/>
          <w:sz w:val="24"/>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Predecessor Security</w:t>
      </w:r>
      <w:r>
        <w:rPr>
          <w:color w:val="000000"/>
        </w:rPr>
        <w:t xml:space="preserve">” </w:t>
      </w:r>
      <w:r>
        <w:rPr>
          <w:rFonts w:ascii="Times New Roman;serif" w:hAnsi="Times New Roman;serif"/>
          <w:b w:val="false"/>
          <w:color w:val="000000"/>
          <w:sz w:val="24"/>
        </w:rPr>
        <w:t>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Responsible Officer</w:t>
      </w:r>
      <w:r>
        <w:rPr>
          <w:color w:val="000000"/>
        </w:rPr>
        <w:t xml:space="preserve">” </w:t>
      </w:r>
      <w:r>
        <w:rPr>
          <w:rFonts w:ascii="Times New Roman;serif" w:hAnsi="Times New Roman;serif"/>
          <w:b w:val="false"/>
          <w:color w:val="000000"/>
          <w:sz w:val="24"/>
        </w:rPr>
        <w:t>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Securities</w:t>
      </w:r>
      <w:r>
        <w:rPr>
          <w:color w:val="000000"/>
        </w:rPr>
        <w:t xml:space="preserve">” </w:t>
      </w:r>
      <w:r>
        <w:rPr>
          <w:rFonts w:ascii="Times New Roman;serif" w:hAnsi="Times New Roman;serif"/>
          <w:b w:val="false"/>
          <w:color w:val="000000"/>
          <w:sz w:val="24"/>
        </w:rPr>
        <w:t>has the meaning stated in the first recital of this Indenture and more particularly means any Securities authenticated and delivered under this Indenture.</w:t>
      </w:r>
    </w:p>
    <w:p>
      <w:pPr>
        <w:pStyle w:val="TextBody"/>
        <w:bidi w:val="0"/>
        <w:spacing w:lineRule="auto" w:line="288" w:before="0" w:after="240"/>
        <w:jc w:val="left"/>
        <w:rPr/>
      </w:pPr>
      <w:r>
        <w:rPr>
          <w:color w:val="000000"/>
        </w:rPr>
        <w:t>    “</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88" w:before="0" w:after="240"/>
        <w:jc w:val="left"/>
        <w:rPr/>
      </w:pPr>
      <w:r>
        <w:rPr>
          <w:color w:val="000000"/>
        </w:rPr>
        <w:t>    “</w:t>
      </w:r>
      <w:r>
        <w:rPr>
          <w:rFonts w:ascii="Times New Roman;serif" w:hAnsi="Times New Roman;serif"/>
          <w:b/>
          <w:i/>
          <w:color w:val="000000"/>
          <w:sz w:val="24"/>
        </w:rPr>
        <w:t>Securityholder</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holder of Securities</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registered holder</w:t>
      </w:r>
      <w:r>
        <w:rPr>
          <w:color w:val="000000"/>
        </w:rPr>
        <w:t>”</w:t>
      </w:r>
      <w:r>
        <w:rPr>
          <w:rFonts w:ascii="Times New Roman;serif" w:hAnsi="Times New Roman;serif"/>
          <w:b w:val="false"/>
          <w:color w:val="000000"/>
          <w:sz w:val="24"/>
        </w:rPr>
        <w:t>, or other similar term, means the Person or Persons in whose name or names a particular Security is registered on the Security Register kept for that purpose in accordance with the terms of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0675"/>
                <wp:effectExtent l="0" t="0" r="0" b="0"/>
                <wp:wrapNone/>
                <wp:docPr id="52" name="Frame51"/>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Security Register</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Security Registrar</w:t>
      </w:r>
      <w:r>
        <w:rPr>
          <w:color w:val="000000"/>
        </w:rPr>
        <w:t xml:space="preserve">” </w:t>
      </w:r>
      <w:r>
        <w:rPr>
          <w:rFonts w:ascii="Times New Roman;serif" w:hAnsi="Times New Roman;serif"/>
          <w:b w:val="false"/>
          <w:color w:val="000000"/>
          <w:sz w:val="24"/>
        </w:rPr>
        <w:t>shall have the meanings as set forth in Section 2.05.</w:t>
      </w:r>
    </w:p>
    <w:p>
      <w:pPr>
        <w:pStyle w:val="TextBody"/>
        <w:bidi w:val="0"/>
        <w:spacing w:lineRule="auto" w:line="288" w:before="0" w:after="0"/>
        <w:ind w:left="0" w:right="0" w:firstLine="720"/>
        <w:jc w:val="left"/>
        <w:rPr/>
      </w:pP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Trustee</w:t>
      </w:r>
      <w:r>
        <w:rPr>
          <w:color w:val="000000"/>
        </w:rPr>
        <w:t xml:space="preserve">” </w:t>
      </w:r>
      <w:r>
        <w:rPr>
          <w:rFonts w:ascii="Times New Roman;serif" w:hAnsi="Times New Roman;serif"/>
          <w:b w:val="false"/>
          <w:color w:val="000000"/>
          <w:sz w:val="24"/>
        </w:rPr>
        <w:t>means _________________________,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Trust Indenture Act</w:t>
      </w:r>
      <w:r>
        <w:rPr>
          <w:color w:val="000000"/>
        </w:rPr>
        <w:t xml:space="preserve">” </w:t>
      </w:r>
      <w:r>
        <w:rPr>
          <w:rFonts w:ascii="Times New Roman;serif" w:hAnsi="Times New Roman;serif"/>
          <w:b w:val="false"/>
          <w:color w:val="000000"/>
          <w:sz w:val="24"/>
        </w:rPr>
        <w:t>means the Trust Indenture Act of 1939,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U.S.A. Patriot Act”</w:t>
      </w:r>
      <w:r>
        <w:rPr>
          <w:color w:val="000000"/>
        </w:rPr>
        <w:t xml:space="preserve"> </w:t>
      </w:r>
      <w:r>
        <w:rPr>
          <w:rFonts w:ascii="Times New Roman;serif" w:hAnsi="Times New Roman;serif"/>
          <w:b w:val="false"/>
          <w:color w:val="000000"/>
          <w:sz w:val="24"/>
        </w:rPr>
        <w:t xml:space="preserve">means the Uniting and Strengthening America by Providing Appropriate Tools Required to Intercept and Obstruct Terrorism Act of 2001, Pub. L. 107-56, as amended and signed into law October 26, 2001. </w:t>
      </w:r>
    </w:p>
    <w:p>
      <w:pPr>
        <w:pStyle w:val="TextBody"/>
        <w:bidi w:val="0"/>
        <w:spacing w:lineRule="atLeast" w:line="288" w:before="0" w:after="0"/>
        <w:jc w:val="center"/>
        <w:rPr/>
      </w:pPr>
      <w:bookmarkStart w:id="16" w:name="ifce08ae1a49048078cca3308f9289963"/>
      <w:bookmarkEnd w:id="16"/>
      <w:r>
        <w:rPr>
          <w:rFonts w:ascii="Times New Roman;serif" w:hAnsi="Times New Roman;serif"/>
          <w:b/>
          <w:color w:val="000000"/>
          <w:sz w:val="24"/>
        </w:rPr>
        <w:t>ARTICLE 2.</w:t>
      </w:r>
      <w:r>
        <w:rPr>
          <w:color w:val="000000"/>
        </w:rPr>
        <w:t xml:space="preserve"> </w:t>
      </w:r>
      <w:r>
        <w:rPr>
          <w:rFonts w:ascii="Times New Roman;serif" w:hAnsi="Times New Roman;serif"/>
          <w:b/>
          <w:color w:val="000000"/>
          <w:sz w:val="24"/>
        </w:rPr>
        <w:t>ISSUE, DESCRIPTION, TERMS, EXECUTION, REGISTRATION AND EXCHANGE OF SECURITIES</w:t>
      </w:r>
    </w:p>
    <w:p>
      <w:pPr>
        <w:pStyle w:val="TextBody"/>
        <w:bidi w:val="0"/>
        <w:spacing w:before="0" w:after="2"/>
        <w:jc w:val="center"/>
        <w:rPr/>
      </w:pPr>
      <w:r>
        <w:rPr/>
      </w:r>
    </w:p>
    <w:p>
      <w:pPr>
        <w:pStyle w:val="TextBody"/>
        <w:bidi w:val="0"/>
        <w:spacing w:lineRule="auto" w:line="288" w:before="0" w:after="240"/>
        <w:jc w:val="left"/>
        <w:rPr>
          <w:rFonts w:ascii="Times New Roman;serif" w:hAnsi="Times New Roman;serif"/>
          <w:b/>
          <w:color w:val="000000"/>
          <w:sz w:val="24"/>
        </w:rPr>
      </w:pPr>
      <w:bookmarkStart w:id="17" w:name="ic3e40541274f471889c4f306867dd216"/>
      <w:bookmarkEnd w:id="17"/>
      <w:r>
        <w:rPr>
          <w:rFonts w:ascii="Times New Roman;serif" w:hAnsi="Times New Roman;serif"/>
          <w:b/>
          <w:color w:val="000000"/>
          <w:sz w:val="24"/>
        </w:rPr>
        <w:t>Section 2.01.Designation and Terms of Securities.</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lineRule="auto" w:line="288" w:before="0" w:after="240"/>
        <w:ind w:left="0" w:right="0" w:hanging="360"/>
        <w:jc w:val="both"/>
        <w:rPr/>
      </w:pPr>
      <w:r>
        <w:rPr>
          <w:rFonts w:ascii="Times New Roman;serif" w:hAnsi="Times New Roman;serif"/>
          <w:b/>
          <w:color w:val="000000"/>
          <w:sz w:val="24"/>
        </w:rPr>
        <w:t>(1)</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title of the Securities of the series (which shall distinguish the Securities of that series from all other Securities); </w:t>
      </w:r>
    </w:p>
    <w:p>
      <w:pPr>
        <w:pStyle w:val="TextBody"/>
        <w:bidi w:val="0"/>
        <w:spacing w:lineRule="auto" w:line="288" w:before="0" w:after="2"/>
        <w:ind w:left="0" w:right="0" w:firstLine="360"/>
        <w:jc w:val="both"/>
        <w:rPr/>
      </w:pPr>
      <w:r>
        <w:rPr>
          <w:rFonts w:ascii="Times New Roman;serif" w:hAnsi="Times New Roman;serif"/>
          <w:b/>
          <w:color w:val="000000"/>
          <w:sz w:val="24"/>
        </w:rPr>
        <w:t>(2)</w:t>
      </w:r>
      <w:r>
        <w:rPr>
          <w:rFonts w:ascii="Times New Roman;serif" w:hAnsi="Times New Roman;serif"/>
          <w:b w:val="false"/>
          <w:color w:val="000000"/>
          <w:sz w:val="24"/>
        </w:rPr>
        <w:t xml:space="preserve">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before="0" w:after="2"/>
        <w:ind w:left="0" w:right="0" w:firstLine="2520"/>
        <w:jc w:val="both"/>
        <w:rPr/>
      </w:pPr>
      <w:r>
        <w:rPr/>
      </w:r>
    </w:p>
    <w:p>
      <w:pPr>
        <w:pStyle w:val="TextBody"/>
        <w:bidi w:val="0"/>
        <w:spacing w:lineRule="auto" w:line="288" w:before="0" w:after="240"/>
        <w:ind w:left="0" w:right="0" w:firstLine="360"/>
        <w:jc w:val="both"/>
        <w:rPr/>
      </w:pPr>
      <w:r>
        <w:rPr>
          <w:rFonts w:ascii="Times New Roman;serif" w:hAnsi="Times New Roman;serif"/>
          <w:b/>
          <w:color w:val="000000"/>
          <w:sz w:val="24"/>
        </w:rPr>
        <w:t>(3)</w:t>
      </w:r>
      <w:r>
        <w:rPr>
          <w:rFonts w:ascii="Times New Roman;serif" w:hAnsi="Times New Roman;serif"/>
          <w:b w:val="false"/>
          <w:color w:val="000000"/>
          <w:sz w:val="24"/>
        </w:rPr>
        <w:t xml:space="preserve">the maturity date or dates on which the principal of the Securities of the series is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0675"/>
                <wp:effectExtent l="0" t="0" r="0" b="0"/>
                <wp:wrapNone/>
                <wp:docPr id="53" name="Frame52"/>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360"/>
        <w:jc w:val="both"/>
        <w:rPr/>
      </w:pPr>
      <w:r>
        <w:rPr>
          <w:rFonts w:ascii="Times New Roman;serif" w:hAnsi="Times New Roman;serif"/>
          <w:b/>
          <w:color w:val="000000"/>
          <w:sz w:val="24"/>
        </w:rPr>
        <w:t>(4)</w:t>
      </w:r>
      <w:r>
        <w:rPr>
          <w:rFonts w:ascii="Times New Roman;serif" w:hAnsi="Times New Roman;serif"/>
          <w:b w:val="false"/>
          <w:color w:val="000000"/>
          <w:sz w:val="24"/>
        </w:rPr>
        <w:t xml:space="preserve">the form of the Securities of the series including the form of the certificate of authentication for such series; </w:t>
      </w:r>
    </w:p>
    <w:p>
      <w:pPr>
        <w:pStyle w:val="TextBody"/>
        <w:bidi w:val="0"/>
        <w:spacing w:lineRule="auto" w:line="288" w:before="0" w:after="240"/>
        <w:ind w:left="0" w:right="0" w:firstLine="360"/>
        <w:jc w:val="both"/>
        <w:rPr/>
      </w:pPr>
      <w:r>
        <w:rPr>
          <w:rFonts w:ascii="Times New Roman;serif" w:hAnsi="Times New Roman;serif"/>
          <w:b/>
          <w:color w:val="000000"/>
          <w:sz w:val="24"/>
        </w:rPr>
        <w:t>(5)</w:t>
      </w:r>
      <w:r>
        <w:rPr>
          <w:rFonts w:ascii="Times New Roman;serif" w:hAnsi="Times New Roman;serif"/>
          <w:b w:val="false"/>
          <w:color w:val="000000"/>
          <w:sz w:val="24"/>
        </w:rPr>
        <w:t>the applicability of any guarantees;</w:t>
      </w:r>
    </w:p>
    <w:p>
      <w:pPr>
        <w:pStyle w:val="TextBody"/>
        <w:bidi w:val="0"/>
        <w:spacing w:lineRule="auto" w:line="288" w:before="0" w:after="240"/>
        <w:ind w:left="0" w:right="0" w:firstLine="360"/>
        <w:jc w:val="both"/>
        <w:rPr/>
      </w:pPr>
      <w:r>
        <w:rPr>
          <w:rFonts w:ascii="Times New Roman;serif" w:hAnsi="Times New Roman;serif"/>
          <w:b/>
          <w:color w:val="000000"/>
          <w:sz w:val="24"/>
        </w:rPr>
        <w:t>(6)</w:t>
      </w:r>
      <w:r>
        <w:rPr>
          <w:rFonts w:ascii="Times New Roman;serif" w:hAnsi="Times New Roman;serif"/>
          <w:b w:val="false"/>
          <w:color w:val="000000"/>
          <w:sz w:val="24"/>
        </w:rPr>
        <w:t>whether or not the Securities will be secured or unsecured, and the terms of any secured debt;</w:t>
      </w:r>
    </w:p>
    <w:p>
      <w:pPr>
        <w:pStyle w:val="TextBody"/>
        <w:bidi w:val="0"/>
        <w:spacing w:lineRule="auto" w:line="288" w:before="0" w:after="240"/>
        <w:ind w:left="0" w:right="0" w:firstLine="360"/>
        <w:jc w:val="both"/>
        <w:rPr/>
      </w:pPr>
      <w:r>
        <w:rPr>
          <w:rFonts w:ascii="Times New Roman;serif" w:hAnsi="Times New Roman;serif"/>
          <w:b/>
          <w:color w:val="000000"/>
          <w:sz w:val="24"/>
        </w:rPr>
        <w:t>(7)</w:t>
      </w:r>
      <w:r>
        <w:rPr>
          <w:rFonts w:ascii="Times New Roman;serif" w:hAnsi="Times New Roman;serif"/>
          <w:b w:val="false"/>
          <w:color w:val="000000"/>
          <w:sz w:val="24"/>
        </w:rPr>
        <w:t>whether the Securities rank as senior debt, senior subordinated debt, subordinated debt or any combination thereof, and the terms of any subordination;</w:t>
      </w:r>
    </w:p>
    <w:p>
      <w:pPr>
        <w:pStyle w:val="TextBody"/>
        <w:bidi w:val="0"/>
        <w:spacing w:lineRule="auto" w:line="288" w:before="0" w:after="240"/>
        <w:ind w:left="0" w:right="0" w:firstLine="360"/>
        <w:jc w:val="both"/>
        <w:rPr/>
      </w:pPr>
      <w:r>
        <w:rPr>
          <w:rFonts w:ascii="Times New Roman;serif" w:hAnsi="Times New Roman;serif"/>
          <w:b/>
          <w:color w:val="000000"/>
          <w:sz w:val="24"/>
        </w:rPr>
        <w:t>(8)</w:t>
      </w:r>
      <w:r>
        <w:rPr>
          <w:rFonts w:ascii="Times New Roman;serif" w:hAnsi="Times New Roman;serif"/>
          <w:b w:val="false"/>
          <w:color w:val="000000"/>
          <w:sz w:val="24"/>
        </w:rPr>
        <w:t xml:space="preserve">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lineRule="auto" w:line="288" w:before="0" w:after="240"/>
        <w:ind w:left="0" w:right="0" w:firstLine="360"/>
        <w:jc w:val="both"/>
        <w:rPr/>
      </w:pPr>
      <w:r>
        <w:rPr>
          <w:rFonts w:ascii="Times New Roman;serif" w:hAnsi="Times New Roman;serif"/>
          <w:b/>
          <w:color w:val="000000"/>
          <w:sz w:val="24"/>
        </w:rPr>
        <w:t>(9)</w:t>
      </w:r>
      <w:r>
        <w:rPr>
          <w:rFonts w:ascii="Times New Roman;serif" w:hAnsi="Times New Roman;serif"/>
          <w:b w:val="false"/>
          <w:color w:val="000000"/>
          <w:sz w:val="24"/>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lineRule="auto" w:line="288" w:before="0" w:after="240"/>
        <w:ind w:left="0" w:right="0" w:firstLine="360"/>
        <w:jc w:val="both"/>
        <w:rPr/>
      </w:pPr>
      <w:r>
        <w:rPr>
          <w:rFonts w:ascii="Times New Roman;serif" w:hAnsi="Times New Roman;serif"/>
          <w:b/>
          <w:color w:val="000000"/>
          <w:sz w:val="24"/>
        </w:rPr>
        <w:t>(10)</w:t>
      </w:r>
      <w:r>
        <w:rPr>
          <w:rFonts w:ascii="Times New Roman;serif" w:hAnsi="Times New Roman;serif"/>
          <w:b w:val="false"/>
          <w:color w:val="000000"/>
          <w:sz w:val="24"/>
        </w:rPr>
        <w:t xml:space="preserve">the Company’s right, if any, to defer the payment of interest and the maximum length of any such deferral period; </w:t>
      </w:r>
    </w:p>
    <w:p>
      <w:pPr>
        <w:pStyle w:val="TextBody"/>
        <w:bidi w:val="0"/>
        <w:spacing w:lineRule="auto" w:line="288" w:before="0" w:after="240"/>
        <w:ind w:left="0" w:right="0" w:firstLine="360"/>
        <w:jc w:val="both"/>
        <w:rPr/>
      </w:pPr>
      <w:r>
        <w:rPr>
          <w:rFonts w:ascii="Times New Roman;serif" w:hAnsi="Times New Roman;serif"/>
          <w:b/>
          <w:color w:val="000000"/>
          <w:sz w:val="24"/>
        </w:rPr>
        <w:t>(11)</w:t>
      </w:r>
      <w:r>
        <w:rPr>
          <w:rFonts w:ascii="Times New Roman;serif" w:hAnsi="Times New Roman;serif"/>
          <w:b w:val="false"/>
          <w:color w:val="000000"/>
          <w:sz w:val="24"/>
        </w:rPr>
        <w:t xml:space="preserve">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lineRule="auto" w:line="288" w:before="0" w:after="240"/>
        <w:ind w:left="0" w:right="0" w:firstLine="360"/>
        <w:jc w:val="both"/>
        <w:rPr/>
      </w:pPr>
      <w:r>
        <w:rPr>
          <w:rFonts w:ascii="Times New Roman;serif" w:hAnsi="Times New Roman;serif"/>
          <w:b/>
          <w:color w:val="000000"/>
          <w:sz w:val="24"/>
        </w:rPr>
        <w:t>(12)</w:t>
      </w:r>
      <w:r>
        <w:rPr>
          <w:rFonts w:ascii="Times New Roman;serif" w:hAnsi="Times New Roman;serif"/>
          <w:b w:val="false"/>
          <w:color w:val="000000"/>
          <w:sz w:val="24"/>
        </w:rPr>
        <w:t xml:space="preserve">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lineRule="auto" w:line="288" w:before="0" w:after="240"/>
        <w:ind w:left="0" w:right="0" w:firstLine="360"/>
        <w:jc w:val="both"/>
        <w:rPr/>
      </w:pPr>
      <w:r>
        <w:rPr>
          <w:rFonts w:ascii="Times New Roman;serif" w:hAnsi="Times New Roman;serif"/>
          <w:b/>
          <w:color w:val="000000"/>
          <w:sz w:val="24"/>
        </w:rPr>
        <w:t>(13)</w:t>
      </w:r>
      <w:r>
        <w:rPr>
          <w:rFonts w:ascii="Times New Roman;serif" w:hAnsi="Times New Roman;serif"/>
          <w:b w:val="false"/>
          <w:color w:val="000000"/>
          <w:sz w:val="24"/>
        </w:rPr>
        <w:t xml:space="preserve">the denominations in which the Securities of the series shall be issuable, if other than denominations of one thousand U.S. dollars ($1,000) or any integral multiple thereof; </w:t>
      </w:r>
    </w:p>
    <w:p>
      <w:pPr>
        <w:pStyle w:val="TextBody"/>
        <w:bidi w:val="0"/>
        <w:spacing w:lineRule="auto" w:line="288" w:before="0" w:after="240"/>
        <w:ind w:left="0" w:right="0" w:firstLine="360"/>
        <w:jc w:val="both"/>
        <w:rPr/>
      </w:pPr>
      <w:r>
        <w:rPr>
          <w:rFonts w:ascii="Times New Roman;serif" w:hAnsi="Times New Roman;serif"/>
          <w:b/>
          <w:color w:val="000000"/>
          <w:sz w:val="24"/>
        </w:rPr>
        <w:t>(14)</w:t>
      </w:r>
      <w:r>
        <w:rPr>
          <w:rFonts w:ascii="Times New Roman;serif" w:hAnsi="Times New Roman;serif"/>
          <w:b w:val="false"/>
          <w:color w:val="000000"/>
          <w:sz w:val="24"/>
        </w:rPr>
        <w:t xml:space="preserve">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lineRule="auto" w:line="288" w:before="0" w:after="240"/>
        <w:ind w:left="0" w:right="0" w:firstLine="360"/>
        <w:jc w:val="both"/>
        <w:rPr/>
      </w:pPr>
      <w:r>
        <w:rPr>
          <w:rFonts w:ascii="Times New Roman;serif" w:hAnsi="Times New Roman;serif"/>
          <w:b/>
          <w:color w:val="000000"/>
          <w:sz w:val="24"/>
        </w:rPr>
        <w:t>(15)</w:t>
      </w:r>
      <w:r>
        <w:rPr>
          <w:rFonts w:ascii="Times New Roman;serif" w:hAnsi="Times New Roman;serif"/>
          <w:b w:val="false"/>
          <w:color w:val="000000"/>
          <w:sz w:val="24"/>
        </w:rPr>
        <w:t xml:space="preserve">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0675"/>
                <wp:effectExtent l="0" t="0" r="0" b="0"/>
                <wp:wrapNone/>
                <wp:docPr id="54" name="Frame53"/>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360"/>
        <w:jc w:val="both"/>
        <w:rPr/>
      </w:pPr>
      <w:r>
        <w:rPr>
          <w:rFonts w:ascii="Times New Roman;serif" w:hAnsi="Times New Roman;serif"/>
          <w:b/>
          <w:color w:val="000000"/>
          <w:sz w:val="24"/>
        </w:rPr>
        <w:t>(16)</w:t>
      </w:r>
      <w:r>
        <w:rPr>
          <w:rFonts w:ascii="Times New Roman;serif" w:hAnsi="Times New Roman;serif"/>
          <w:b w:val="false"/>
          <w:color w:val="000000"/>
          <w:sz w:val="24"/>
        </w:rPr>
        <w:t xml:space="preserve">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lineRule="auto" w:line="288" w:before="0" w:after="240"/>
        <w:ind w:left="0" w:right="0" w:firstLine="360"/>
        <w:jc w:val="both"/>
        <w:rPr/>
      </w:pPr>
      <w:r>
        <w:rPr>
          <w:rFonts w:ascii="Times New Roman;serif" w:hAnsi="Times New Roman;serif"/>
          <w:b/>
          <w:color w:val="000000"/>
          <w:sz w:val="24"/>
        </w:rPr>
        <w:t>(17)</w:t>
      </w:r>
      <w:r>
        <w:rPr>
          <w:rFonts w:ascii="Times New Roman;serif" w:hAnsi="Times New Roman;serif"/>
          <w:b w:val="false"/>
          <w:color w:val="000000"/>
          <w:sz w:val="24"/>
        </w:rPr>
        <w:t xml:space="preserve">if other than the full principal amount thereof, the portion of the principal amount of Securities of the series which shall be payable upon declaration of acceleration of the maturity thereof pursuant to Section 6.01; </w:t>
      </w:r>
    </w:p>
    <w:p>
      <w:pPr>
        <w:pStyle w:val="TextBody"/>
        <w:bidi w:val="0"/>
        <w:spacing w:lineRule="auto" w:line="288" w:before="0" w:after="240"/>
        <w:ind w:left="0" w:right="0" w:firstLine="360"/>
        <w:jc w:val="both"/>
        <w:rPr/>
      </w:pPr>
      <w:r>
        <w:rPr>
          <w:rFonts w:ascii="Times New Roman;serif" w:hAnsi="Times New Roman;serif"/>
          <w:b/>
          <w:color w:val="000000"/>
          <w:sz w:val="24"/>
        </w:rPr>
        <w:t>(18)</w:t>
      </w:r>
      <w:r>
        <w:rPr>
          <w:rFonts w:ascii="Times New Roman;serif" w:hAnsi="Times New Roman;serif"/>
          <w:b w:val="false"/>
          <w:color w:val="000000"/>
          <w:sz w:val="24"/>
        </w:rPr>
        <w:t>additions to or changes in the covenants applicable to the series of Securities being issued, including, among others, the consolidation, merger or sale covenant;</w:t>
      </w:r>
    </w:p>
    <w:p>
      <w:pPr>
        <w:pStyle w:val="TextBody"/>
        <w:bidi w:val="0"/>
        <w:spacing w:lineRule="auto" w:line="288" w:before="0" w:after="240"/>
        <w:ind w:left="0" w:right="0" w:firstLine="360"/>
        <w:jc w:val="both"/>
        <w:rPr/>
      </w:pPr>
      <w:r>
        <w:rPr>
          <w:rFonts w:ascii="Times New Roman;serif" w:hAnsi="Times New Roman;serif"/>
          <w:b/>
          <w:color w:val="000000"/>
          <w:sz w:val="24"/>
        </w:rPr>
        <w:t>(19)</w:t>
      </w:r>
      <w:r>
        <w:rPr>
          <w:rFonts w:ascii="Times New Roman;serif" w:hAnsi="Times New Roman;serif"/>
          <w:b w:val="false"/>
          <w:color w:val="000000"/>
          <w:sz w:val="24"/>
        </w:rPr>
        <w:t xml:space="preserve">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lineRule="auto" w:line="288" w:before="0" w:after="240"/>
        <w:ind w:left="0" w:right="0" w:firstLine="360"/>
        <w:jc w:val="both"/>
        <w:rPr/>
      </w:pPr>
      <w:r>
        <w:rPr>
          <w:rFonts w:ascii="Times New Roman;serif" w:hAnsi="Times New Roman;serif"/>
          <w:b/>
          <w:color w:val="000000"/>
          <w:sz w:val="24"/>
        </w:rPr>
        <w:t>(20)</w:t>
      </w:r>
      <w:r>
        <w:rPr>
          <w:rFonts w:ascii="Times New Roman;serif" w:hAnsi="Times New Roman;serif"/>
          <w:b w:val="false"/>
          <w:color w:val="000000"/>
          <w:sz w:val="24"/>
        </w:rPr>
        <w:t xml:space="preserve">additions to or changes in or deletions of the provisions relating to covenant defeasance and legal defeasance; </w:t>
      </w:r>
    </w:p>
    <w:p>
      <w:pPr>
        <w:pStyle w:val="TextBody"/>
        <w:bidi w:val="0"/>
        <w:spacing w:lineRule="auto" w:line="288" w:before="0" w:after="240"/>
        <w:ind w:left="0" w:right="0" w:firstLine="360"/>
        <w:jc w:val="both"/>
        <w:rPr/>
      </w:pPr>
      <w:r>
        <w:rPr>
          <w:rFonts w:ascii="Times New Roman;serif" w:hAnsi="Times New Roman;serif"/>
          <w:b/>
          <w:color w:val="000000"/>
          <w:sz w:val="24"/>
        </w:rPr>
        <w:t>(21)</w:t>
      </w:r>
      <w:r>
        <w:rPr>
          <w:rFonts w:ascii="Times New Roman;serif" w:hAnsi="Times New Roman;serif"/>
          <w:b w:val="false"/>
          <w:color w:val="000000"/>
          <w:sz w:val="24"/>
        </w:rPr>
        <w:t xml:space="preserve">additions to or changes in the provisions relating to satisfaction and discharge of this Indenture; </w:t>
      </w:r>
    </w:p>
    <w:p>
      <w:pPr>
        <w:pStyle w:val="TextBody"/>
        <w:bidi w:val="0"/>
        <w:spacing w:lineRule="auto" w:line="288" w:before="0" w:after="240"/>
        <w:ind w:left="0" w:right="0" w:firstLine="360"/>
        <w:jc w:val="both"/>
        <w:rPr/>
      </w:pPr>
      <w:r>
        <w:rPr>
          <w:rFonts w:ascii="Times New Roman;serif" w:hAnsi="Times New Roman;serif"/>
          <w:b/>
          <w:color w:val="000000"/>
          <w:sz w:val="24"/>
        </w:rPr>
        <w:t>(22)</w:t>
      </w:r>
      <w:r>
        <w:rPr>
          <w:rFonts w:ascii="Times New Roman;serif" w:hAnsi="Times New Roman;serif"/>
          <w:b w:val="false"/>
          <w:color w:val="000000"/>
          <w:sz w:val="24"/>
        </w:rPr>
        <w:t>additions to or changes in the provisions relating to the modification of this Indenture both with and without the consent of Securityholders of Securities issued under this Indenture;</w:t>
      </w:r>
    </w:p>
    <w:p>
      <w:pPr>
        <w:pStyle w:val="TextBody"/>
        <w:bidi w:val="0"/>
        <w:spacing w:lineRule="auto" w:line="288" w:before="0" w:after="240"/>
        <w:ind w:left="0" w:right="0" w:firstLine="360"/>
        <w:jc w:val="both"/>
        <w:rPr/>
      </w:pPr>
      <w:r>
        <w:rPr>
          <w:rFonts w:ascii="Times New Roman;serif" w:hAnsi="Times New Roman;serif"/>
          <w:b/>
          <w:color w:val="000000"/>
          <w:sz w:val="24"/>
        </w:rPr>
        <w:t>(23)</w:t>
      </w:r>
      <w:r>
        <w:rPr>
          <w:rFonts w:ascii="Times New Roman;serif" w:hAnsi="Times New Roman;serif"/>
          <w:b w:val="false"/>
          <w:color w:val="000000"/>
          <w:sz w:val="24"/>
        </w:rPr>
        <w:t>the currency of payment of Securities if other than U.S. dollars and the manner of determining the equivalent amount in U.S. dollars;</w:t>
      </w:r>
    </w:p>
    <w:p>
      <w:pPr>
        <w:pStyle w:val="TextBody"/>
        <w:bidi w:val="0"/>
        <w:spacing w:lineRule="auto" w:line="288" w:before="0" w:after="240"/>
        <w:ind w:left="0" w:right="0" w:firstLine="360"/>
        <w:jc w:val="both"/>
        <w:rPr/>
      </w:pPr>
      <w:r>
        <w:rPr>
          <w:rFonts w:ascii="Times New Roman;serif" w:hAnsi="Times New Roman;serif"/>
          <w:b/>
          <w:color w:val="000000"/>
          <w:sz w:val="24"/>
        </w:rPr>
        <w:t>(24)</w:t>
      </w:r>
      <w:r>
        <w:rPr>
          <w:rFonts w:ascii="Times New Roman;serif" w:hAnsi="Times New Roman;serif"/>
          <w:b w:val="false"/>
          <w:color w:val="000000"/>
          <w:sz w:val="24"/>
        </w:rPr>
        <w:t>whether interest will be payable in cash or additional Securities at the Company’s or the Securityholders’ option and the terms and conditions upon which the election may be made;</w:t>
      </w:r>
    </w:p>
    <w:p>
      <w:pPr>
        <w:pStyle w:val="TextBody"/>
        <w:bidi w:val="0"/>
        <w:spacing w:lineRule="auto" w:line="288" w:before="0" w:after="240"/>
        <w:ind w:left="0" w:right="0" w:firstLine="360"/>
        <w:jc w:val="both"/>
        <w:rPr/>
      </w:pPr>
      <w:r>
        <w:rPr>
          <w:rFonts w:ascii="Times New Roman;serif" w:hAnsi="Times New Roman;serif"/>
          <w:b/>
          <w:color w:val="000000"/>
          <w:sz w:val="24"/>
        </w:rPr>
        <w:t>(25)</w:t>
      </w:r>
      <w:r>
        <w:rPr>
          <w:rFonts w:ascii="Times New Roman;serif" w:hAnsi="Times New Roman;serif"/>
          <w:b w:val="false"/>
          <w:color w:val="000000"/>
          <w:sz w:val="24"/>
        </w:rPr>
        <w:t xml:space="preserve">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lineRule="auto" w:line="288" w:before="0" w:after="240"/>
        <w:ind w:left="0" w:right="0" w:firstLine="360"/>
        <w:jc w:val="both"/>
        <w:rPr/>
      </w:pPr>
      <w:r>
        <w:rPr>
          <w:rFonts w:ascii="Times New Roman;serif" w:hAnsi="Times New Roman;serif"/>
          <w:b/>
          <w:color w:val="000000"/>
          <w:sz w:val="24"/>
        </w:rPr>
        <w:t>(26)</w:t>
      </w:r>
      <w:r>
        <w:rPr>
          <w:rFonts w:ascii="Times New Roman;serif" w:hAnsi="Times New Roman;serif"/>
          <w:b w:val="false"/>
          <w:color w:val="000000"/>
          <w:sz w:val="24"/>
        </w:rPr>
        <w:t>any restrictions on transfer, sale or assignment of the Securities of the series;</w:t>
      </w:r>
      <w:r>
        <w:rPr>
          <w:color w:val="000000"/>
        </w:rPr>
        <w:t xml:space="preserve"> </w:t>
      </w:r>
      <w:r>
        <w:rPr>
          <w:rFonts w:ascii="Times New Roman;serif" w:hAnsi="Times New Roman;serif"/>
          <w:b w:val="false"/>
          <w:color w:val="000000"/>
          <w:sz w:val="24"/>
        </w:rPr>
        <w:t>and</w:t>
      </w:r>
    </w:p>
    <w:p>
      <w:pPr>
        <w:pStyle w:val="TextBody"/>
        <w:bidi w:val="0"/>
        <w:spacing w:lineRule="auto" w:line="288" w:before="0" w:after="240"/>
        <w:ind w:left="0" w:right="0" w:firstLine="360"/>
        <w:jc w:val="both"/>
        <w:rPr/>
      </w:pPr>
      <w:r>
        <w:rPr>
          <w:rFonts w:ascii="Times New Roman;serif" w:hAnsi="Times New Roman;serif"/>
          <w:b/>
          <w:color w:val="000000"/>
          <w:sz w:val="24"/>
        </w:rPr>
        <w:t>(27)</w:t>
      </w:r>
      <w:r>
        <w:rPr>
          <w:rFonts w:ascii="Times New Roman;serif" w:hAnsi="Times New Roman;serif"/>
          <w:b w:val="false"/>
          <w:color w:val="000000"/>
          <w:sz w:val="24"/>
        </w:rPr>
        <w:t>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0675"/>
                <wp:effectExtent l="0" t="0" r="0" b="0"/>
                <wp:wrapNone/>
                <wp:docPr id="55" name="Frame54"/>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All Securities of any one series shall be substantially identical except as may otherwise be provided in or pursuant to any such Board Resolution or in any indentures supplemental hereto.</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lineRule="auto" w:line="288" w:before="0" w:after="240"/>
        <w:jc w:val="left"/>
        <w:rPr>
          <w:rFonts w:ascii="Times New Roman;serif" w:hAnsi="Times New Roman;serif"/>
          <w:b/>
          <w:color w:val="000000"/>
          <w:sz w:val="24"/>
        </w:rPr>
      </w:pPr>
      <w:bookmarkStart w:id="18" w:name="i6f3157a2159244c4886c5cabc7a85fe4"/>
      <w:bookmarkEnd w:id="18"/>
      <w:r>
        <w:rPr>
          <w:rFonts w:ascii="Times New Roman;serif" w:hAnsi="Times New Roman;serif"/>
          <w:b/>
          <w:color w:val="000000"/>
          <w:sz w:val="24"/>
        </w:rPr>
        <w:t>Section 2.02.Form of Securities and Trustee’s Certificate.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lineRule="auto" w:line="288" w:before="0" w:after="240"/>
        <w:jc w:val="left"/>
        <w:rPr>
          <w:rFonts w:ascii="Times New Roman;serif" w:hAnsi="Times New Roman;serif"/>
          <w:b/>
          <w:color w:val="000000"/>
          <w:sz w:val="24"/>
        </w:rPr>
      </w:pPr>
      <w:bookmarkStart w:id="19" w:name="i8cac2cde54454c24a4014d2c96f7e9a0"/>
      <w:bookmarkEnd w:id="19"/>
      <w:r>
        <w:rPr>
          <w:rFonts w:ascii="Times New Roman;serif" w:hAnsi="Times New Roman;serif"/>
          <w:b/>
          <w:color w:val="000000"/>
          <w:sz w:val="24"/>
        </w:rPr>
        <w:t>Section 2.03.Denominations: Provisions for Payment.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0675"/>
                <wp:effectExtent l="0" t="0" r="0" b="0"/>
                <wp:wrapNone/>
                <wp:docPr id="56" name="Frame55"/>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lineRule="auto" w:line="288" w:before="0" w:after="240"/>
        <w:ind w:left="0" w:right="0" w:firstLine="2160"/>
        <w:jc w:val="both"/>
        <w:rPr/>
      </w:pPr>
      <w:r>
        <w:rPr>
          <w:rFonts w:ascii="Times New Roman;serif" w:hAnsi="Times New Roman;serif"/>
          <w:b/>
          <w:color w:val="000000"/>
          <w:sz w:val="24"/>
        </w:rPr>
        <w:t>(1)</w:t>
      </w:r>
      <w:r>
        <w:rPr>
          <w:rFonts w:ascii="Times New Roman;serif" w:hAnsi="Times New Roman;serif"/>
          <w:b w:val="false"/>
          <w:color w:val="000000"/>
          <w:sz w:val="24"/>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pStyle w:val="TextBody"/>
        <w:bidi w:val="0"/>
        <w:spacing w:lineRule="auto" w:line="288" w:before="0" w:after="240"/>
        <w:ind w:left="0" w:right="0" w:firstLine="2160"/>
        <w:jc w:val="both"/>
        <w:rPr/>
      </w:pPr>
      <w:r>
        <w:rPr>
          <w:rFonts w:ascii="Times New Roman;serif" w:hAnsi="Times New Roman;serif"/>
          <w:b/>
          <w:color w:val="000000"/>
          <w:sz w:val="24"/>
        </w:rPr>
        <w:t>(2)</w:t>
      </w:r>
      <w:r>
        <w:rPr>
          <w:rFonts w:ascii="Times New Roman;serif" w:hAnsi="Times New Roman;serif"/>
          <w:b w:val="false"/>
          <w:color w:val="000000"/>
          <w:sz w:val="24"/>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0675"/>
                <wp:effectExtent l="0" t="0" r="0" b="0"/>
                <wp:wrapNone/>
                <wp:docPr id="57" name="Frame56"/>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lineRule="auto" w:line="288" w:before="0" w:after="240"/>
        <w:jc w:val="left"/>
        <w:rPr>
          <w:rFonts w:ascii="Times New Roman;serif" w:hAnsi="Times New Roman;serif"/>
          <w:b/>
          <w:color w:val="000000"/>
          <w:sz w:val="24"/>
        </w:rPr>
      </w:pPr>
      <w:bookmarkStart w:id="20" w:name="i2caa9bcbd842485f87878a6728ea859d"/>
      <w:bookmarkEnd w:id="20"/>
      <w:r>
        <w:rPr>
          <w:rFonts w:ascii="Times New Roman;serif" w:hAnsi="Times New Roman;serif"/>
          <w:b/>
          <w:color w:val="000000"/>
          <w:sz w:val="24"/>
        </w:rPr>
        <w:t>Section 2.04.Execution and Authentications.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shall be signed on behalf of the Company by one of its Officers. Signatures may be in the form of a manual or facsimile 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lineRule="auto" w:line="288" w:before="0" w:after="240"/>
        <w:jc w:val="left"/>
        <w:rPr>
          <w:rFonts w:ascii="Times New Roman;serif" w:hAnsi="Times New Roman;serif"/>
          <w:b/>
          <w:color w:val="000000"/>
          <w:sz w:val="24"/>
        </w:rPr>
      </w:pPr>
      <w:bookmarkStart w:id="21" w:name="ie57ca9306b1240b1907438ca8b23dcab"/>
      <w:bookmarkEnd w:id="21"/>
      <w:r>
        <w:rPr>
          <w:rFonts w:ascii="Times New Roman;serif" w:hAnsi="Times New Roman;serif"/>
          <w:b/>
          <w:color w:val="000000"/>
          <w:sz w:val="24"/>
        </w:rPr>
        <w:t>Section 2.05.Registration of Transfer and Exchange.</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Securities of any series may be exchanged upon presentation thereof at the office or agency of the Company designated for such purpose, for other Securities of such series of authorized denominations, and for a like aggregate principal amount, upon payment of a sum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0675"/>
                <wp:effectExtent l="0" t="0" r="0" b="0"/>
                <wp:wrapNone/>
                <wp:docPr id="58" name="Frame57"/>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initially appoints the Trustee as Security Registrar for each series of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lineRule="auto" w:line="288"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0675"/>
                <wp:effectExtent l="0" t="0" r="0" b="0"/>
                <wp:wrapNone/>
                <wp:docPr id="59" name="Frame58"/>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lineRule="auto" w:line="288" w:before="0" w:after="240"/>
        <w:jc w:val="left"/>
        <w:rPr>
          <w:rFonts w:ascii="Times New Roman;serif" w:hAnsi="Times New Roman;serif"/>
          <w:b/>
          <w:color w:val="000000"/>
          <w:sz w:val="24"/>
        </w:rPr>
      </w:pPr>
      <w:bookmarkStart w:id="22" w:name="i5b83f7762f174ce692c8d764c6232d9a"/>
      <w:bookmarkEnd w:id="22"/>
      <w:r>
        <w:rPr>
          <w:rFonts w:ascii="Times New Roman;serif" w:hAnsi="Times New Roman;serif"/>
          <w:b/>
          <w:color w:val="000000"/>
          <w:sz w:val="24"/>
        </w:rPr>
        <w:t>Section 2.06.Temporary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lineRule="auto" w:line="288" w:before="0" w:after="240"/>
        <w:jc w:val="left"/>
        <w:rPr>
          <w:rFonts w:ascii="Times New Roman;serif" w:hAnsi="Times New Roman;serif"/>
          <w:b/>
          <w:color w:val="000000"/>
          <w:sz w:val="24"/>
        </w:rPr>
      </w:pPr>
      <w:bookmarkStart w:id="23" w:name="ida25047392b34e1993c8dce9ef730116"/>
      <w:bookmarkEnd w:id="23"/>
      <w:r>
        <w:rPr>
          <w:rFonts w:ascii="Times New Roman;serif" w:hAnsi="Times New Roman;serif"/>
          <w:b/>
          <w:color w:val="000000"/>
          <w:sz w:val="24"/>
        </w:rPr>
        <w:t>Section 2.07.Mutilated, Destroyed, Lost or Stolen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0675"/>
                <wp:effectExtent l="0" t="0" r="0" b="0"/>
                <wp:wrapNone/>
                <wp:docPr id="60" name="Frame59"/>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relation thereto and any other expenses (including the fees and expenses of the Trustee) connected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lineRule="auto" w:line="288" w:before="0" w:after="240"/>
        <w:jc w:val="left"/>
        <w:rPr>
          <w:rFonts w:ascii="Times New Roman;serif" w:hAnsi="Times New Roman;serif"/>
          <w:b/>
          <w:color w:val="000000"/>
          <w:sz w:val="24"/>
        </w:rPr>
      </w:pPr>
      <w:bookmarkStart w:id="24" w:name="i59639680f31f4c7ea7000ee329f33e02"/>
      <w:bookmarkEnd w:id="24"/>
      <w:r>
        <w:rPr>
          <w:rFonts w:ascii="Times New Roman;serif" w:hAnsi="Times New Roman;serif"/>
          <w:b/>
          <w:color w:val="000000"/>
          <w:sz w:val="24"/>
        </w:rPr>
        <w:t>Section 2.08.Cancellation.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lineRule="auto" w:line="288" w:before="0" w:after="240"/>
        <w:jc w:val="left"/>
        <w:rPr>
          <w:rFonts w:ascii="Times New Roman;serif" w:hAnsi="Times New Roman;serif"/>
          <w:b/>
          <w:color w:val="000000"/>
          <w:sz w:val="24"/>
        </w:rPr>
      </w:pPr>
      <w:bookmarkStart w:id="25" w:name="i70db56b8ffa94de2976a02ed43f4b39a"/>
      <w:bookmarkEnd w:id="25"/>
      <w:r>
        <w:rPr>
          <w:rFonts w:ascii="Times New Roman;serif" w:hAnsi="Times New Roman;serif"/>
          <w:b/>
          <w:color w:val="000000"/>
          <w:sz w:val="24"/>
        </w:rPr>
        <w:t>Section 2.09.Benefits of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lineRule="auto" w:line="288" w:before="0" w:after="240"/>
        <w:jc w:val="left"/>
        <w:rPr>
          <w:rFonts w:ascii="Times New Roman;serif" w:hAnsi="Times New Roman;serif"/>
          <w:b/>
          <w:color w:val="000000"/>
          <w:sz w:val="24"/>
        </w:rPr>
      </w:pPr>
      <w:bookmarkStart w:id="26" w:name="id330a1d052e04c408c38bc830007c482"/>
      <w:bookmarkEnd w:id="26"/>
      <w:r>
        <w:rPr>
          <w:rFonts w:ascii="Times New Roman;serif" w:hAnsi="Times New Roman;serif"/>
          <w:b/>
          <w:color w:val="000000"/>
          <w:sz w:val="24"/>
        </w:rPr>
        <w:t>Section 2.10.Authenticating Agent.</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0675"/>
                <wp:effectExtent l="0" t="0" r="0" b="0"/>
                <wp:wrapNone/>
                <wp:docPr id="61" name="Frame60"/>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lineRule="auto" w:line="288" w:before="0" w:after="240"/>
        <w:jc w:val="left"/>
        <w:rPr>
          <w:rFonts w:ascii="Times New Roman;serif" w:hAnsi="Times New Roman;serif"/>
          <w:b/>
          <w:color w:val="000000"/>
          <w:sz w:val="24"/>
        </w:rPr>
      </w:pPr>
      <w:bookmarkStart w:id="27" w:name="i4d9bf99159f846ef9fdf120ef203703b"/>
      <w:bookmarkEnd w:id="27"/>
      <w:r>
        <w:rPr>
          <w:rFonts w:ascii="Times New Roman;serif" w:hAnsi="Times New Roman;serif"/>
          <w:b/>
          <w:color w:val="000000"/>
          <w:sz w:val="24"/>
        </w:rPr>
        <w:t>Section 2.11.Global Securities.</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0675"/>
                <wp:effectExtent l="0" t="0" r="0" b="0"/>
                <wp:wrapNone/>
                <wp:docPr id="62" name="Frame61"/>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lineRule="auto" w:line="288" w:before="0" w:after="240"/>
        <w:jc w:val="left"/>
        <w:rPr>
          <w:rFonts w:ascii="Times New Roman;serif" w:hAnsi="Times New Roman;serif"/>
          <w:b/>
          <w:color w:val="000000"/>
          <w:sz w:val="24"/>
        </w:rPr>
      </w:pPr>
      <w:bookmarkStart w:id="28" w:name="i8a40cb4ace6947a0977d45c35e6eab0d"/>
      <w:bookmarkEnd w:id="28"/>
      <w:r>
        <w:rPr>
          <w:rFonts w:ascii="Times New Roman;serif" w:hAnsi="Times New Roman;serif"/>
          <w:b/>
          <w:color w:val="000000"/>
          <w:sz w:val="24"/>
        </w:rPr>
        <w:t>Section 2.12.CUSIP Numbers.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pStyle w:val="TextBody"/>
        <w:bidi w:val="0"/>
        <w:spacing w:before="0" w:after="240"/>
        <w:ind w:left="0" w:right="0" w:firstLine="720"/>
        <w:jc w:val="both"/>
        <w:rPr/>
      </w:pPr>
      <w:r>
        <w:rPr/>
      </w:r>
    </w:p>
    <w:p>
      <w:pPr>
        <w:pStyle w:val="TextBody"/>
        <w:bidi w:val="0"/>
        <w:spacing w:lineRule="atLeast" w:line="288" w:before="0" w:after="0"/>
        <w:jc w:val="center"/>
        <w:rPr/>
      </w:pPr>
      <w:bookmarkStart w:id="29" w:name="id23953f3f7f0495cb69d6d0a350ecb24"/>
      <w:bookmarkEnd w:id="29"/>
      <w:r>
        <w:rPr>
          <w:rFonts w:ascii="Times New Roman;serif" w:hAnsi="Times New Roman;serif"/>
          <w:b/>
          <w:color w:val="000000"/>
          <w:sz w:val="24"/>
        </w:rPr>
        <w:t>ARTICLE 3.</w:t>
      </w:r>
      <w:r>
        <w:rPr>
          <w:color w:val="000000"/>
        </w:rPr>
        <w:t xml:space="preserve"> </w:t>
      </w:r>
      <w:r>
        <w:rPr>
          <w:rFonts w:ascii="Times New Roman;serif" w:hAnsi="Times New Roman;serif"/>
          <w:b/>
          <w:color w:val="000000"/>
          <w:sz w:val="24"/>
        </w:rPr>
        <w:t>REDEMPTION OF SECURITIES AND SINKING FUND PROVISIONS</w:t>
      </w:r>
    </w:p>
    <w:p>
      <w:pPr>
        <w:pStyle w:val="TextBody"/>
        <w:bidi w:val="0"/>
        <w:spacing w:before="0" w:after="2"/>
        <w:jc w:val="center"/>
        <w:rPr/>
      </w:pPr>
      <w:r>
        <w:rPr/>
      </w:r>
    </w:p>
    <w:p>
      <w:pPr>
        <w:pStyle w:val="TextBody"/>
        <w:bidi w:val="0"/>
        <w:spacing w:lineRule="auto" w:line="288" w:before="0" w:after="240"/>
        <w:jc w:val="left"/>
        <w:rPr>
          <w:rFonts w:ascii="Times New Roman;serif" w:hAnsi="Times New Roman;serif"/>
          <w:b/>
          <w:color w:val="000000"/>
          <w:sz w:val="24"/>
        </w:rPr>
      </w:pPr>
      <w:bookmarkStart w:id="30" w:name="i45aed0f4f0ae4d59a8133ff4153b8f82"/>
      <w:bookmarkEnd w:id="30"/>
      <w:r>
        <w:rPr>
          <w:rFonts w:ascii="Times New Roman;serif" w:hAnsi="Times New Roman;serif"/>
          <w:b/>
          <w:color w:val="000000"/>
          <w:sz w:val="24"/>
        </w:rPr>
        <w:t>Section 3.01.Redemption.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0675"/>
                <wp:effectExtent l="0" t="0" r="0" b="0"/>
                <wp:wrapNone/>
                <wp:docPr id="63" name="Frame62"/>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redeem the Securities of any series issued hereunder on and after the dates and in accordance with the terms established for such series pursuant to Section 2.01 hereof.</w:t>
      </w:r>
    </w:p>
    <w:p>
      <w:pPr>
        <w:pStyle w:val="TextBody"/>
        <w:bidi w:val="0"/>
        <w:spacing w:lineRule="auto" w:line="288" w:before="0" w:after="240"/>
        <w:jc w:val="left"/>
        <w:rPr>
          <w:rFonts w:ascii="Times New Roman;serif" w:hAnsi="Times New Roman;serif"/>
          <w:b/>
          <w:color w:val="000000"/>
          <w:sz w:val="24"/>
        </w:rPr>
      </w:pPr>
      <w:bookmarkStart w:id="31" w:name="i810870d2306c4a2ebe05e17564dd658d"/>
      <w:bookmarkEnd w:id="31"/>
      <w:r>
        <w:rPr>
          <w:rFonts w:ascii="Times New Roman;serif" w:hAnsi="Times New Roman;serif"/>
          <w:b/>
          <w:color w:val="000000"/>
          <w:sz w:val="24"/>
        </w:rPr>
        <w:t>Section 3.02.Notice of Redemption.</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 xml:space="preserve">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0675"/>
                <wp:effectExtent l="0" t="0" r="0" b="0"/>
                <wp:wrapNone/>
                <wp:docPr id="64" name="Frame63"/>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lineRule="auto" w:line="288" w:before="0" w:after="240"/>
        <w:jc w:val="left"/>
        <w:rPr>
          <w:rFonts w:ascii="Times New Roman;serif" w:hAnsi="Times New Roman;serif"/>
          <w:b/>
          <w:color w:val="000000"/>
          <w:sz w:val="24"/>
        </w:rPr>
      </w:pPr>
      <w:bookmarkStart w:id="32" w:name="ie3674a5ce4074276b633c38e05bf423a"/>
      <w:bookmarkEnd w:id="32"/>
      <w:r>
        <w:rPr>
          <w:rFonts w:ascii="Times New Roman;serif" w:hAnsi="Times New Roman;serif"/>
          <w:b/>
          <w:color w:val="000000"/>
          <w:sz w:val="24"/>
        </w:rPr>
        <w:t>Section 3.03.Payment Upon Redemption.</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pStyle w:val="TextBody"/>
        <w:bidi w:val="0"/>
        <w:spacing w:lineRule="auto" w:line="288" w:before="0" w:after="240"/>
        <w:jc w:val="left"/>
        <w:rPr>
          <w:rFonts w:ascii="Times New Roman;serif" w:hAnsi="Times New Roman;serif"/>
          <w:b/>
          <w:color w:val="000000"/>
          <w:sz w:val="24"/>
        </w:rPr>
      </w:pPr>
      <w:bookmarkStart w:id="33" w:name="i3f2147184cd341099327f41fa2413d08"/>
      <w:bookmarkEnd w:id="33"/>
      <w:r>
        <w:rPr>
          <w:rFonts w:ascii="Times New Roman;serif" w:hAnsi="Times New Roman;serif"/>
          <w:b/>
          <w:color w:val="000000"/>
          <w:sz w:val="24"/>
        </w:rPr>
        <w:t>Section 3.04.Sinking Fund.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0675"/>
                <wp:effectExtent l="0" t="0" r="0" b="0"/>
                <wp:wrapNone/>
                <wp:docPr id="65" name="Frame64"/>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reduction as provided in Section 3.05. Each sinking fund payment shall be applied to the redemption of Securities of any series as provided for by the terms of Securities of such series.</w:t>
      </w:r>
    </w:p>
    <w:p>
      <w:pPr>
        <w:pStyle w:val="TextBody"/>
        <w:bidi w:val="0"/>
        <w:spacing w:lineRule="auto" w:line="288" w:before="0" w:after="240"/>
        <w:jc w:val="left"/>
        <w:rPr>
          <w:rFonts w:ascii="Times New Roman;serif" w:hAnsi="Times New Roman;serif"/>
          <w:b/>
          <w:color w:val="000000"/>
          <w:sz w:val="24"/>
        </w:rPr>
      </w:pPr>
      <w:bookmarkStart w:id="34" w:name="if24466fc93164b89a5715b26a81022ff"/>
      <w:bookmarkEnd w:id="34"/>
      <w:r>
        <w:rPr>
          <w:rFonts w:ascii="Times New Roman;serif" w:hAnsi="Times New Roman;serif"/>
          <w:b/>
          <w:color w:val="000000"/>
          <w:sz w:val="24"/>
        </w:rPr>
        <w:t>Section 3.05.Satisfaction of Sinking Fund Payments with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lineRule="auto" w:line="288" w:before="0" w:after="240"/>
        <w:jc w:val="left"/>
        <w:rPr>
          <w:rFonts w:ascii="Times New Roman;serif" w:hAnsi="Times New Roman;serif"/>
          <w:b/>
          <w:color w:val="000000"/>
          <w:sz w:val="24"/>
        </w:rPr>
      </w:pPr>
      <w:bookmarkStart w:id="35" w:name="i43800caecccf4c25a85c52768060ad76"/>
      <w:bookmarkEnd w:id="35"/>
      <w:r>
        <w:rPr>
          <w:rFonts w:ascii="Times New Roman;serif" w:hAnsi="Times New Roman;serif"/>
          <w:b/>
          <w:color w:val="000000"/>
          <w:sz w:val="24"/>
        </w:rPr>
        <w:t>Section 3.06.Redemption of Securities for Sinking Fund.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lineRule="atLeast" w:line="288" w:before="0" w:after="0"/>
        <w:jc w:val="center"/>
        <w:rPr/>
      </w:pPr>
      <w:bookmarkStart w:id="36" w:name="ibee1242f24c042b08cab9bcedeaf9943"/>
      <w:bookmarkEnd w:id="36"/>
      <w:r>
        <w:rPr>
          <w:rFonts w:ascii="Times New Roman;serif" w:hAnsi="Times New Roman;serif"/>
          <w:b/>
          <w:color w:val="000000"/>
          <w:sz w:val="24"/>
        </w:rPr>
        <w:t>ARTICLE 4.</w:t>
      </w:r>
      <w:r>
        <w:rPr>
          <w:color w:val="000000"/>
        </w:rPr>
        <w:t xml:space="preserve"> </w:t>
      </w:r>
      <w:r>
        <w:rPr>
          <w:rFonts w:ascii="Times New Roman;serif" w:hAnsi="Times New Roman;serif"/>
          <w:b/>
          <w:color w:val="000000"/>
          <w:sz w:val="24"/>
        </w:rPr>
        <w:t>COVENANTS</w:t>
      </w:r>
    </w:p>
    <w:p>
      <w:pPr>
        <w:pStyle w:val="TextBody"/>
        <w:bidi w:val="0"/>
        <w:spacing w:before="0" w:after="2"/>
        <w:jc w:val="center"/>
        <w:rPr/>
      </w:pPr>
      <w:r>
        <w:rPr/>
      </w:r>
    </w:p>
    <w:p>
      <w:pPr>
        <w:pStyle w:val="TextBody"/>
        <w:bidi w:val="0"/>
        <w:spacing w:lineRule="auto" w:line="288" w:before="0" w:after="240"/>
        <w:jc w:val="left"/>
        <w:rPr>
          <w:rFonts w:ascii="Times New Roman;serif" w:hAnsi="Times New Roman;serif"/>
          <w:b/>
          <w:color w:val="000000"/>
          <w:sz w:val="24"/>
        </w:rPr>
      </w:pPr>
      <w:bookmarkStart w:id="37" w:name="idf62990eb7a24d70a9f1325279894a12"/>
      <w:bookmarkEnd w:id="37"/>
      <w:r>
        <w:rPr>
          <w:rFonts w:ascii="Times New Roman;serif" w:hAnsi="Times New Roman;serif"/>
          <w:b/>
          <w:color w:val="000000"/>
          <w:sz w:val="24"/>
        </w:rPr>
        <w:t>Section 4.01.Payment of Principal, Premium and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0675"/>
                <wp:effectExtent l="0" t="0" r="0" b="0"/>
                <wp:wrapNone/>
                <wp:docPr id="66" name="Frame65"/>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Securityholder shall have furnished wire instructions in writing to the Security Registrar and the Trustee no later than 15 days prior to the relevant payment date. </w:t>
      </w:r>
    </w:p>
    <w:p>
      <w:pPr>
        <w:pStyle w:val="TextBody"/>
        <w:bidi w:val="0"/>
        <w:spacing w:lineRule="auto" w:line="288" w:before="0" w:after="240"/>
        <w:jc w:val="left"/>
        <w:rPr>
          <w:rFonts w:ascii="Times New Roman;serif" w:hAnsi="Times New Roman;serif"/>
          <w:b/>
          <w:color w:val="000000"/>
          <w:sz w:val="24"/>
        </w:rPr>
      </w:pPr>
      <w:bookmarkStart w:id="38" w:name="i387d8925324747369323b54e15b67d02"/>
      <w:bookmarkEnd w:id="38"/>
      <w:r>
        <w:rPr>
          <w:rFonts w:ascii="Times New Roman;serif" w:hAnsi="Times New Roman;serif"/>
          <w:b/>
          <w:color w:val="000000"/>
          <w:sz w:val="24"/>
        </w:rPr>
        <w:t>Section 4.02.Maintenance of Office or Agency.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pStyle w:val="TextBody"/>
        <w:bidi w:val="0"/>
        <w:spacing w:lineRule="auto" w:line="288" w:before="0" w:after="240"/>
        <w:jc w:val="left"/>
        <w:rPr>
          <w:rFonts w:ascii="Times New Roman;serif" w:hAnsi="Times New Roman;serif"/>
          <w:b/>
          <w:color w:val="000000"/>
          <w:sz w:val="24"/>
        </w:rPr>
      </w:pPr>
      <w:bookmarkStart w:id="39" w:name="if726d5b06da94eafa4318037161c5fa2"/>
      <w:bookmarkEnd w:id="39"/>
      <w:r>
        <w:rPr>
          <w:rFonts w:ascii="Times New Roman;serif" w:hAnsi="Times New Roman;serif"/>
          <w:b/>
          <w:color w:val="000000"/>
          <w:sz w:val="24"/>
        </w:rPr>
        <w:t>Section 4.03.Paying Agents.</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lineRule="auto" w:line="288" w:before="0" w:after="240"/>
        <w:ind w:left="0" w:right="0" w:firstLine="2160"/>
        <w:jc w:val="both"/>
        <w:rPr/>
      </w:pPr>
      <w:r>
        <w:rPr>
          <w:rFonts w:ascii="Times New Roman;serif" w:hAnsi="Times New Roman;serif"/>
          <w:b/>
          <w:color w:val="000000"/>
          <w:sz w:val="24"/>
        </w:rPr>
        <w:t>(1)</w:t>
      </w:r>
      <w:r>
        <w:rPr>
          <w:rFonts w:ascii="Times New Roman;serif" w:hAnsi="Times New Roman;serif"/>
          <w:b w:val="false"/>
          <w:color w:val="000000"/>
          <w:sz w:val="24"/>
        </w:rPr>
        <w:t xml:space="preserve">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lineRule="auto" w:line="288" w:before="0" w:after="240"/>
        <w:ind w:left="0" w:right="0" w:firstLine="2160"/>
        <w:jc w:val="both"/>
        <w:rPr/>
      </w:pPr>
      <w:r>
        <w:rPr>
          <w:rFonts w:ascii="Times New Roman;serif" w:hAnsi="Times New Roman;serif"/>
          <w:b/>
          <w:color w:val="000000"/>
          <w:sz w:val="24"/>
        </w:rPr>
        <w:t>(2)</w:t>
      </w:r>
      <w:r>
        <w:rPr>
          <w:rFonts w:ascii="Times New Roman;serif" w:hAnsi="Times New Roman;serif"/>
          <w:b w:val="false"/>
          <w:color w:val="000000"/>
          <w:sz w:val="24"/>
        </w:rPr>
        <w:t xml:space="preserve">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lineRule="auto" w:line="288" w:before="0" w:after="240"/>
        <w:ind w:left="0" w:right="0" w:firstLine="2160"/>
        <w:jc w:val="both"/>
        <w:rPr/>
      </w:pPr>
      <w:r>
        <w:rPr>
          <w:rFonts w:ascii="Times New Roman;serif" w:hAnsi="Times New Roman;serif"/>
          <w:b/>
          <w:color w:val="000000"/>
          <w:sz w:val="24"/>
        </w:rPr>
        <w:t>(3)</w:t>
      </w:r>
      <w:r>
        <w:rPr>
          <w:rFonts w:ascii="Times New Roman;serif" w:hAnsi="Times New Roman;serif"/>
          <w:b w:val="false"/>
          <w:color w:val="000000"/>
          <w:sz w:val="24"/>
        </w:rPr>
        <w:t xml:space="preserve">that it will, at any time during the continuance of any failure referred to in the preceding paragraph (a)(2) above, upon the written request of the Trustee, forthwith pay to the Trustee all sums so held in trust by such paying agent; and </w:t>
      </w:r>
    </w:p>
    <w:p>
      <w:pPr>
        <w:pStyle w:val="TextBody"/>
        <w:bidi w:val="0"/>
        <w:spacing w:lineRule="auto" w:line="288" w:before="0" w:after="240"/>
        <w:ind w:left="0" w:right="0" w:firstLine="2160"/>
        <w:jc w:val="both"/>
        <w:rPr/>
      </w:pPr>
      <w:r>
        <w:rPr>
          <w:rFonts w:ascii="Times New Roman;serif" w:hAnsi="Times New Roman;serif"/>
          <w:b/>
          <w:color w:val="000000"/>
          <w:sz w:val="24"/>
        </w:rPr>
        <w:t>(4)</w:t>
      </w:r>
      <w:r>
        <w:rPr>
          <w:rFonts w:ascii="Times New Roman;serif" w:hAnsi="Times New Roman;serif"/>
          <w:b w:val="false"/>
          <w:color w:val="000000"/>
          <w:sz w:val="24"/>
        </w:rPr>
        <w:t>that it will perform all other duties of paying agent as set forth in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0675"/>
                <wp:effectExtent l="0" t="0" r="0" b="0"/>
                <wp:wrapNone/>
                <wp:docPr id="67" name="Frame66"/>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lineRule="auto" w:line="288" w:before="0" w:after="240"/>
        <w:jc w:val="left"/>
        <w:rPr>
          <w:rFonts w:ascii="Times New Roman;serif" w:hAnsi="Times New Roman;serif"/>
          <w:b/>
          <w:color w:val="000000"/>
          <w:sz w:val="24"/>
        </w:rPr>
      </w:pPr>
      <w:bookmarkStart w:id="40" w:name="i12ef2bf9d8aa4f4b9194b3dcb0b9c473"/>
      <w:bookmarkEnd w:id="40"/>
      <w:r>
        <w:rPr>
          <w:rFonts w:ascii="Times New Roman;serif" w:hAnsi="Times New Roman;serif"/>
          <w:b/>
          <w:color w:val="000000"/>
          <w:sz w:val="24"/>
        </w:rPr>
        <w:t>Section 4.04.Appointment to Fill Vacancy in Office of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whenever necessary to avoid or fill a vacancy in the office of Trustee, will appoint, in the manner provided in Section 7.10, a Trustee, so that there shall at all times be a Trustee hereunder.</w:t>
      </w:r>
    </w:p>
    <w:p>
      <w:pPr>
        <w:pStyle w:val="TextBody"/>
        <w:bidi w:val="0"/>
        <w:spacing w:lineRule="atLeast" w:line="288" w:before="0" w:after="0"/>
        <w:jc w:val="center"/>
        <w:rPr/>
      </w:pPr>
      <w:bookmarkStart w:id="41" w:name="i32262caa07f949dc9926cf25476feb4b"/>
      <w:bookmarkEnd w:id="41"/>
      <w:r>
        <w:rPr>
          <w:rFonts w:ascii="Times New Roman;serif" w:hAnsi="Times New Roman;serif"/>
          <w:b/>
          <w:color w:val="000000"/>
          <w:sz w:val="24"/>
        </w:rPr>
        <w:t>ARTICLE 5.</w:t>
      </w:r>
      <w:r>
        <w:rPr>
          <w:color w:val="000000"/>
        </w:rPr>
        <w:t xml:space="preserve"> </w:t>
      </w:r>
      <w:r>
        <w:rPr>
          <w:rFonts w:ascii="Times New Roman;serif" w:hAnsi="Times New Roman;serif"/>
          <w:b/>
          <w:color w:val="000000"/>
          <w:sz w:val="24"/>
        </w:rPr>
        <w:t>SECURITYHOLDERS’ LISTS AND REPORTS BY THE COMPANY AND THE TRUSTEE</w:t>
      </w:r>
    </w:p>
    <w:p>
      <w:pPr>
        <w:pStyle w:val="TextBody"/>
        <w:bidi w:val="0"/>
        <w:spacing w:before="0" w:after="2"/>
        <w:jc w:val="center"/>
        <w:rPr/>
      </w:pPr>
      <w:r>
        <w:rPr/>
      </w:r>
    </w:p>
    <w:p>
      <w:pPr>
        <w:pStyle w:val="TextBody"/>
        <w:bidi w:val="0"/>
        <w:spacing w:lineRule="auto" w:line="288" w:before="0" w:after="240"/>
        <w:jc w:val="left"/>
        <w:rPr>
          <w:rFonts w:ascii="Times New Roman;serif" w:hAnsi="Times New Roman;serif"/>
          <w:b/>
          <w:color w:val="000000"/>
          <w:sz w:val="24"/>
        </w:rPr>
      </w:pPr>
      <w:bookmarkStart w:id="42" w:name="id73434ef710d4c69b7d09b630828731f"/>
      <w:bookmarkEnd w:id="42"/>
      <w:r>
        <w:rPr>
          <w:rFonts w:ascii="Times New Roman;serif" w:hAnsi="Times New Roman;serif"/>
          <w:b/>
          <w:color w:val="000000"/>
          <w:sz w:val="24"/>
        </w:rPr>
        <w:t>Section 5.01.Company to Furnish Trustee Names and Addresses of Securityholders.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0675"/>
                <wp:effectExtent l="0" t="0" r="0" b="0"/>
                <wp:wrapNone/>
                <wp:docPr id="68" name="Frame67"/>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bookmarkStart w:id="43" w:name="i888fbc24a3b54613a4eda3a896293dea"/>
      <w:bookmarkEnd w:id="43"/>
      <w:r>
        <w:rPr>
          <w:rFonts w:ascii="Times New Roman;serif" w:hAnsi="Times New Roman;serif"/>
          <w:b/>
          <w:color w:val="000000"/>
          <w:sz w:val="24"/>
        </w:rPr>
        <w:t>Section 5.02.Preservation Of Information; Communications With Securityholders.</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The Trustee may destroy any list furnished to it as provided in Section 5.01 upon receipt of a new list so furnished.</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lineRule="auto" w:line="288" w:before="0" w:after="240"/>
        <w:jc w:val="left"/>
        <w:rPr>
          <w:rFonts w:ascii="Times New Roman;serif" w:hAnsi="Times New Roman;serif"/>
          <w:b/>
          <w:color w:val="000000"/>
          <w:sz w:val="24"/>
        </w:rPr>
      </w:pPr>
      <w:bookmarkStart w:id="44" w:name="i0a22ddc009b442fdbf68e8ca944b4c42"/>
      <w:bookmarkEnd w:id="44"/>
      <w:r>
        <w:rPr>
          <w:rFonts w:ascii="Times New Roman;serif" w:hAnsi="Times New Roman;serif"/>
          <w:b/>
          <w:color w:val="000000"/>
          <w:sz w:val="24"/>
        </w:rPr>
        <w:t>Section 5.03.Reports by the Company.</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 </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 xml:space="preserve">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0675"/>
                <wp:effectExtent l="0" t="0" r="0" b="0"/>
                <wp:wrapNone/>
                <wp:docPr id="69" name="Frame68"/>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whatsoever to ascertain or determine whether the above referenced filings with the Commission on EDGAR (or any successor system) has occurred.</w:t>
      </w:r>
    </w:p>
    <w:p>
      <w:pPr>
        <w:pStyle w:val="TextBody"/>
        <w:bidi w:val="0"/>
        <w:spacing w:lineRule="auto" w:line="288" w:before="0" w:after="240"/>
        <w:jc w:val="left"/>
        <w:rPr>
          <w:rFonts w:ascii="Times New Roman;serif" w:hAnsi="Times New Roman;serif"/>
          <w:b/>
          <w:color w:val="000000"/>
          <w:sz w:val="24"/>
        </w:rPr>
      </w:pPr>
      <w:bookmarkStart w:id="45" w:name="if853033745194f39b969b933f70bbed0"/>
      <w:bookmarkEnd w:id="45"/>
      <w:r>
        <w:rPr>
          <w:rFonts w:ascii="Times New Roman;serif" w:hAnsi="Times New Roman;serif"/>
          <w:b/>
          <w:color w:val="000000"/>
          <w:sz w:val="24"/>
        </w:rPr>
        <w:t>Section 5.04.Reports by the Trustee.</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If required by Section 313(a) of the Trust Indenture Act, the Trustee, within sixty (60) days after each May 1, shall send to the Securityholders a brief report dated as of such May 1, which complies with Section 313(a) of the Trust Indenture Act.</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The Trustee shall comply with Section 313(b) and 313(c) of the Trust Indenture Act.</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before="0" w:after="0"/>
        <w:ind w:left="0" w:right="0" w:firstLine="1440"/>
        <w:jc w:val="left"/>
        <w:rPr/>
      </w:pPr>
      <w:r>
        <w:rPr/>
      </w:r>
    </w:p>
    <w:p>
      <w:pPr>
        <w:pStyle w:val="TextBody"/>
        <w:bidi w:val="0"/>
        <w:spacing w:lineRule="atLeast" w:line="288" w:before="0" w:after="0"/>
        <w:jc w:val="center"/>
        <w:rPr/>
      </w:pPr>
      <w:bookmarkStart w:id="46" w:name="idf4d0aff07b344198d6fb4ec7c01a627"/>
      <w:bookmarkEnd w:id="46"/>
      <w:r>
        <w:rPr>
          <w:rFonts w:ascii="Times New Roman;serif" w:hAnsi="Times New Roman;serif"/>
          <w:b/>
          <w:color w:val="000000"/>
          <w:sz w:val="24"/>
        </w:rPr>
        <w:t>ARTICLE 6.</w:t>
      </w:r>
      <w:r>
        <w:rPr>
          <w:color w:val="000000"/>
        </w:rPr>
        <w:t xml:space="preserve"> </w:t>
      </w:r>
      <w:r>
        <w:rPr>
          <w:rFonts w:ascii="Times New Roman;serif" w:hAnsi="Times New Roman;serif"/>
          <w:b/>
          <w:color w:val="000000"/>
          <w:sz w:val="24"/>
        </w:rPr>
        <w:t>REMEDIES OF THE TRUSTEE AND SECURITYHOLDERS ON EVENT OF DEFAULT</w:t>
      </w:r>
    </w:p>
    <w:p>
      <w:pPr>
        <w:pStyle w:val="TextBody"/>
        <w:bidi w:val="0"/>
        <w:spacing w:before="0" w:after="0"/>
        <w:ind w:left="0" w:right="0" w:firstLine="360"/>
        <w:jc w:val="left"/>
        <w:rPr/>
      </w:pPr>
      <w:r>
        <w:rPr/>
      </w:r>
    </w:p>
    <w:p>
      <w:pPr>
        <w:pStyle w:val="TextBody"/>
        <w:bidi w:val="0"/>
        <w:spacing w:lineRule="auto" w:line="288" w:before="0" w:after="240"/>
        <w:jc w:val="left"/>
        <w:rPr>
          <w:rFonts w:ascii="Times New Roman;serif" w:hAnsi="Times New Roman;serif"/>
          <w:b/>
          <w:color w:val="000000"/>
          <w:sz w:val="24"/>
        </w:rPr>
      </w:pPr>
      <w:bookmarkStart w:id="47" w:name="i17847a48478d4f92b7fd536de0b18e54"/>
      <w:bookmarkEnd w:id="47"/>
      <w:r>
        <w:rPr>
          <w:rFonts w:ascii="Times New Roman;serif" w:hAnsi="Times New Roman;serif"/>
          <w:b/>
          <w:color w:val="000000"/>
          <w:sz w:val="24"/>
        </w:rPr>
        <w:t>Section 6.01.Events of Default.</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Whenever used herein with respect to Securities of a particular series, “Event of Default” means any one or more of the following events that has occurred and is continuing: </w:t>
      </w:r>
    </w:p>
    <w:p>
      <w:pPr>
        <w:pStyle w:val="TextBody"/>
        <w:bidi w:val="0"/>
        <w:spacing w:lineRule="auto" w:line="288" w:before="0" w:after="240"/>
        <w:ind w:left="0" w:right="0" w:firstLine="2160"/>
        <w:jc w:val="both"/>
        <w:rPr/>
      </w:pPr>
      <w:r>
        <w:rPr>
          <w:rFonts w:ascii="Times New Roman;serif" w:hAnsi="Times New Roman;serif"/>
          <w:b/>
          <w:color w:val="000000"/>
          <w:sz w:val="24"/>
        </w:rPr>
        <w:t>(1)</w:t>
      </w:r>
      <w:r>
        <w:rPr>
          <w:rFonts w:ascii="Times New Roman;serif" w:hAnsi="Times New Roman;serif"/>
          <w:b w:val="false"/>
          <w:color w:val="000000"/>
          <w:sz w:val="24"/>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lineRule="auto" w:line="288" w:before="0" w:after="240"/>
        <w:ind w:left="0" w:right="0" w:firstLine="2160"/>
        <w:jc w:val="both"/>
        <w:rPr/>
      </w:pPr>
      <w:r>
        <w:rPr>
          <w:rFonts w:ascii="Times New Roman;serif" w:hAnsi="Times New Roman;serif"/>
          <w:b/>
          <w:color w:val="000000"/>
          <w:sz w:val="24"/>
        </w:rPr>
        <w:t>(2)</w:t>
      </w:r>
      <w:r>
        <w:rPr>
          <w:rFonts w:ascii="Times New Roman;serif" w:hAnsi="Times New Roman;serif"/>
          <w:b w:val="false"/>
          <w:color w:val="000000"/>
          <w:sz w:val="24"/>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lineRule="auto" w:line="288" w:before="0" w:after="240"/>
        <w:ind w:left="0" w:right="0" w:firstLine="2160"/>
        <w:jc w:val="both"/>
        <w:rPr/>
      </w:pPr>
      <w:r>
        <w:rPr>
          <w:rFonts w:ascii="Times New Roman;serif" w:hAnsi="Times New Roman;serif"/>
          <w:b/>
          <w:color w:val="000000"/>
          <w:sz w:val="24"/>
        </w:rPr>
        <w:t>(3)</w:t>
      </w:r>
      <w:r>
        <w:rPr>
          <w:rFonts w:ascii="Times New Roman;serif" w:hAnsi="Times New Roman;serif"/>
          <w:b w:val="false"/>
          <w:color w:val="000000"/>
          <w:sz w:val="24"/>
        </w:rPr>
        <w:t xml:space="preserve">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0675"/>
                <wp:effectExtent l="0" t="0" r="0" b="0"/>
                <wp:wrapNone/>
                <wp:docPr id="70" name="Frame69"/>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lineRule="auto" w:line="288" w:before="0" w:after="240"/>
        <w:ind w:left="0" w:right="0" w:firstLine="2160"/>
        <w:jc w:val="both"/>
        <w:rPr/>
      </w:pPr>
      <w:r>
        <w:rPr>
          <w:rFonts w:ascii="Times New Roman;serif" w:hAnsi="Times New Roman;serif"/>
          <w:b/>
          <w:color w:val="000000"/>
          <w:sz w:val="24"/>
        </w:rPr>
        <w:t>(4)</w:t>
      </w:r>
      <w:r>
        <w:rPr>
          <w:rFonts w:ascii="Times New Roman;serif" w:hAnsi="Times New Roman;serif"/>
          <w:b w:val="false"/>
          <w:color w:val="000000"/>
          <w:sz w:val="24"/>
        </w:rPr>
        <w:t xml:space="preserve">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lineRule="auto" w:line="288" w:before="0" w:after="240"/>
        <w:ind w:left="0" w:right="0" w:firstLine="2160"/>
        <w:jc w:val="both"/>
        <w:rPr/>
      </w:pPr>
      <w:r>
        <w:rPr>
          <w:rFonts w:ascii="Times New Roman;serif" w:hAnsi="Times New Roman;serif"/>
          <w:b/>
          <w:color w:val="000000"/>
          <w:sz w:val="24"/>
        </w:rPr>
        <w:t>(5)</w:t>
      </w:r>
      <w:r>
        <w:rPr>
          <w:rFonts w:ascii="Times New Roman;serif" w:hAnsi="Times New Roman;serif"/>
          <w:b w:val="false"/>
          <w:color w:val="000000"/>
          <w:sz w:val="24"/>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0675"/>
                <wp:effectExtent l="0" t="0" r="0" b="0"/>
                <wp:wrapNone/>
                <wp:docPr id="71" name="Frame70"/>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such rescission and annulment shall extend to or shall affect any subsequent default or impair any right consequent thereon.</w:t>
      </w:r>
    </w:p>
    <w:p>
      <w:pPr>
        <w:pStyle w:val="TextBody"/>
        <w:bidi w:val="0"/>
        <w:spacing w:lineRule="auto" w:line="288"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lineRule="auto" w:line="288" w:before="0" w:after="240"/>
        <w:jc w:val="left"/>
        <w:rPr>
          <w:rFonts w:ascii="Times New Roman;serif" w:hAnsi="Times New Roman;serif"/>
          <w:b/>
          <w:color w:val="000000"/>
          <w:sz w:val="24"/>
        </w:rPr>
      </w:pPr>
      <w:bookmarkStart w:id="48" w:name="i6e2423958a644698874ca69d50fc9385"/>
      <w:bookmarkEnd w:id="48"/>
      <w:r>
        <w:rPr>
          <w:rFonts w:ascii="Times New Roman;serif" w:hAnsi="Times New Roman;serif"/>
          <w:b/>
          <w:color w:val="000000"/>
          <w:sz w:val="24"/>
        </w:rPr>
        <w:t>Section 6.02.Collection of Indebtedness and Suits for Enforcement by Trustee.</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 xml:space="preserve">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0675"/>
                <wp:effectExtent l="0" t="0" r="0" b="0"/>
                <wp:wrapNone/>
                <wp:docPr id="72" name="Frame71"/>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lineRule="auto" w:line="288"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pStyle w:val="TextBody"/>
        <w:bidi w:val="0"/>
        <w:spacing w:lineRule="auto" w:line="288" w:before="0" w:after="240"/>
        <w:jc w:val="left"/>
        <w:rPr>
          <w:rFonts w:ascii="Times New Roman;serif" w:hAnsi="Times New Roman;serif"/>
          <w:b/>
          <w:color w:val="000000"/>
          <w:sz w:val="24"/>
        </w:rPr>
      </w:pPr>
      <w:bookmarkStart w:id="49" w:name="i1013a23688874fad9b6b0bce64547ff3"/>
      <w:bookmarkEnd w:id="49"/>
      <w:r>
        <w:rPr>
          <w:rFonts w:ascii="Times New Roman;serif" w:hAnsi="Times New Roman;serif"/>
          <w:b/>
          <w:color w:val="000000"/>
          <w:sz w:val="24"/>
        </w:rPr>
        <w:t>Section 6.03.Application of Moneys Collected.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FIRST: To the payment of costs and expenses of collection and of all amounts payable to the Trustee under Section 7.06;</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0675"/>
                <wp:effectExtent l="0" t="0" r="0" b="0"/>
                <wp:wrapNone/>
                <wp:docPr id="73" name="Frame72"/>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THIRD: To the payment of the remainder, if any, to the Company or any other Person lawfully entitled thereto.</w:t>
      </w:r>
    </w:p>
    <w:p>
      <w:pPr>
        <w:pStyle w:val="TextBody"/>
        <w:bidi w:val="0"/>
        <w:spacing w:lineRule="auto" w:line="288" w:before="0" w:after="240"/>
        <w:jc w:val="left"/>
        <w:rPr>
          <w:rFonts w:ascii="Times New Roman;serif" w:hAnsi="Times New Roman;serif"/>
          <w:b/>
          <w:color w:val="000000"/>
          <w:sz w:val="24"/>
        </w:rPr>
      </w:pPr>
      <w:bookmarkStart w:id="50" w:name="if44ae12ac0bd41deb72b8b333349baca"/>
      <w:bookmarkEnd w:id="50"/>
      <w:r>
        <w:rPr>
          <w:rFonts w:ascii="Times New Roman;serif" w:hAnsi="Times New Roman;serif"/>
          <w:b/>
          <w:color w:val="000000"/>
          <w:sz w:val="24"/>
        </w:rPr>
        <w:t>Section 6.04.Limitation on Suits.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lineRule="auto" w:line="288" w:before="0" w:after="240"/>
        <w:jc w:val="left"/>
        <w:rPr>
          <w:rFonts w:ascii="Times New Roman;serif" w:hAnsi="Times New Roman;serif"/>
          <w:b/>
          <w:color w:val="000000"/>
          <w:sz w:val="24"/>
        </w:rPr>
      </w:pPr>
      <w:bookmarkStart w:id="51" w:name="i648141241a354f558cb9685d364442e0"/>
      <w:bookmarkEnd w:id="51"/>
      <w:r>
        <w:rPr>
          <w:rFonts w:ascii="Times New Roman;serif" w:hAnsi="Times New Roman;serif"/>
          <w:b/>
          <w:color w:val="000000"/>
          <w:sz w:val="24"/>
        </w:rPr>
        <w:t>Section 6.05.Rights and Remedies Cumulative; Delay or Omission Not Waiver.</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0675"/>
                <wp:effectExtent l="0" t="0" r="0" b="0"/>
                <wp:wrapNone/>
                <wp:docPr id="74" name="Frame73"/>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lineRule="auto" w:line="288" w:before="0" w:after="240"/>
        <w:jc w:val="left"/>
        <w:rPr>
          <w:rFonts w:ascii="Times New Roman;serif" w:hAnsi="Times New Roman;serif"/>
          <w:b/>
          <w:color w:val="000000"/>
          <w:sz w:val="24"/>
        </w:rPr>
      </w:pPr>
      <w:bookmarkStart w:id="52" w:name="i1fd78dee072b4d4bb654a252fea7f58d"/>
      <w:bookmarkEnd w:id="52"/>
      <w:r>
        <w:rPr>
          <w:rFonts w:ascii="Times New Roman;serif" w:hAnsi="Times New Roman;serif"/>
          <w:b/>
          <w:color w:val="000000"/>
          <w:sz w:val="24"/>
        </w:rPr>
        <w:t>Section 6.06.Control by Securityholders.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lineRule="auto" w:line="288" w:before="0" w:after="240"/>
        <w:jc w:val="left"/>
        <w:rPr>
          <w:rFonts w:ascii="Times New Roman;serif" w:hAnsi="Times New Roman;serif"/>
          <w:b/>
          <w:color w:val="000000"/>
          <w:sz w:val="24"/>
        </w:rPr>
      </w:pPr>
      <w:bookmarkStart w:id="53" w:name="i95ad8fa15c9b45ca80cfeace86c92f5f"/>
      <w:bookmarkEnd w:id="53"/>
      <w:r>
        <w:rPr>
          <w:rFonts w:ascii="Times New Roman;serif" w:hAnsi="Times New Roman;serif"/>
          <w:b/>
          <w:color w:val="000000"/>
          <w:sz w:val="24"/>
        </w:rPr>
        <w:t>Section 6.07.Undertaking to Pay Costs.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0675"/>
                <wp:effectExtent l="0" t="0" r="0" b="0"/>
                <wp:wrapNone/>
                <wp:docPr id="75" name="Frame74"/>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lineRule="atLeast" w:line="288" w:before="0" w:after="0"/>
        <w:jc w:val="center"/>
        <w:rPr/>
      </w:pPr>
      <w:bookmarkStart w:id="54" w:name="ib962c68ca59d4e75b83f34cc9510d2c1"/>
      <w:bookmarkEnd w:id="54"/>
      <w:r>
        <w:rPr>
          <w:rFonts w:ascii="Times New Roman;serif" w:hAnsi="Times New Roman;serif"/>
          <w:b/>
          <w:color w:val="000000"/>
          <w:sz w:val="24"/>
        </w:rPr>
        <w:t>ARTICLE 7.</w:t>
      </w:r>
      <w:r>
        <w:rPr>
          <w:color w:val="000000"/>
        </w:rPr>
        <w:t xml:space="preserve"> </w:t>
      </w:r>
      <w:r>
        <w:rPr>
          <w:rFonts w:ascii="Times New Roman;serif" w:hAnsi="Times New Roman;serif"/>
          <w:b/>
          <w:color w:val="000000"/>
          <w:sz w:val="24"/>
        </w:rPr>
        <w:t>CONCERNING THE TRUSTEE</w:t>
      </w:r>
    </w:p>
    <w:p>
      <w:pPr>
        <w:pStyle w:val="TextBody"/>
        <w:bidi w:val="0"/>
        <w:spacing w:before="0" w:after="2"/>
        <w:jc w:val="center"/>
        <w:rPr/>
      </w:pPr>
      <w:r>
        <w:rPr/>
      </w:r>
    </w:p>
    <w:p>
      <w:pPr>
        <w:pStyle w:val="TextBody"/>
        <w:bidi w:val="0"/>
        <w:spacing w:lineRule="auto" w:line="288" w:before="0" w:after="240"/>
        <w:jc w:val="left"/>
        <w:rPr>
          <w:rFonts w:ascii="Times New Roman;serif" w:hAnsi="Times New Roman;serif"/>
          <w:b/>
          <w:color w:val="000000"/>
          <w:sz w:val="24"/>
        </w:rPr>
      </w:pPr>
      <w:bookmarkStart w:id="55" w:name="i79e4bfbd66154c3dbcfff04e176d05dd"/>
      <w:bookmarkEnd w:id="55"/>
      <w:r>
        <w:rPr>
          <w:rFonts w:ascii="Times New Roman;serif" w:hAnsi="Times New Roman;serif"/>
          <w:b/>
          <w:color w:val="000000"/>
          <w:sz w:val="24"/>
        </w:rPr>
        <w:t>Section 7.01.Certain Duties and Responsibilities of Trustee.</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 xml:space="preserve">No provision of this Indenture shall be construed to relieve the Trustee from liability for its own negligent action, its own negligent failure to act, or its own willful misconduct, except that: </w:t>
      </w:r>
    </w:p>
    <w:p>
      <w:pPr>
        <w:pStyle w:val="TextBody"/>
        <w:bidi w:val="0"/>
        <w:spacing w:lineRule="auto" w:line="288" w:before="0" w:after="240"/>
        <w:ind w:left="0" w:right="0" w:firstLine="1440"/>
        <w:jc w:val="both"/>
        <w:rPr/>
      </w:pPr>
      <w:r>
        <w:rPr>
          <w:rFonts w:ascii="Times New Roman;serif" w:hAnsi="Times New Roman;serif"/>
          <w:b/>
          <w:color w:val="000000"/>
          <w:sz w:val="24"/>
        </w:rPr>
        <w:t>(1)</w:t>
      </w:r>
      <w:r>
        <w:rPr>
          <w:rFonts w:ascii="Times New Roman;serif" w:hAnsi="Times New Roman;serif"/>
          <w:b w:val="false"/>
          <w:color w:val="000000"/>
          <w:sz w:val="24"/>
        </w:rPr>
        <w:t xml:space="preserve">prior to the occurrence of an Event of Default with respect to the Securities of a series and after the curing or waiving of all such Events of Default with respect to that series that may have occurred: </w:t>
      </w:r>
    </w:p>
    <w:p>
      <w:pPr>
        <w:pStyle w:val="TextBody"/>
        <w:bidi w:val="0"/>
        <w:spacing w:lineRule="auto" w:line="288" w:before="0" w:after="240"/>
        <w:ind w:left="0" w:right="0" w:firstLine="2160"/>
        <w:jc w:val="both"/>
        <w:rPr/>
      </w:pPr>
      <w:r>
        <w:rPr>
          <w:rFonts w:ascii="Times New Roman;serif" w:hAnsi="Times New Roman;serif"/>
          <w:b/>
          <w:color w:val="000000"/>
          <w:sz w:val="24"/>
        </w:rPr>
        <w:t>(a)</w:t>
      </w:r>
      <w:r>
        <w:rPr>
          <w:rFonts w:ascii="Times New Roman;serif" w:hAnsi="Times New Roman;serif"/>
          <w:b w:val="false"/>
          <w:color w:val="000000"/>
          <w:sz w:val="24"/>
        </w:rPr>
        <w:t xml:space="preserve">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lineRule="auto" w:line="288" w:before="0" w:after="240"/>
        <w:ind w:left="0" w:right="0" w:firstLine="2160"/>
        <w:jc w:val="both"/>
        <w:rPr/>
      </w:pPr>
      <w:r>
        <w:rPr>
          <w:rFonts w:ascii="Times New Roman;serif" w:hAnsi="Times New Roman;serif"/>
          <w:b/>
          <w:color w:val="000000"/>
          <w:sz w:val="24"/>
        </w:rPr>
        <w:t>(b)</w:t>
      </w:r>
      <w:r>
        <w:rPr>
          <w:rFonts w:ascii="Times New Roman;serif" w:hAnsi="Times New Roman;serif"/>
          <w:b w:val="false"/>
          <w:color w:val="000000"/>
          <w:sz w:val="24"/>
        </w:rPr>
        <w:t xml:space="preserve">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lineRule="auto" w:line="288" w:before="0" w:after="240"/>
        <w:ind w:left="0" w:right="0" w:firstLine="1440"/>
        <w:jc w:val="both"/>
        <w:rPr/>
      </w:pPr>
      <w:r>
        <w:rPr>
          <w:rFonts w:ascii="Times New Roman;serif" w:hAnsi="Times New Roman;serif"/>
          <w:b/>
          <w:color w:val="000000"/>
          <w:sz w:val="24"/>
        </w:rPr>
        <w:t>(2)</w:t>
      </w:r>
      <w:r>
        <w:rPr>
          <w:rFonts w:ascii="Times New Roman;serif" w:hAnsi="Times New Roman;serif"/>
          <w:b w:val="false"/>
          <w:color w:val="000000"/>
          <w:sz w:val="24"/>
        </w:rPr>
        <w:t xml:space="preserve">the Trustee shall not be liable to any Securityholder or to any other Person for any error of judgment made in good faith by a Responsible Officer or Responsible Officers of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0675"/>
                <wp:effectExtent l="0" t="0" r="0" b="0"/>
                <wp:wrapNone/>
                <wp:docPr id="76" name="Frame75"/>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unless it shall be proved that the Trustee was negligent in ascertaining the pertinent facts; </w:t>
      </w:r>
    </w:p>
    <w:p>
      <w:pPr>
        <w:pStyle w:val="TextBody"/>
        <w:bidi w:val="0"/>
        <w:spacing w:lineRule="auto" w:line="288" w:before="0" w:after="240"/>
        <w:ind w:left="0" w:right="0" w:firstLine="1440"/>
        <w:jc w:val="both"/>
        <w:rPr/>
      </w:pPr>
      <w:r>
        <w:rPr>
          <w:rFonts w:ascii="Times New Roman;serif" w:hAnsi="Times New Roman;serif"/>
          <w:b/>
          <w:color w:val="000000"/>
          <w:sz w:val="24"/>
        </w:rPr>
        <w:t>(3)</w:t>
      </w:r>
      <w:r>
        <w:rPr>
          <w:rFonts w:ascii="Times New Roman;serif" w:hAnsi="Times New Roman;serif"/>
          <w:b w:val="false"/>
          <w:color w:val="000000"/>
          <w:sz w:val="24"/>
        </w:rPr>
        <w:t xml:space="preserve">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w:t>
      </w:r>
    </w:p>
    <w:p>
      <w:pPr>
        <w:pStyle w:val="TextBody"/>
        <w:bidi w:val="0"/>
        <w:spacing w:lineRule="auto" w:line="288" w:before="0" w:after="240"/>
        <w:ind w:left="0" w:right="0" w:firstLine="1440"/>
        <w:jc w:val="both"/>
        <w:rPr/>
      </w:pPr>
      <w:r>
        <w:rPr>
          <w:rFonts w:ascii="Times New Roman;serif" w:hAnsi="Times New Roman;serif"/>
          <w:b/>
          <w:color w:val="000000"/>
          <w:sz w:val="24"/>
        </w:rPr>
        <w:t>(4)</w:t>
      </w:r>
      <w:r>
        <w:rPr>
          <w:rFonts w:ascii="Times New Roman;serif" w:hAnsi="Times New Roman;serif"/>
          <w:b w:val="false"/>
          <w:color w:val="000000"/>
          <w:sz w:val="24"/>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lineRule="auto" w:line="288" w:before="0" w:after="240"/>
        <w:ind w:left="0" w:right="0" w:firstLine="1440"/>
        <w:jc w:val="both"/>
        <w:rPr/>
      </w:pPr>
      <w:r>
        <w:rPr>
          <w:rFonts w:ascii="Times New Roman;serif" w:hAnsi="Times New Roman;serif"/>
          <w:b/>
          <w:color w:val="000000"/>
          <w:sz w:val="24"/>
        </w:rPr>
        <w:t>(5)</w:t>
      </w:r>
      <w:r>
        <w:rPr>
          <w:rFonts w:ascii="Times New Roman;serif" w:hAnsi="Times New Roman;serif"/>
          <w:b w:val="false"/>
          <w:color w:val="000000"/>
          <w:sz w:val="24"/>
        </w:rPr>
        <w:t>The Trustee shall not be required to give any bond or surety in respect of the performance of its powers or duties hereunder;</w:t>
      </w:r>
    </w:p>
    <w:p>
      <w:pPr>
        <w:pStyle w:val="TextBody"/>
        <w:bidi w:val="0"/>
        <w:spacing w:lineRule="auto" w:line="288" w:before="0" w:after="240"/>
        <w:ind w:left="0" w:right="0" w:firstLine="1440"/>
        <w:jc w:val="both"/>
        <w:rPr/>
      </w:pPr>
      <w:r>
        <w:rPr>
          <w:rFonts w:ascii="Times New Roman;serif" w:hAnsi="Times New Roman;serif"/>
          <w:b/>
          <w:color w:val="000000"/>
          <w:sz w:val="24"/>
        </w:rPr>
        <w:t>(6)</w:t>
      </w:r>
      <w:r>
        <w:rPr>
          <w:rFonts w:ascii="Times New Roman;serif" w:hAnsi="Times New Roman;serif"/>
          <w:b w:val="false"/>
          <w:color w:val="000000"/>
          <w:sz w:val="24"/>
        </w:rPr>
        <w:t>The permissive right of the Trustee to do things enumerated in this Indenture shall not be construed as a duty of the Trustee; and</w:t>
      </w:r>
    </w:p>
    <w:p>
      <w:pPr>
        <w:pStyle w:val="TextBody"/>
        <w:bidi w:val="0"/>
        <w:spacing w:lineRule="auto" w:line="288" w:before="0" w:after="240"/>
        <w:ind w:left="0" w:right="0" w:firstLine="1440"/>
        <w:jc w:val="both"/>
        <w:rPr/>
      </w:pPr>
      <w:r>
        <w:rPr>
          <w:rFonts w:ascii="Times New Roman;serif" w:hAnsi="Times New Roman;serif"/>
          <w:b/>
          <w:color w:val="000000"/>
          <w:sz w:val="24"/>
        </w:rPr>
        <w:t>(7)</w:t>
      </w:r>
      <w:r>
        <w:rPr>
          <w:rFonts w:ascii="Times New Roman;serif" w:hAnsi="Times New Roman;serif"/>
          <w:b w:val="false"/>
          <w:color w:val="000000"/>
          <w:sz w:val="24"/>
        </w:rPr>
        <w:t>No Trustee shall have any duty or responsibility for any act or omission of any other Trustee appointed with respect to a series of Securities hereunder.</w:t>
      </w:r>
    </w:p>
    <w:p>
      <w:pPr>
        <w:pStyle w:val="TextBody"/>
        <w:bidi w:val="0"/>
        <w:spacing w:lineRule="auto" w:line="288" w:before="0" w:after="240"/>
        <w:jc w:val="left"/>
        <w:rPr>
          <w:rFonts w:ascii="Times New Roman;serif" w:hAnsi="Times New Roman;serif"/>
          <w:b/>
          <w:color w:val="000000"/>
          <w:sz w:val="24"/>
        </w:rPr>
      </w:pPr>
      <w:bookmarkStart w:id="56" w:name="i1700ffa80c9d414a96cb3ff602e5f4e9"/>
      <w:bookmarkEnd w:id="56"/>
      <w:r>
        <w:rPr>
          <w:rFonts w:ascii="Times New Roman;serif" w:hAnsi="Times New Roman;serif"/>
          <w:b/>
          <w:color w:val="000000"/>
          <w:sz w:val="24"/>
        </w:rPr>
        <w:t>Section 7.02.Certain Rights of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in Section 7.01: </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 xml:space="preserve">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 xml:space="preserve">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lineRule="auto" w:line="288"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 xml:space="preserve">The Trustee shall be under no obligation to exercise any of the rights or powers vested in it by this Indenture at the request, order or direction of any of the Securityholders pursuant to the provisions of this Indenture, unless such Securityholders shall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0675"/>
                <wp:effectExtent l="0" t="0" r="0" b="0"/>
                <wp:wrapNone/>
                <wp:docPr id="77" name="Frame76"/>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lineRule="auto" w:line="288" w:before="0" w:after="240"/>
        <w:ind w:left="0" w:right="0" w:firstLine="1440"/>
        <w:jc w:val="both"/>
        <w:rPr/>
      </w:pPr>
      <w:r>
        <w:rPr>
          <w:rFonts w:ascii="Times New Roman;serif" w:hAnsi="Times New Roman;serif"/>
          <w:b/>
          <w:color w:val="000000"/>
          <w:sz w:val="24"/>
        </w:rPr>
        <w:t>e.</w:t>
      </w:r>
      <w:r>
        <w:rPr>
          <w:rFonts w:ascii="Times New Roman;serif" w:hAnsi="Times New Roman;serif"/>
          <w:b w:val="false"/>
          <w:color w:val="000000"/>
          <w:sz w:val="24"/>
        </w:rPr>
        <w:t xml:space="preserve">The Trustee shall not be liable for any action taken or omitted to be taken by it in good faith and believed by it to be authorized or within the discretion or rights or powers conferred upon it by this Indenture; </w:t>
      </w:r>
    </w:p>
    <w:p>
      <w:pPr>
        <w:pStyle w:val="TextBody"/>
        <w:bidi w:val="0"/>
        <w:spacing w:lineRule="auto" w:line="288" w:before="0" w:after="240"/>
        <w:ind w:left="0" w:right="0" w:firstLine="1440"/>
        <w:jc w:val="both"/>
        <w:rPr/>
      </w:pPr>
      <w:r>
        <w:rPr>
          <w:rFonts w:ascii="Times New Roman;serif" w:hAnsi="Times New Roman;serif"/>
          <w:b/>
          <w:color w:val="000000"/>
          <w:sz w:val="24"/>
        </w:rPr>
        <w:t>f.</w:t>
      </w:r>
      <w:r>
        <w:rPr>
          <w:rFonts w:ascii="Times New Roman;serif" w:hAnsi="Times New Roman;serif"/>
          <w:b w:val="false"/>
          <w:color w:val="000000"/>
          <w:sz w:val="24"/>
        </w:rPr>
        <w:t xml:space="preserve">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lineRule="auto" w:line="288" w:before="0" w:after="240"/>
        <w:ind w:left="0" w:right="0" w:firstLine="1440"/>
        <w:jc w:val="both"/>
        <w:rPr/>
      </w:pPr>
      <w:r>
        <w:rPr>
          <w:rFonts w:ascii="Times New Roman;serif" w:hAnsi="Times New Roman;serif"/>
          <w:b/>
          <w:color w:val="000000"/>
          <w:sz w:val="24"/>
        </w:rPr>
        <w:t>g.</w:t>
      </w:r>
      <w:r>
        <w:rPr>
          <w:color w:val="000000"/>
        </w:rPr>
        <w:t>    </w:t>
      </w:r>
      <w:r>
        <w:rPr>
          <w:rFonts w:ascii="Times New Roman;serif" w:hAnsi="Times New Roman;serif"/>
          <w:b w:val="false"/>
          <w:color w:val="000000"/>
          <w:sz w:val="24"/>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lineRule="auto" w:line="288" w:before="0" w:after="240"/>
        <w:ind w:left="0" w:right="0" w:firstLine="1440"/>
        <w:jc w:val="both"/>
        <w:rPr/>
      </w:pPr>
      <w:r>
        <w:rPr>
          <w:rFonts w:ascii="Times New Roman;serif" w:hAnsi="Times New Roman;serif"/>
          <w:b/>
          <w:color w:val="000000"/>
          <w:sz w:val="24"/>
        </w:rPr>
        <w:t>h.</w:t>
      </w:r>
      <w:r>
        <w:rPr>
          <w:rFonts w:ascii="Times New Roman;serif" w:hAnsi="Times New Roman;serif"/>
          <w:b w:val="false"/>
          <w:color w:val="000000"/>
          <w:sz w:val="24"/>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lineRule="auto" w:line="288" w:before="0" w:after="240"/>
        <w:ind w:left="0" w:right="0" w:firstLine="1440"/>
        <w:jc w:val="both"/>
        <w:rPr/>
      </w:pPr>
      <w:r>
        <w:rPr>
          <w:rFonts w:ascii="Times New Roman;serif" w:hAnsi="Times New Roman;serif"/>
          <w:b/>
          <w:color w:val="000000"/>
          <w:sz w:val="24"/>
        </w:rPr>
        <w:t>i.</w:t>
      </w:r>
      <w:r>
        <w:rPr>
          <w:rFonts w:ascii="Times New Roman;serif" w:hAnsi="Times New Roman;serif"/>
          <w:b w:val="false"/>
          <w:color w:val="000000"/>
          <w:sz w:val="24"/>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0675"/>
                <wp:effectExtent l="0" t="0" r="0" b="0"/>
                <wp:wrapNone/>
                <wp:docPr id="78" name="Frame77"/>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j.</w:t>
      </w:r>
      <w:r>
        <w:rPr>
          <w:rFonts w:ascii="Times New Roman;serif" w:hAnsi="Times New Roman;serif"/>
          <w:b w:val="false"/>
          <w:color w:val="000000"/>
          <w:sz w:val="24"/>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pStyle w:val="TextBody"/>
        <w:bidi w:val="0"/>
        <w:spacing w:lineRule="auto" w:line="288" w:before="0" w:after="240"/>
        <w:ind w:left="0" w:right="0" w:firstLine="1440"/>
        <w:jc w:val="both"/>
        <w:rPr/>
      </w:pPr>
      <w:r>
        <w:rPr>
          <w:rFonts w:ascii="Times New Roman;serif" w:hAnsi="Times New Roman;serif"/>
          <w:b/>
          <w:color w:val="000000"/>
          <w:sz w:val="24"/>
        </w:rPr>
        <w:t>k.</w:t>
      </w:r>
      <w:r>
        <w:rPr>
          <w:rFonts w:ascii="Times New Roman;serif" w:hAnsi="Times New Roman;serif"/>
          <w:b w:val="false"/>
          <w:color w:val="000000"/>
          <w:sz w:val="24"/>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pStyle w:val="TextBody"/>
        <w:bidi w:val="0"/>
        <w:spacing w:lineRule="auto" w:line="288" w:before="0" w:after="240"/>
        <w:ind w:left="0" w:right="0" w:firstLine="1440"/>
        <w:jc w:val="both"/>
        <w:rPr/>
      </w:pPr>
      <w:r>
        <w:rPr>
          <w:rFonts w:ascii="Times New Roman;serif" w:hAnsi="Times New Roman;serif"/>
          <w:b/>
          <w:color w:val="000000"/>
          <w:sz w:val="24"/>
        </w:rPr>
        <w:t>l.</w:t>
      </w:r>
      <w:r>
        <w:rPr>
          <w:rFonts w:ascii="Times New Roman;serif" w:hAnsi="Times New Roman;serif"/>
          <w:b w:val="false"/>
          <w:color w:val="000000"/>
          <w:sz w:val="24"/>
        </w:rPr>
        <w:t xml:space="preserve">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 </w:t>
      </w:r>
    </w:p>
    <w:p>
      <w:pPr>
        <w:pStyle w:val="TextBody"/>
        <w:bidi w:val="0"/>
        <w:spacing w:lineRule="auto" w:line="288" w:before="0" w:after="240"/>
        <w:jc w:val="left"/>
        <w:rPr>
          <w:rFonts w:ascii="Times New Roman;serif" w:hAnsi="Times New Roman;serif"/>
          <w:b/>
          <w:color w:val="000000"/>
          <w:sz w:val="24"/>
        </w:rPr>
      </w:pPr>
      <w:bookmarkStart w:id="57" w:name="i9817b921f17546f4bf218fb05c261444"/>
      <w:bookmarkEnd w:id="57"/>
      <w:r>
        <w:rPr>
          <w:rFonts w:ascii="Times New Roman;serif" w:hAnsi="Times New Roman;serif"/>
          <w:b/>
          <w:color w:val="000000"/>
          <w:sz w:val="24"/>
        </w:rPr>
        <w:t>Section 7.03.Trustee Not Responsible for Recitals or Issuance or Securities.</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 xml:space="preserve">The Trustee makes no representations as to the validity or sufficiency of this Indenture or of the Securities. </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lineRule="auto" w:line="288" w:before="0" w:after="240"/>
        <w:jc w:val="left"/>
        <w:rPr>
          <w:rFonts w:ascii="Times New Roman;serif" w:hAnsi="Times New Roman;serif"/>
          <w:b/>
          <w:color w:val="000000"/>
          <w:sz w:val="24"/>
        </w:rPr>
      </w:pPr>
      <w:bookmarkStart w:id="58" w:name="i21fa3139a3a845a39971f26d4e256297"/>
      <w:bookmarkEnd w:id="58"/>
      <w:r>
        <w:rPr>
          <w:rFonts w:ascii="Times New Roman;serif" w:hAnsi="Times New Roman;serif"/>
          <w:b/>
          <w:color w:val="000000"/>
          <w:sz w:val="24"/>
        </w:rPr>
        <w:t>Section 7.04.May Hold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0675"/>
                <wp:effectExtent l="0" t="0" r="0" b="0"/>
                <wp:wrapNone/>
                <wp:docPr id="79" name="Frame78"/>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lineRule="auto" w:line="288" w:before="0" w:after="240"/>
        <w:jc w:val="left"/>
        <w:rPr>
          <w:rFonts w:ascii="Times New Roman;serif" w:hAnsi="Times New Roman;serif"/>
          <w:b/>
          <w:color w:val="000000"/>
          <w:sz w:val="24"/>
        </w:rPr>
      </w:pPr>
      <w:bookmarkStart w:id="59" w:name="ie277393644174ce69d246411d6c7507d"/>
      <w:bookmarkEnd w:id="59"/>
      <w:r>
        <w:rPr>
          <w:rFonts w:ascii="Times New Roman;serif" w:hAnsi="Times New Roman;serif"/>
          <w:b/>
          <w:color w:val="000000"/>
          <w:sz w:val="24"/>
        </w:rPr>
        <w:t>Section 7.05.Moneys Held in Trust.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lineRule="auto" w:line="288" w:before="0" w:after="240"/>
        <w:jc w:val="left"/>
        <w:rPr>
          <w:rFonts w:ascii="Times New Roman;serif" w:hAnsi="Times New Roman;serif"/>
          <w:b/>
          <w:color w:val="000000"/>
          <w:sz w:val="24"/>
        </w:rPr>
      </w:pPr>
      <w:bookmarkStart w:id="60" w:name="id554662d31b84a5faa9bc2f40aa0a233"/>
      <w:bookmarkEnd w:id="60"/>
      <w:r>
        <w:rPr>
          <w:rFonts w:ascii="Times New Roman;serif" w:hAnsi="Times New Roman;serif"/>
          <w:b/>
          <w:color w:val="000000"/>
          <w:sz w:val="24"/>
        </w:rPr>
        <w:t>Section 7.06.Compensation and Reimbursement.</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color w:val="000000"/>
        </w:rPr>
        <w:t xml:space="preserve"> </w:t>
      </w:r>
      <w:r>
        <w:rPr>
          <w:rFonts w:ascii="Times New Roman;serif" w:hAnsi="Times New Roman;serif"/>
          <w:b w:val="false"/>
          <w:color w:val="000000"/>
          <w:sz w:val="24"/>
        </w:rPr>
        <w:t xml:space="preserve">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The Company need not reimburse any expense or indemnify against any loss or liability incurred by the Trustee or by any officer, director, employee, shareholder or agent of the Trustee through negligence or bad faith.</w:t>
      </w:r>
    </w:p>
    <w:p>
      <w:pPr>
        <w:pStyle w:val="TextBody"/>
        <w:bidi w:val="0"/>
        <w:spacing w:lineRule="auto" w:line="288"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0675"/>
                <wp:effectExtent l="0" t="0" r="0" b="0"/>
                <wp:wrapNone/>
                <wp:docPr id="80" name="Frame79"/>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bookmarkStart w:id="61" w:name="i66bf25660cf34ab5a4d6ec95b8c82b66"/>
      <w:bookmarkEnd w:id="61"/>
      <w:r>
        <w:rPr>
          <w:rFonts w:ascii="Times New Roman;serif" w:hAnsi="Times New Roman;serif"/>
          <w:b/>
          <w:color w:val="000000"/>
          <w:sz w:val="24"/>
        </w:rPr>
        <w:t>Section 7.07.Reliance on Officer’s Certificate.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lineRule="auto" w:line="288" w:before="0" w:after="240"/>
        <w:jc w:val="left"/>
        <w:rPr>
          <w:rFonts w:ascii="Times New Roman;serif" w:hAnsi="Times New Roman;serif"/>
          <w:b/>
          <w:color w:val="000000"/>
          <w:sz w:val="24"/>
        </w:rPr>
      </w:pPr>
      <w:bookmarkStart w:id="62" w:name="i976c7f2838504494ad5f888efb96dcdf"/>
      <w:bookmarkEnd w:id="62"/>
      <w:r>
        <w:rPr>
          <w:rFonts w:ascii="Times New Roman;serif" w:hAnsi="Times New Roman;serif"/>
          <w:b/>
          <w:color w:val="000000"/>
          <w:sz w:val="24"/>
        </w:rPr>
        <w:t>Section 7.08.Disqualification; Conflicting Interests.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lineRule="auto" w:line="288" w:before="0" w:after="240"/>
        <w:jc w:val="left"/>
        <w:rPr>
          <w:rFonts w:ascii="Times New Roman;serif" w:hAnsi="Times New Roman;serif"/>
          <w:b/>
          <w:color w:val="000000"/>
          <w:sz w:val="24"/>
        </w:rPr>
      </w:pPr>
      <w:bookmarkStart w:id="63" w:name="idd6410efa1384549b6120a30e3584512"/>
      <w:bookmarkEnd w:id="63"/>
      <w:r>
        <w:rPr>
          <w:rFonts w:ascii="Times New Roman;serif" w:hAnsi="Times New Roman;serif"/>
          <w:b/>
          <w:color w:val="000000"/>
          <w:sz w:val="24"/>
        </w:rPr>
        <w:t>Section 7.09.Corporate Trustee Required; Eligibility.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lineRule="auto" w:line="288" w:before="0" w:after="240"/>
        <w:jc w:val="left"/>
        <w:rPr>
          <w:rFonts w:ascii="Times New Roman;serif" w:hAnsi="Times New Roman;serif"/>
          <w:b/>
          <w:color w:val="000000"/>
          <w:sz w:val="24"/>
        </w:rPr>
      </w:pPr>
      <w:bookmarkStart w:id="64" w:name="ifa3f3fbd48fc41ff934c1606487412d7"/>
      <w:bookmarkEnd w:id="64"/>
      <w:r>
        <w:rPr>
          <w:rFonts w:ascii="Times New Roman;serif" w:hAnsi="Times New Roman;serif"/>
          <w:b/>
          <w:color w:val="000000"/>
          <w:sz w:val="24"/>
        </w:rPr>
        <w:t>Section 7.10.Resignation and Removal; Appointment of Successor.</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0675"/>
                <wp:effectExtent l="0" t="0" r="0" b="0"/>
                <wp:wrapNone/>
                <wp:docPr id="81" name="Frame80"/>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 xml:space="preserve">In case at any time any one of the following shall occur: </w:t>
      </w:r>
    </w:p>
    <w:p>
      <w:pPr>
        <w:pStyle w:val="TextBody"/>
        <w:bidi w:val="0"/>
        <w:spacing w:lineRule="auto" w:line="288" w:before="0" w:after="240"/>
        <w:ind w:left="0" w:right="0" w:firstLine="2160"/>
        <w:jc w:val="both"/>
        <w:rPr/>
      </w:pPr>
      <w:r>
        <w:rPr>
          <w:rFonts w:ascii="Times New Roman;serif" w:hAnsi="Times New Roman;serif"/>
          <w:b/>
          <w:color w:val="000000"/>
          <w:sz w:val="24"/>
        </w:rPr>
        <w:t>(1)</w:t>
      </w:r>
      <w:r>
        <w:rPr>
          <w:rFonts w:ascii="Times New Roman;serif" w:hAnsi="Times New Roman;serif"/>
          <w:b w:val="false"/>
          <w:color w:val="000000"/>
          <w:sz w:val="24"/>
        </w:rPr>
        <w:t xml:space="preserve">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lineRule="auto" w:line="288" w:before="0" w:after="240"/>
        <w:ind w:left="0" w:right="0" w:firstLine="2160"/>
        <w:jc w:val="both"/>
        <w:rPr/>
      </w:pPr>
      <w:r>
        <w:rPr>
          <w:rFonts w:ascii="Times New Roman;serif" w:hAnsi="Times New Roman;serif"/>
          <w:b/>
          <w:color w:val="000000"/>
          <w:sz w:val="24"/>
        </w:rPr>
        <w:t>(2)</w:t>
      </w:r>
      <w:r>
        <w:rPr>
          <w:rFonts w:ascii="Times New Roman;serif" w:hAnsi="Times New Roman;serif"/>
          <w:b w:val="false"/>
          <w:color w:val="000000"/>
          <w:sz w:val="24"/>
        </w:rPr>
        <w:t xml:space="preserve">the Trustee shall cease to be eligible in accordance with the provisions of Section 7.09 and shall fail to resign after written request therefor by the Company or by any such Securityholder; or </w:t>
      </w:r>
    </w:p>
    <w:p>
      <w:pPr>
        <w:pStyle w:val="TextBody"/>
        <w:bidi w:val="0"/>
        <w:spacing w:lineRule="auto" w:line="288" w:before="0" w:after="240"/>
        <w:ind w:left="0" w:right="0" w:firstLine="2160"/>
        <w:jc w:val="both"/>
        <w:rPr/>
      </w:pPr>
      <w:r>
        <w:rPr>
          <w:rFonts w:ascii="Times New Roman;serif" w:hAnsi="Times New Roman;serif"/>
          <w:b/>
          <w:color w:val="000000"/>
          <w:sz w:val="24"/>
        </w:rPr>
        <w:t>(3)</w:t>
      </w:r>
      <w:r>
        <w:rPr>
          <w:rFonts w:ascii="Times New Roman;serif" w:hAnsi="Times New Roman;serif"/>
          <w:b w:val="false"/>
          <w:color w:val="000000"/>
          <w:sz w:val="24"/>
        </w:rPr>
        <w:t xml:space="preserve">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lineRule="auto" w:line="288"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lineRule="auto" w:line="288" w:before="0" w:after="240"/>
        <w:ind w:left="0" w:right="0" w:firstLine="1440"/>
        <w:jc w:val="both"/>
        <w:rPr/>
      </w:pPr>
      <w:r>
        <w:rPr>
          <w:rFonts w:ascii="Times New Roman;serif" w:hAnsi="Times New Roman;serif"/>
          <w:b/>
          <w:color w:val="000000"/>
          <w:sz w:val="24"/>
        </w:rPr>
        <w:t>e.</w:t>
      </w:r>
      <w:r>
        <w:rPr>
          <w:rFonts w:ascii="Times New Roman;serif" w:hAnsi="Times New Roman;serif"/>
          <w:b w:val="false"/>
          <w:color w:val="000000"/>
          <w:sz w:val="24"/>
        </w:rPr>
        <w:t>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0675"/>
                <wp:effectExtent l="0" t="0" r="0" b="0"/>
                <wp:wrapNone/>
                <wp:docPr id="82" name="Frame81"/>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bookmarkStart w:id="65" w:name="i0d1649e8980a4d2b801aa58a73366f53"/>
      <w:bookmarkEnd w:id="65"/>
      <w:r>
        <w:rPr>
          <w:rFonts w:ascii="Times New Roman;serif" w:hAnsi="Times New Roman;serif"/>
          <w:b/>
          <w:color w:val="000000"/>
          <w:sz w:val="24"/>
        </w:rPr>
        <w:t>Section 7.11.Acceptance of Appointment By Successor.</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 xml:space="preserve">Upon request of any such successor trustee, the Company shall execute any and all instruments for more fully and certainly vesting in and confirming to such successor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0675"/>
                <wp:effectExtent l="0" t="0" r="0" b="0"/>
                <wp:wrapNone/>
                <wp:docPr id="83" name="Frame82"/>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trustee all such rights, powers and trusts referred to in paragraph (a) or (b) of this Section, as the case may be.</w:t>
      </w:r>
    </w:p>
    <w:p>
      <w:pPr>
        <w:pStyle w:val="TextBody"/>
        <w:bidi w:val="0"/>
        <w:spacing w:lineRule="auto" w:line="288"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No successor trustee shall accept its appointment unless at the time of such acceptance such successor trustee shall be qualified and eligible under this Article.</w:t>
      </w:r>
    </w:p>
    <w:p>
      <w:pPr>
        <w:pStyle w:val="TextBody"/>
        <w:bidi w:val="0"/>
        <w:spacing w:lineRule="auto" w:line="288" w:before="0" w:after="240"/>
        <w:ind w:left="0" w:right="0" w:firstLine="1440"/>
        <w:jc w:val="both"/>
        <w:rPr/>
      </w:pPr>
      <w:r>
        <w:rPr>
          <w:rFonts w:ascii="Times New Roman;serif" w:hAnsi="Times New Roman;serif"/>
          <w:b/>
          <w:color w:val="000000"/>
          <w:sz w:val="24"/>
        </w:rPr>
        <w:t>e.</w:t>
      </w:r>
      <w:r>
        <w:rPr>
          <w:rFonts w:ascii="Times New Roman;serif" w:hAnsi="Times New Roman;serif"/>
          <w:b w:val="false"/>
          <w:color w:val="000000"/>
          <w:sz w:val="24"/>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pStyle w:val="TextBody"/>
        <w:bidi w:val="0"/>
        <w:spacing w:lineRule="auto" w:line="288" w:before="0" w:after="240"/>
        <w:jc w:val="left"/>
        <w:rPr>
          <w:rFonts w:ascii="Times New Roman;serif" w:hAnsi="Times New Roman;serif"/>
          <w:b/>
          <w:color w:val="000000"/>
          <w:sz w:val="24"/>
        </w:rPr>
      </w:pPr>
      <w:bookmarkStart w:id="66" w:name="id42d590573324333a6ef8b685b89ba35"/>
      <w:bookmarkEnd w:id="66"/>
      <w:r>
        <w:rPr>
          <w:rFonts w:ascii="Times New Roman;serif" w:hAnsi="Times New Roman;serif"/>
          <w:b/>
          <w:color w:val="000000"/>
          <w:sz w:val="24"/>
        </w:rPr>
        <w:t>Section 7.12.Merger, Conversion, Consolidation or Succession to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lineRule="auto" w:line="288" w:before="0" w:after="240"/>
        <w:jc w:val="left"/>
        <w:rPr>
          <w:rFonts w:ascii="Times New Roman;serif" w:hAnsi="Times New Roman;serif"/>
          <w:b/>
          <w:color w:val="000000"/>
          <w:sz w:val="24"/>
        </w:rPr>
      </w:pPr>
      <w:bookmarkStart w:id="67" w:name="i418db33d53c743de94a4d288d860f4a9"/>
      <w:bookmarkEnd w:id="67"/>
      <w:r>
        <w:rPr>
          <w:rFonts w:ascii="Times New Roman;serif" w:hAnsi="Times New Roman;serif"/>
          <w:b/>
          <w:color w:val="000000"/>
          <w:sz w:val="24"/>
        </w:rPr>
        <w:t>Section 7.13.Preferential Collection of Claims Against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lineRule="auto" w:line="288" w:before="0" w:after="240"/>
        <w:jc w:val="left"/>
        <w:rPr>
          <w:rFonts w:ascii="Times New Roman;serif" w:hAnsi="Times New Roman;serif"/>
          <w:b/>
          <w:color w:val="000000"/>
          <w:sz w:val="24"/>
        </w:rPr>
      </w:pPr>
      <w:bookmarkStart w:id="68" w:name="icbfb8f55e6a84077b876ba2abd6efbf9"/>
      <w:bookmarkEnd w:id="68"/>
      <w:r>
        <w:rPr>
          <w:rFonts w:ascii="Times New Roman;serif" w:hAnsi="Times New Roman;serif"/>
          <w:b/>
          <w:color w:val="000000"/>
          <w:sz w:val="24"/>
        </w:rPr>
        <w:t xml:space="preserve">Section 7.14.Notice of Default.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serif" w:hAnsi="Times New Roman;serif"/>
          <w:b w:val="false"/>
          <w:i/>
          <w:color w:val="000000"/>
          <w:sz w:val="24"/>
        </w:rPr>
        <w:t>provided, however</w:t>
      </w:r>
      <w:r>
        <w:rPr>
          <w:rFonts w:ascii="Times New Roman;serif" w:hAnsi="Times New Roman;serif"/>
          <w:b w:val="false"/>
          <w:color w:val="000000"/>
          <w:sz w:val="24"/>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0675"/>
                <wp:effectExtent l="0" t="0" r="0" b="0"/>
                <wp:wrapNone/>
                <wp:docPr id="84" name="Frame83"/>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tLeast" w:line="288" w:before="0" w:after="0"/>
        <w:jc w:val="center"/>
        <w:rPr/>
      </w:pPr>
      <w:bookmarkStart w:id="69" w:name="i39443471e3bc42b6a55b8d52b35f2bd9"/>
      <w:bookmarkEnd w:id="69"/>
      <w:r>
        <w:rPr>
          <w:rFonts w:ascii="Times New Roman;serif" w:hAnsi="Times New Roman;serif"/>
          <w:b/>
          <w:color w:val="000000"/>
          <w:sz w:val="24"/>
        </w:rPr>
        <w:t>ARTICLE 8.</w:t>
      </w:r>
      <w:r>
        <w:rPr>
          <w:color w:val="000000"/>
        </w:rPr>
        <w:t xml:space="preserve"> </w:t>
      </w:r>
      <w:r>
        <w:rPr>
          <w:rFonts w:ascii="Times New Roman;serif" w:hAnsi="Times New Roman;serif"/>
          <w:b/>
          <w:color w:val="000000"/>
          <w:sz w:val="24"/>
        </w:rPr>
        <w:t>CONCERNING THE SECURITYHOLDERS</w:t>
      </w:r>
    </w:p>
    <w:p>
      <w:pPr>
        <w:pStyle w:val="TextBody"/>
        <w:bidi w:val="0"/>
        <w:spacing w:before="0" w:after="2"/>
        <w:jc w:val="center"/>
        <w:rPr/>
      </w:pPr>
      <w:r>
        <w:rPr/>
      </w:r>
    </w:p>
    <w:p>
      <w:pPr>
        <w:pStyle w:val="TextBody"/>
        <w:bidi w:val="0"/>
        <w:spacing w:lineRule="auto" w:line="288" w:before="0" w:after="240"/>
        <w:jc w:val="left"/>
        <w:rPr>
          <w:rFonts w:ascii="Times New Roman;serif" w:hAnsi="Times New Roman;serif"/>
          <w:b/>
          <w:color w:val="000000"/>
          <w:sz w:val="24"/>
        </w:rPr>
      </w:pPr>
      <w:bookmarkStart w:id="70" w:name="i62a7e0373dcd45868f1848f173d41445"/>
      <w:bookmarkEnd w:id="70"/>
      <w:r>
        <w:rPr>
          <w:rFonts w:ascii="Times New Roman;serif" w:hAnsi="Times New Roman;serif"/>
          <w:b/>
          <w:color w:val="000000"/>
          <w:sz w:val="24"/>
        </w:rPr>
        <w:t>Section 8.01.Evidence of Action by Securityholders.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lineRule="auto" w:line="288" w:before="0" w:after="240"/>
        <w:jc w:val="left"/>
        <w:rPr>
          <w:rFonts w:ascii="Times New Roman;serif" w:hAnsi="Times New Roman;serif"/>
          <w:b/>
          <w:color w:val="000000"/>
          <w:sz w:val="24"/>
        </w:rPr>
      </w:pPr>
      <w:bookmarkStart w:id="71" w:name="ie5566d723a46442396965774d0602732"/>
      <w:bookmarkEnd w:id="71"/>
      <w:r>
        <w:rPr>
          <w:rFonts w:ascii="Times New Roman;serif" w:hAnsi="Times New Roman;serif"/>
          <w:b/>
          <w:color w:val="000000"/>
          <w:sz w:val="24"/>
        </w:rPr>
        <w:t>Section 8.02.Proof of Execution by Securityholders.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The fact and date of the execution by any such Person of any instrument may be proved in any reasonable manner acceptable to the Trustee. </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The ownership of Securities shall be proved by the Security Register of such Securities or by a certificate of the Security Registrar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Trustee may require such additional proof of any matter referred to in this Section as it shall deem necessary.</w:t>
      </w:r>
    </w:p>
    <w:p>
      <w:pPr>
        <w:pStyle w:val="TextBody"/>
        <w:bidi w:val="0"/>
        <w:spacing w:lineRule="auto" w:line="288" w:before="0" w:after="240"/>
        <w:jc w:val="left"/>
        <w:rPr>
          <w:rFonts w:ascii="Times New Roman;serif" w:hAnsi="Times New Roman;serif"/>
          <w:b/>
          <w:color w:val="000000"/>
          <w:sz w:val="24"/>
        </w:rPr>
      </w:pPr>
      <w:bookmarkStart w:id="72" w:name="i23b92a5a7c734795af6de24a8bb8231a"/>
      <w:bookmarkEnd w:id="72"/>
      <w:r>
        <w:rPr>
          <w:rFonts w:ascii="Times New Roman;serif" w:hAnsi="Times New Roman;serif"/>
          <w:b/>
          <w:color w:val="000000"/>
          <w:sz w:val="24"/>
        </w:rPr>
        <w:t>Section 8.03.Who May be Deemed Owners.</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0675"/>
                <wp:effectExtent l="0" t="0" r="0" b="0"/>
                <wp:wrapNone/>
                <wp:docPr id="85" name="Frame84"/>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lineRule="auto" w:line="288" w:before="0" w:after="240"/>
        <w:jc w:val="left"/>
        <w:rPr>
          <w:rFonts w:ascii="Times New Roman;serif" w:hAnsi="Times New Roman;serif"/>
          <w:b/>
          <w:color w:val="000000"/>
          <w:sz w:val="24"/>
        </w:rPr>
      </w:pPr>
      <w:bookmarkStart w:id="73" w:name="i0885b23a59dc44599079c7cfc86bb74a"/>
      <w:bookmarkEnd w:id="73"/>
      <w:r>
        <w:rPr>
          <w:rFonts w:ascii="Times New Roman;serif" w:hAnsi="Times New Roman;serif"/>
          <w:b/>
          <w:color w:val="000000"/>
          <w:sz w:val="24"/>
        </w:rPr>
        <w:t>Section 8.04.Certain Securities Owned by Company Disregarded.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lineRule="auto" w:line="288" w:before="0" w:after="240"/>
        <w:jc w:val="left"/>
        <w:rPr>
          <w:rFonts w:ascii="Times New Roman;serif" w:hAnsi="Times New Roman;serif"/>
          <w:b/>
          <w:color w:val="000000"/>
          <w:sz w:val="24"/>
        </w:rPr>
      </w:pPr>
      <w:bookmarkStart w:id="74" w:name="if97d9a8405d14f17a1f13ae7b50f11c6"/>
      <w:bookmarkEnd w:id="74"/>
      <w:r>
        <w:rPr>
          <w:rFonts w:ascii="Times New Roman;serif" w:hAnsi="Times New Roman;serif"/>
          <w:b/>
          <w:color w:val="000000"/>
          <w:sz w:val="24"/>
        </w:rPr>
        <w:t>Section 8.05.Actions Binding on Future Securityholders.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lineRule="atLeast" w:line="288"/>
        <w:jc w:val="center"/>
        <w:rPr/>
      </w:pPr>
      <w:bookmarkStart w:id="75" w:name="ifd35807b851d4058bbe86333ab015b45"/>
      <w:bookmarkEnd w:id="75"/>
      <w:r>
        <w:rPr>
          <w:rFonts w:ascii="Times New Roman;serif" w:hAnsi="Times New Roman;serif"/>
          <w:b/>
          <w:color w:val="000000"/>
          <w:sz w:val="24"/>
        </w:rPr>
        <w:t>ARTICLE 9.</w:t>
      </w:r>
      <w:r>
        <w:rPr>
          <w:color w:val="000000"/>
        </w:rPr>
        <w:t xml:space="preserve"> </w:t>
      </w:r>
      <w:r>
        <w:rPr>
          <w:rFonts w:ascii="Times New Roman;serif" w:hAnsi="Times New Roman;serif"/>
          <w:b/>
          <w:color w:val="000000"/>
          <w:sz w:val="24"/>
        </w:rPr>
        <w:t>SUPPLEMENTAL INDENTURES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0675"/>
                <wp:effectExtent l="0" t="0" r="0" b="0"/>
                <wp:wrapNone/>
                <wp:docPr id="86" name="Frame85"/>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before="0" w:after="2"/>
        <w:jc w:val="center"/>
        <w:rPr/>
      </w:pPr>
      <w:r>
        <w:rPr/>
      </w:r>
    </w:p>
    <w:p>
      <w:pPr>
        <w:pStyle w:val="TextBody"/>
        <w:bidi w:val="0"/>
        <w:spacing w:lineRule="auto" w:line="288" w:before="0" w:after="240"/>
        <w:jc w:val="left"/>
        <w:rPr>
          <w:rFonts w:ascii="Times New Roman;serif" w:hAnsi="Times New Roman;serif"/>
          <w:b/>
          <w:color w:val="000000"/>
          <w:sz w:val="24"/>
        </w:rPr>
      </w:pPr>
      <w:bookmarkStart w:id="76" w:name="i2e24828e6c30467991d8b51fab5070b4"/>
      <w:bookmarkEnd w:id="76"/>
      <w:r>
        <w:rPr>
          <w:rFonts w:ascii="Times New Roman;serif" w:hAnsi="Times New Roman;serif"/>
          <w:b/>
          <w:color w:val="000000"/>
          <w:sz w:val="24"/>
        </w:rPr>
        <w:t>Section 9.01.Supplemental Indentures Without the Consent of Securityholders.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to cure any ambiguity, defect, or inconsistency herein or in the Securities of any series; </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 xml:space="preserve">to comply with Article Ten; </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 xml:space="preserve">to provide for uncertificated Securities in addition to or in place of certificated Securities; </w:t>
      </w:r>
    </w:p>
    <w:p>
      <w:pPr>
        <w:pStyle w:val="TextBody"/>
        <w:bidi w:val="0"/>
        <w:spacing w:lineRule="auto" w:line="288"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 xml:space="preserve">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lineRule="auto" w:line="288" w:before="0" w:after="240"/>
        <w:ind w:left="0" w:right="0" w:firstLine="1440"/>
        <w:jc w:val="both"/>
        <w:rPr/>
      </w:pPr>
      <w:r>
        <w:rPr>
          <w:rFonts w:ascii="Times New Roman;serif" w:hAnsi="Times New Roman;serif"/>
          <w:b/>
          <w:color w:val="000000"/>
          <w:sz w:val="24"/>
        </w:rPr>
        <w:t>e.</w:t>
      </w:r>
      <w:r>
        <w:rPr>
          <w:rFonts w:ascii="Times New Roman;serif" w:hAnsi="Times New Roman;serif"/>
          <w:b w:val="false"/>
          <w:color w:val="000000"/>
          <w:sz w:val="24"/>
        </w:rPr>
        <w:t xml:space="preserve">to add to, delete from, or revise the conditions, limitations, and restrictions on the authorized amount, terms, or purposes of issue, authentication, and delivery of Securities, as herein set forth; </w:t>
      </w:r>
    </w:p>
    <w:p>
      <w:pPr>
        <w:pStyle w:val="TextBody"/>
        <w:bidi w:val="0"/>
        <w:spacing w:lineRule="auto" w:line="288" w:before="0" w:after="240"/>
        <w:ind w:left="0" w:right="0" w:firstLine="1440"/>
        <w:jc w:val="both"/>
        <w:rPr/>
      </w:pPr>
      <w:r>
        <w:rPr>
          <w:rFonts w:ascii="Times New Roman;serif" w:hAnsi="Times New Roman;serif"/>
          <w:b/>
          <w:color w:val="000000"/>
          <w:sz w:val="24"/>
        </w:rPr>
        <w:t>f.</w:t>
      </w:r>
      <w:r>
        <w:rPr>
          <w:rFonts w:ascii="Times New Roman;serif" w:hAnsi="Times New Roman;serif"/>
          <w:b w:val="false"/>
          <w:color w:val="000000"/>
          <w:sz w:val="24"/>
        </w:rPr>
        <w:t xml:space="preserve">to make any change that does not adversely affect the rights of any Securityholder in any material respect; </w:t>
      </w:r>
    </w:p>
    <w:p>
      <w:pPr>
        <w:pStyle w:val="TextBody"/>
        <w:bidi w:val="0"/>
        <w:spacing w:lineRule="auto" w:line="288" w:before="0" w:after="240"/>
        <w:ind w:left="0" w:right="0" w:firstLine="1440"/>
        <w:jc w:val="both"/>
        <w:rPr/>
      </w:pPr>
      <w:r>
        <w:rPr>
          <w:rFonts w:ascii="Times New Roman;serif" w:hAnsi="Times New Roman;serif"/>
          <w:b/>
          <w:color w:val="000000"/>
          <w:sz w:val="24"/>
        </w:rPr>
        <w:t>g.</w:t>
      </w:r>
      <w:r>
        <w:rPr>
          <w:rFonts w:ascii="Times New Roman;serif" w:hAnsi="Times New Roman;serif"/>
          <w:b w:val="false"/>
          <w:color w:val="000000"/>
          <w:sz w:val="24"/>
        </w:rPr>
        <w:t xml:space="preserve">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lineRule="auto" w:line="288" w:before="0" w:after="240"/>
        <w:ind w:left="0" w:right="0" w:firstLine="1440"/>
        <w:jc w:val="both"/>
        <w:rPr/>
      </w:pPr>
      <w:r>
        <w:rPr>
          <w:rFonts w:ascii="Times New Roman;serif" w:hAnsi="Times New Roman;serif"/>
          <w:b/>
          <w:color w:val="000000"/>
          <w:sz w:val="24"/>
        </w:rPr>
        <w:t>h.</w:t>
      </w:r>
      <w:r>
        <w:rPr>
          <w:rFonts w:ascii="Times New Roman;serif" w:hAnsi="Times New Roman;serif"/>
          <w:b w:val="false"/>
          <w:color w:val="000000"/>
          <w:sz w:val="24"/>
        </w:rPr>
        <w:t xml:space="preserve">to evidence and provide for the acceptance of appointment hereunder by a successor trustee; or </w:t>
      </w:r>
    </w:p>
    <w:p>
      <w:pPr>
        <w:pStyle w:val="TextBody"/>
        <w:bidi w:val="0"/>
        <w:spacing w:lineRule="auto" w:line="288" w:before="0" w:after="240"/>
        <w:ind w:left="0" w:right="0" w:firstLine="1440"/>
        <w:jc w:val="both"/>
        <w:rPr/>
      </w:pPr>
      <w:r>
        <w:rPr>
          <w:rFonts w:ascii="Times New Roman;serif" w:hAnsi="Times New Roman;serif"/>
          <w:b/>
          <w:color w:val="000000"/>
          <w:sz w:val="24"/>
        </w:rPr>
        <w:t>i.</w:t>
      </w:r>
      <w:r>
        <w:rPr>
          <w:rFonts w:ascii="Times New Roman;serif" w:hAnsi="Times New Roman;serif"/>
          <w:b w:val="false"/>
          <w:color w:val="000000"/>
          <w:sz w:val="24"/>
        </w:rPr>
        <w:t>to comply with any requirements of the Commission or any successor in connection with the qualification of this Indenture under the Trust Indenture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0675"/>
                <wp:effectExtent l="0" t="0" r="0" b="0"/>
                <wp:wrapNone/>
                <wp:docPr id="87" name="Frame86"/>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supplemental indenture that affects the Trustee’s own rights, duties or immunities under this Indenture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lineRule="auto" w:line="288" w:before="0" w:after="240"/>
        <w:jc w:val="left"/>
        <w:rPr>
          <w:rFonts w:ascii="Times New Roman;serif" w:hAnsi="Times New Roman;serif"/>
          <w:b/>
          <w:color w:val="000000"/>
          <w:sz w:val="24"/>
        </w:rPr>
      </w:pPr>
      <w:bookmarkStart w:id="77" w:name="i676189ce65ef460bbd50229d8f8faa25"/>
      <w:bookmarkEnd w:id="77"/>
      <w:r>
        <w:rPr>
          <w:rFonts w:ascii="Times New Roman;serif" w:hAnsi="Times New Roman;serif"/>
          <w:b/>
          <w:color w:val="000000"/>
          <w:sz w:val="24"/>
        </w:rPr>
        <w:t>Section 9.02.Supplemental Indentures With Consent of Securityholders.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lineRule="auto" w:line="288" w:before="0" w:after="240"/>
        <w:jc w:val="left"/>
        <w:rPr>
          <w:rFonts w:ascii="Times New Roman;serif" w:hAnsi="Times New Roman;serif"/>
          <w:b/>
          <w:color w:val="000000"/>
          <w:sz w:val="24"/>
        </w:rPr>
      </w:pPr>
      <w:bookmarkStart w:id="78" w:name="i268ec4c56bcf403c892807ff06e14faa"/>
      <w:bookmarkEnd w:id="78"/>
      <w:r>
        <w:rPr>
          <w:rFonts w:ascii="Times New Roman;serif" w:hAnsi="Times New Roman;serif"/>
          <w:b/>
          <w:color w:val="000000"/>
          <w:sz w:val="24"/>
        </w:rPr>
        <w:t>Section 9.03.Effect of Supplemental Indentures.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lineRule="auto" w:line="288" w:before="0" w:after="240"/>
        <w:jc w:val="left"/>
        <w:rPr>
          <w:rFonts w:ascii="Times New Roman;serif" w:hAnsi="Times New Roman;serif"/>
          <w:b/>
          <w:color w:val="000000"/>
          <w:sz w:val="24"/>
        </w:rPr>
      </w:pPr>
      <w:bookmarkStart w:id="79" w:name="i0afea56ba00c479aaf5ecb775be1a1c2"/>
      <w:bookmarkEnd w:id="79"/>
      <w:r>
        <w:rPr>
          <w:rFonts w:ascii="Times New Roman;serif" w:hAnsi="Times New Roman;serif"/>
          <w:b/>
          <w:color w:val="000000"/>
          <w:sz w:val="24"/>
        </w:rPr>
        <w:t>Section 9.04.Securities Affected by Supplemental Indentures.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0675"/>
                <wp:effectExtent l="0" t="0" r="0" b="0"/>
                <wp:wrapNone/>
                <wp:docPr id="88" name="Frame87"/>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lineRule="auto" w:line="288" w:before="0" w:after="240"/>
        <w:jc w:val="left"/>
        <w:rPr>
          <w:rFonts w:ascii="Times New Roman;serif" w:hAnsi="Times New Roman;serif"/>
          <w:b/>
          <w:color w:val="000000"/>
          <w:sz w:val="24"/>
        </w:rPr>
      </w:pPr>
      <w:bookmarkStart w:id="80" w:name="ic26127b8b4c0478ea639432e5bed04dc"/>
      <w:bookmarkEnd w:id="80"/>
      <w:r>
        <w:rPr>
          <w:rFonts w:ascii="Times New Roman;serif" w:hAnsi="Times New Roman;serif"/>
          <w:b/>
          <w:color w:val="000000"/>
          <w:sz w:val="24"/>
        </w:rPr>
        <w:t>Section 9.05.Execution of Supplemental Indentures.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lineRule="atLeast" w:line="288" w:before="0" w:after="0"/>
        <w:jc w:val="center"/>
        <w:rPr>
          <w:rFonts w:ascii="Times New Roman;serif" w:hAnsi="Times New Roman;serif"/>
          <w:b/>
          <w:color w:val="000000"/>
          <w:sz w:val="24"/>
        </w:rPr>
      </w:pPr>
      <w:bookmarkStart w:id="81" w:name="i7793287ce0ec49ddaf7077d7b6b64b09"/>
      <w:bookmarkEnd w:id="81"/>
      <w:r>
        <w:rPr>
          <w:rFonts w:ascii="Times New Roman;serif" w:hAnsi="Times New Roman;serif"/>
          <w:b/>
          <w:color w:val="000000"/>
          <w:sz w:val="24"/>
        </w:rPr>
        <w:t>ARTICLE 10.SUCCESSOR ENTITY</w:t>
      </w:r>
    </w:p>
    <w:p>
      <w:pPr>
        <w:pStyle w:val="TextBody"/>
        <w:bidi w:val="0"/>
        <w:spacing w:before="0" w:after="2"/>
        <w:jc w:val="center"/>
        <w:rPr/>
      </w:pPr>
      <w:r>
        <w:rPr/>
      </w:r>
    </w:p>
    <w:p>
      <w:pPr>
        <w:pStyle w:val="TextBody"/>
        <w:bidi w:val="0"/>
        <w:spacing w:lineRule="auto" w:line="288" w:before="0" w:after="240"/>
        <w:jc w:val="left"/>
        <w:rPr/>
      </w:pPr>
      <w:bookmarkStart w:id="82" w:name="ic5bd1b45ef2b4283a89b6a24244e1c8b"/>
      <w:bookmarkEnd w:id="82"/>
      <w:r>
        <w:rPr>
          <w:rFonts w:ascii="Times New Roman;serif" w:hAnsi="Times New Roman;serif"/>
          <w:b/>
          <w:color w:val="000000"/>
          <w:sz w:val="24"/>
        </w:rPr>
        <w:t>Section 10.01.</w:t>
      </w:r>
      <w:r>
        <w:rPr>
          <w:color w:val="000000"/>
        </w:rPr>
        <w:t xml:space="preserve"> </w:t>
      </w:r>
      <w:r>
        <w:rPr>
          <w:rFonts w:ascii="Times New Roman;serif" w:hAnsi="Times New Roman;serif"/>
          <w:b/>
          <w:color w:val="000000"/>
          <w:sz w:val="24"/>
        </w:rPr>
        <w:t>Company May Consolidate,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0675"/>
                <wp:effectExtent l="0" t="0" r="0" b="0"/>
                <wp:wrapNone/>
                <wp:docPr id="89" name="Frame88"/>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lineRule="auto" w:line="288" w:before="0" w:after="240"/>
        <w:jc w:val="left"/>
        <w:rPr/>
      </w:pPr>
      <w:bookmarkStart w:id="83" w:name="id2f9f0308e914d489ad32b7c7ae57a80"/>
      <w:bookmarkEnd w:id="83"/>
      <w:r>
        <w:rPr>
          <w:rFonts w:ascii="Times New Roman;serif" w:hAnsi="Times New Roman;serif"/>
          <w:b/>
          <w:color w:val="000000"/>
          <w:sz w:val="24"/>
        </w:rPr>
        <w:t>Section 10.02.</w:t>
      </w:r>
      <w:r>
        <w:rPr>
          <w:color w:val="000000"/>
        </w:rPr>
        <w:t xml:space="preserve"> </w:t>
      </w:r>
      <w:r>
        <w:rPr>
          <w:rFonts w:ascii="Times New Roman;serif" w:hAnsi="Times New Roman;serif"/>
          <w:b/>
          <w:color w:val="000000"/>
          <w:sz w:val="24"/>
        </w:rPr>
        <w:t>Successor Entity Substituted.</w: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lineRule="auto" w:line="288"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lineRule="atLeast" w:line="288" w:before="0" w:after="0"/>
        <w:jc w:val="center"/>
        <w:rPr>
          <w:rFonts w:ascii="Times New Roman;serif" w:hAnsi="Times New Roman;serif"/>
          <w:b/>
          <w:color w:val="000000"/>
          <w:sz w:val="24"/>
        </w:rPr>
      </w:pPr>
      <w:bookmarkStart w:id="84" w:name="icb698fc9725d4fb09168d9f231b986c7"/>
      <w:bookmarkEnd w:id="84"/>
      <w:r>
        <w:rPr>
          <w:rFonts w:ascii="Times New Roman;serif" w:hAnsi="Times New Roman;serif"/>
          <w:b/>
          <w:color w:val="000000"/>
          <w:sz w:val="24"/>
        </w:rPr>
        <w:t>ARTICLE 11.SATISFACTION AND DISCHARGE</w:t>
      </w:r>
    </w:p>
    <w:p>
      <w:pPr>
        <w:pStyle w:val="TextBody"/>
        <w:bidi w:val="0"/>
        <w:spacing w:before="0" w:after="2"/>
        <w:jc w:val="center"/>
        <w:rPr/>
      </w:pPr>
      <w:r>
        <w:rPr/>
      </w:r>
    </w:p>
    <w:p>
      <w:pPr>
        <w:pStyle w:val="TextBody"/>
        <w:bidi w:val="0"/>
        <w:spacing w:lineRule="auto" w:line="288" w:before="0" w:after="240"/>
        <w:jc w:val="left"/>
        <w:rPr/>
      </w:pPr>
      <w:bookmarkStart w:id="85" w:name="ib906f05bc5c440949b600663d2c22d4e"/>
      <w:bookmarkEnd w:id="85"/>
      <w:r>
        <w:rPr>
          <w:rFonts w:ascii="Times New Roman;serif" w:hAnsi="Times New Roman;serif"/>
          <w:b/>
          <w:color w:val="000000"/>
          <w:sz w:val="24"/>
        </w:rPr>
        <w:t>Section 11.01.</w:t>
      </w:r>
      <w:r>
        <w:rPr>
          <w:color w:val="000000"/>
        </w:rPr>
        <w:t xml:space="preserve"> </w:t>
      </w:r>
      <w:r>
        <w:rPr>
          <w:rFonts w:ascii="Times New Roman;serif" w:hAnsi="Times New Roman;serif"/>
          <w:b/>
          <w:color w:val="000000"/>
          <w:sz w:val="24"/>
        </w:rPr>
        <w:t>Satisfaction and Discharge of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0675"/>
                <wp:effectExtent l="0" t="0" r="0" b="0"/>
                <wp:wrapNone/>
                <wp:docPr id="90" name="Frame89"/>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lineRule="auto" w:line="288" w:before="0" w:after="240"/>
        <w:jc w:val="left"/>
        <w:rPr/>
      </w:pPr>
      <w:bookmarkStart w:id="86" w:name="i038fb87a52f1402eb05bb6cc29007c2f"/>
      <w:bookmarkEnd w:id="86"/>
      <w:r>
        <w:rPr>
          <w:rFonts w:ascii="Times New Roman;serif" w:hAnsi="Times New Roman;serif"/>
          <w:b/>
          <w:color w:val="000000"/>
          <w:sz w:val="24"/>
        </w:rPr>
        <w:t>Section 11.02.</w:t>
      </w:r>
      <w:r>
        <w:rPr>
          <w:color w:val="000000"/>
        </w:rPr>
        <w:t xml:space="preserve"> </w:t>
      </w:r>
      <w:r>
        <w:rPr>
          <w:rFonts w:ascii="Times New Roman;serif" w:hAnsi="Times New Roman;serif"/>
          <w:b/>
          <w:color w:val="000000"/>
          <w:sz w:val="24"/>
        </w:rPr>
        <w:t>Discharge of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Thereafter, Sections 7.06 and 11.05 shall survive.</w:t>
      </w:r>
    </w:p>
    <w:p>
      <w:pPr>
        <w:pStyle w:val="TextBody"/>
        <w:bidi w:val="0"/>
        <w:spacing w:lineRule="auto" w:line="288" w:before="0" w:after="240"/>
        <w:jc w:val="left"/>
        <w:rPr/>
      </w:pPr>
      <w:bookmarkStart w:id="87" w:name="i04452e55dcdf431482c6db538a9219af"/>
      <w:bookmarkEnd w:id="87"/>
      <w:r>
        <w:rPr>
          <w:rFonts w:ascii="Times New Roman;serif" w:hAnsi="Times New Roman;serif"/>
          <w:b/>
          <w:color w:val="000000"/>
          <w:sz w:val="24"/>
        </w:rPr>
        <w:t>Section 11.03.</w:t>
      </w:r>
      <w:r>
        <w:rPr>
          <w:color w:val="000000"/>
        </w:rPr>
        <w:t xml:space="preserve"> </w:t>
      </w:r>
      <w:r>
        <w:rPr>
          <w:rFonts w:ascii="Times New Roman;serif" w:hAnsi="Times New Roman;serif"/>
          <w:b/>
          <w:color w:val="000000"/>
          <w:sz w:val="24"/>
        </w:rPr>
        <w:t>Deposited Moneys to be Held in Trust.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lineRule="auto" w:line="288" w:before="0" w:after="240"/>
        <w:jc w:val="left"/>
        <w:rPr/>
      </w:pPr>
      <w:bookmarkStart w:id="88" w:name="i2f70795f395f4fd691c499dcd2a4791e"/>
      <w:bookmarkEnd w:id="88"/>
      <w:r>
        <w:rPr>
          <w:rFonts w:ascii="Times New Roman;serif" w:hAnsi="Times New Roman;serif"/>
          <w:b/>
          <w:color w:val="000000"/>
          <w:sz w:val="24"/>
        </w:rPr>
        <w:t>Section 11.04.</w:t>
      </w:r>
      <w:r>
        <w:rPr>
          <w:color w:val="000000"/>
        </w:rPr>
        <w:t xml:space="preserve"> </w:t>
      </w:r>
      <w:r>
        <w:rPr>
          <w:rFonts w:ascii="Times New Roman;serif" w:hAnsi="Times New Roman;serif"/>
          <w:b/>
          <w:color w:val="000000"/>
          <w:sz w:val="24"/>
        </w:rPr>
        <w:t>Payment of Moneys Held by Paying Agents.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lineRule="auto" w:line="288" w:before="0" w:after="240"/>
        <w:jc w:val="left"/>
        <w:rPr/>
      </w:pPr>
      <w:bookmarkStart w:id="89" w:name="i81336a68654f4c84abf4fb9c79361ad4"/>
      <w:bookmarkEnd w:id="89"/>
      <w:r>
        <w:rPr>
          <w:rFonts w:ascii="Times New Roman;serif" w:hAnsi="Times New Roman;serif"/>
          <w:b/>
          <w:color w:val="000000"/>
          <w:sz w:val="24"/>
        </w:rPr>
        <w:t>Section 11.05.</w:t>
      </w:r>
      <w:r>
        <w:rPr>
          <w:color w:val="000000"/>
        </w:rPr>
        <w:t xml:space="preserve"> </w:t>
      </w:r>
      <w:r>
        <w:rPr>
          <w:rFonts w:ascii="Times New Roman;serif" w:hAnsi="Times New Roman;serif"/>
          <w:b/>
          <w:color w:val="000000"/>
          <w:sz w:val="24"/>
        </w:rPr>
        <w:t>Repayment to Company.</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0675"/>
                <wp:effectExtent l="0" t="0" r="0" b="0"/>
                <wp:wrapNone/>
                <wp:docPr id="91" name="Frame90"/>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lineRule="atLeast" w:line="288" w:before="0" w:after="0"/>
        <w:jc w:val="center"/>
        <w:rPr>
          <w:rFonts w:ascii="Times New Roman;serif" w:hAnsi="Times New Roman;serif"/>
          <w:b/>
          <w:color w:val="000000"/>
          <w:sz w:val="24"/>
        </w:rPr>
      </w:pPr>
      <w:bookmarkStart w:id="90" w:name="i45610cb6333e41c0aa5baac478627715"/>
      <w:bookmarkEnd w:id="90"/>
      <w:r>
        <w:rPr>
          <w:rFonts w:ascii="Times New Roman;serif" w:hAnsi="Times New Roman;serif"/>
          <w:b/>
          <w:color w:val="000000"/>
          <w:sz w:val="24"/>
        </w:rPr>
        <w:t>ARTICLE 12.IMMUNITY OF INCORPORATORS, STOCKHOLDERS, OFFICERS AND DIRECTORS</w:t>
      </w:r>
    </w:p>
    <w:p>
      <w:pPr>
        <w:pStyle w:val="TextBody"/>
        <w:bidi w:val="0"/>
        <w:spacing w:before="0" w:after="2"/>
        <w:jc w:val="center"/>
        <w:rPr/>
      </w:pPr>
      <w:r>
        <w:rPr/>
      </w:r>
    </w:p>
    <w:p>
      <w:pPr>
        <w:pStyle w:val="TextBody"/>
        <w:bidi w:val="0"/>
        <w:spacing w:lineRule="auto" w:line="288" w:before="0" w:after="240"/>
        <w:jc w:val="left"/>
        <w:rPr/>
      </w:pPr>
      <w:bookmarkStart w:id="91" w:name="i6c8e54bfd1e4448983bda93206ef5b2b"/>
      <w:bookmarkEnd w:id="91"/>
      <w:r>
        <w:rPr>
          <w:rFonts w:ascii="Times New Roman;serif" w:hAnsi="Times New Roman;serif"/>
          <w:b/>
          <w:color w:val="000000"/>
          <w:sz w:val="24"/>
        </w:rPr>
        <w:t>Section 12.01.</w:t>
      </w:r>
      <w:r>
        <w:rPr>
          <w:color w:val="000000"/>
        </w:rPr>
        <w:t xml:space="preserve"> </w:t>
      </w:r>
      <w:r>
        <w:rPr>
          <w:rFonts w:ascii="Times New Roman;serif" w:hAnsi="Times New Roman;serif"/>
          <w:b/>
          <w:color w:val="000000"/>
          <w:sz w:val="24"/>
        </w:rPr>
        <w:t>No Recourse.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lineRule="atLeast" w:line="288" w:before="0" w:after="0"/>
        <w:jc w:val="center"/>
        <w:rPr>
          <w:rFonts w:ascii="Times New Roman;serif" w:hAnsi="Times New Roman;serif"/>
          <w:b/>
          <w:color w:val="000000"/>
          <w:sz w:val="24"/>
        </w:rPr>
      </w:pPr>
      <w:bookmarkStart w:id="92" w:name="iafcad8ca14b74332922e0fd2a5345830"/>
      <w:bookmarkEnd w:id="92"/>
      <w:r>
        <w:rPr>
          <w:rFonts w:ascii="Times New Roman;serif" w:hAnsi="Times New Roman;serif"/>
          <w:b/>
          <w:color w:val="000000"/>
          <w:sz w:val="24"/>
        </w:rPr>
        <w:t>ARTICLE 13.MISCELLANEOUS PROVISIONS</w:t>
      </w:r>
    </w:p>
    <w:p>
      <w:pPr>
        <w:pStyle w:val="TextBody"/>
        <w:bidi w:val="0"/>
        <w:spacing w:before="0" w:after="2"/>
        <w:jc w:val="center"/>
        <w:rPr/>
      </w:pPr>
      <w:r>
        <w:rPr/>
      </w:r>
    </w:p>
    <w:p>
      <w:pPr>
        <w:pStyle w:val="TextBody"/>
        <w:bidi w:val="0"/>
        <w:spacing w:lineRule="auto" w:line="288" w:before="0" w:after="240"/>
        <w:jc w:val="left"/>
        <w:rPr/>
      </w:pPr>
      <w:bookmarkStart w:id="93" w:name="i07949af5e8ce4177860a3c32b015a5e9"/>
      <w:bookmarkEnd w:id="93"/>
      <w:r>
        <w:rPr>
          <w:rFonts w:ascii="Times New Roman;serif" w:hAnsi="Times New Roman;serif"/>
          <w:b/>
          <w:color w:val="000000"/>
          <w:sz w:val="24"/>
        </w:rPr>
        <w:t>Section 13.01.</w:t>
      </w:r>
      <w:r>
        <w:rPr>
          <w:color w:val="000000"/>
        </w:rPr>
        <w:t xml:space="preserve"> </w:t>
      </w:r>
      <w:r>
        <w:rPr>
          <w:rFonts w:ascii="Times New Roman;serif" w:hAnsi="Times New Roman;serif"/>
          <w:b/>
          <w:color w:val="000000"/>
          <w:sz w:val="24"/>
        </w:rPr>
        <w:t>Effect on Successors and Assigns.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the covenants, stipulations, promises and agreements in this Indenture made by or on behalf of the Company shall bind its successors and assigns, whether so expressed or not.</w:t>
      </w:r>
    </w:p>
    <w:p>
      <w:pPr>
        <w:pStyle w:val="TextBody"/>
        <w:bidi w:val="0"/>
        <w:spacing w:lineRule="auto" w:line="288" w:before="0" w:after="240"/>
        <w:jc w:val="left"/>
        <w:rPr/>
      </w:pPr>
      <w:bookmarkStart w:id="94" w:name="iac9bd28471bf46d2a1f05115c2ade6fd"/>
      <w:bookmarkEnd w:id="94"/>
      <w:r>
        <w:rPr>
          <w:rFonts w:ascii="Times New Roman;serif" w:hAnsi="Times New Roman;serif"/>
          <w:b/>
          <w:color w:val="000000"/>
          <w:sz w:val="24"/>
        </w:rPr>
        <w:t>Section 13.02.</w:t>
      </w:r>
      <w:r>
        <w:rPr>
          <w:color w:val="000000"/>
        </w:rPr>
        <w:t xml:space="preserve"> </w:t>
      </w:r>
      <w:r>
        <w:rPr>
          <w:rFonts w:ascii="Times New Roman;serif" w:hAnsi="Times New Roman;serif"/>
          <w:b/>
          <w:color w:val="000000"/>
          <w:sz w:val="24"/>
        </w:rPr>
        <w:t>Actions by Successor.</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0675"/>
                <wp:effectExtent l="0" t="0" r="0" b="0"/>
                <wp:wrapNone/>
                <wp:docPr id="92" name="Frame91"/>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lineRule="auto" w:line="288" w:before="0" w:after="240"/>
        <w:jc w:val="left"/>
        <w:rPr/>
      </w:pPr>
      <w:bookmarkStart w:id="95" w:name="i0e214908011d46bcb9c6a4187496d877"/>
      <w:bookmarkEnd w:id="95"/>
      <w:r>
        <w:rPr>
          <w:rFonts w:ascii="Times New Roman;serif" w:hAnsi="Times New Roman;serif"/>
          <w:b/>
          <w:color w:val="000000"/>
          <w:sz w:val="24"/>
        </w:rPr>
        <w:t>Section 13.03.</w:t>
      </w:r>
      <w:r>
        <w:rPr>
          <w:color w:val="000000"/>
        </w:rPr>
        <w:t xml:space="preserve"> </w:t>
      </w:r>
      <w:r>
        <w:rPr>
          <w:rFonts w:ascii="Times New Roman;serif" w:hAnsi="Times New Roman;serif"/>
          <w:b/>
          <w:color w:val="000000"/>
          <w:sz w:val="24"/>
        </w:rPr>
        <w:t>Surrender of Company Powers.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lineRule="auto" w:line="288" w:before="0" w:after="240"/>
        <w:jc w:val="left"/>
        <w:rPr/>
      </w:pPr>
      <w:bookmarkStart w:id="96" w:name="ia3f4ea6a287247ec882d63190a9cdfda"/>
      <w:bookmarkEnd w:id="96"/>
      <w:r>
        <w:rPr>
          <w:rFonts w:ascii="Times New Roman;serif" w:hAnsi="Times New Roman;serif"/>
          <w:b/>
          <w:color w:val="000000"/>
          <w:sz w:val="24"/>
        </w:rPr>
        <w:t>Section 13.04.</w:t>
      </w:r>
      <w:r>
        <w:rPr>
          <w:color w:val="000000"/>
        </w:rPr>
        <w:t xml:space="preserve"> </w:t>
      </w:r>
      <w:r>
        <w:rPr>
          <w:rFonts w:ascii="Times New Roman;serif" w:hAnsi="Times New Roman;serif"/>
          <w:b/>
          <w:color w:val="000000"/>
          <w:sz w:val="24"/>
        </w:rPr>
        <w:t>Notices.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w:t>
      </w:r>
      <w:r>
        <w:rPr>
          <w:color w:val="000000"/>
          <w:u w:val="single"/>
        </w:rPr>
        <w:t>                                                                                                                </w:t>
      </w:r>
      <w:r>
        <w:rPr>
          <w:rFonts w:ascii="Times New Roman;serif" w:hAnsi="Times New Roman;serif"/>
          <w:b w:val="false"/>
          <w:color w:val="000000"/>
          <w:sz w:val="24"/>
        </w:rPr>
        <w:t>.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lineRule="auto" w:line="288" w:before="0" w:after="240"/>
        <w:jc w:val="left"/>
        <w:rPr/>
      </w:pPr>
      <w:bookmarkStart w:id="97" w:name="i98f94af15b814a968a6989baca9fbf3f"/>
      <w:bookmarkEnd w:id="97"/>
      <w:r>
        <w:rPr>
          <w:rFonts w:ascii="Times New Roman;serif" w:hAnsi="Times New Roman;serif"/>
          <w:b/>
          <w:color w:val="000000"/>
          <w:sz w:val="24"/>
        </w:rPr>
        <w:t>Section 13.05.</w:t>
      </w:r>
      <w:r>
        <w:rPr>
          <w:color w:val="000000"/>
        </w:rPr>
        <w:t xml:space="preserve"> </w:t>
      </w:r>
      <w:r>
        <w:rPr>
          <w:rFonts w:ascii="Times New Roman;serif" w:hAnsi="Times New Roman;serif"/>
          <w:b/>
          <w:color w:val="000000"/>
          <w:sz w:val="24"/>
        </w:rPr>
        <w:t>Governing Law; Jury Trial Waiver.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and each Security shall be governed by, and construed in accordance with, the internal laws of the State of New York, except to the extent that the Trust Indenture Act is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lineRule="auto" w:line="288" w:before="0" w:after="240"/>
        <w:jc w:val="left"/>
        <w:rPr/>
      </w:pPr>
      <w:bookmarkStart w:id="98" w:name="id9e774fd590f4bda8c9f36bc5fb6ca1b"/>
      <w:bookmarkEnd w:id="98"/>
      <w:r>
        <w:rPr>
          <w:rFonts w:ascii="Times New Roman;serif" w:hAnsi="Times New Roman;serif"/>
          <w:b/>
          <w:color w:val="000000"/>
          <w:sz w:val="24"/>
        </w:rPr>
        <w:t>Section 13.06.</w:t>
      </w:r>
      <w:r>
        <w:rPr>
          <w:color w:val="000000"/>
        </w:rPr>
        <w:t xml:space="preserve"> </w:t>
      </w:r>
      <w:r>
        <w:rPr>
          <w:rFonts w:ascii="Times New Roman;serif" w:hAnsi="Times New Roman;serif"/>
          <w:b/>
          <w:color w:val="000000"/>
          <w:sz w:val="24"/>
        </w:rPr>
        <w:t>Treatment of Securities as Debt.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is intended that the Securities will be treated as indebtedness and not as equity for federal income tax purposes. The provisions of this Indenture shall be interpreted to further this intention.</w:t>
      </w:r>
    </w:p>
    <w:p>
      <w:pPr>
        <w:pStyle w:val="TextBody"/>
        <w:bidi w:val="0"/>
        <w:spacing w:lineRule="auto" w:line="288" w:before="0" w:after="240"/>
        <w:jc w:val="left"/>
        <w:rPr/>
      </w:pPr>
      <w:bookmarkStart w:id="99" w:name="ie5c534347d6249e698f7e792e4b5642f"/>
      <w:bookmarkEnd w:id="99"/>
      <w:r>
        <w:rPr>
          <w:rFonts w:ascii="Times New Roman;serif" w:hAnsi="Times New Roman;serif"/>
          <w:b/>
          <w:color w:val="000000"/>
          <w:sz w:val="24"/>
        </w:rPr>
        <w:t>Section 13.07.</w:t>
      </w:r>
      <w:r>
        <w:rPr>
          <w:color w:val="000000"/>
        </w:rPr>
        <w:t xml:space="preserve"> </w:t>
      </w:r>
      <w:r>
        <w:rPr>
          <w:rFonts w:ascii="Times New Roman;serif" w:hAnsi="Times New Roman;serif"/>
          <w:b/>
          <w:color w:val="000000"/>
          <w:sz w:val="24"/>
        </w:rPr>
        <w:t>Certificates and Opinions as to Conditions Precedent.</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0675"/>
                <wp:effectExtent l="0" t="0" r="0" b="0"/>
                <wp:wrapNone/>
                <wp:docPr id="93" name="Frame92"/>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lineRule="auto" w:line="288"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lineRule="auto" w:line="288" w:before="0" w:after="240"/>
        <w:jc w:val="left"/>
        <w:rPr/>
      </w:pPr>
      <w:bookmarkStart w:id="100" w:name="ia9d6d648372e4970ab29181b95de8099"/>
      <w:bookmarkEnd w:id="100"/>
      <w:r>
        <w:rPr>
          <w:rFonts w:ascii="Times New Roman;serif" w:hAnsi="Times New Roman;serif"/>
          <w:b/>
          <w:color w:val="000000"/>
          <w:sz w:val="24"/>
        </w:rPr>
        <w:t>Section 13.08.</w:t>
      </w:r>
      <w:r>
        <w:rPr>
          <w:color w:val="000000"/>
        </w:rPr>
        <w:t xml:space="preserve"> </w:t>
      </w:r>
      <w:r>
        <w:rPr>
          <w:rFonts w:ascii="Times New Roman;serif" w:hAnsi="Times New Roman;serif"/>
          <w:b/>
          <w:color w:val="000000"/>
          <w:sz w:val="24"/>
        </w:rPr>
        <w:t>Payments on Business Days.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lineRule="auto" w:line="288" w:before="0" w:after="240"/>
        <w:jc w:val="left"/>
        <w:rPr/>
      </w:pPr>
      <w:bookmarkStart w:id="101" w:name="i0df9254fa9db421fa75d7710393b1d7a"/>
      <w:bookmarkEnd w:id="101"/>
      <w:r>
        <w:rPr>
          <w:rFonts w:ascii="Times New Roman;serif" w:hAnsi="Times New Roman;serif"/>
          <w:b/>
          <w:color w:val="000000"/>
          <w:sz w:val="24"/>
        </w:rPr>
        <w:t>Section 13.09.</w:t>
      </w:r>
      <w:r>
        <w:rPr>
          <w:color w:val="000000"/>
        </w:rPr>
        <w:t xml:space="preserve"> </w:t>
      </w:r>
      <w:r>
        <w:rPr>
          <w:rFonts w:ascii="Times New Roman;serif" w:hAnsi="Times New Roman;serif"/>
          <w:b/>
          <w:color w:val="000000"/>
          <w:sz w:val="24"/>
        </w:rPr>
        <w:t>Conflict with Trust Indenture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and to the extent that any provision of this Indenture limits, qualifies or conflicts with the duties imposed by Section 318(c) of the Trust Indenture Act, such imposed duties shall control.</w:t>
      </w:r>
    </w:p>
    <w:p>
      <w:pPr>
        <w:pStyle w:val="TextBody"/>
        <w:bidi w:val="0"/>
        <w:spacing w:lineRule="auto" w:line="288" w:before="0" w:after="240"/>
        <w:jc w:val="left"/>
        <w:rPr/>
      </w:pPr>
      <w:bookmarkStart w:id="102" w:name="i7affeda30dbe41ed963a3033434284e8"/>
      <w:bookmarkEnd w:id="102"/>
      <w:r>
        <w:rPr>
          <w:rFonts w:ascii="Times New Roman;serif" w:hAnsi="Times New Roman;serif"/>
          <w:b/>
          <w:color w:val="000000"/>
          <w:sz w:val="24"/>
        </w:rPr>
        <w:t>Section 13.10.</w:t>
      </w:r>
      <w:r>
        <w:rPr>
          <w:color w:val="000000"/>
        </w:rPr>
        <w:t xml:space="preserve"> </w:t>
      </w:r>
      <w:r>
        <w:rPr>
          <w:rFonts w:ascii="Times New Roman;serif" w:hAnsi="Times New Roman;serif"/>
          <w:b/>
          <w:color w:val="000000"/>
          <w:sz w:val="24"/>
        </w:rPr>
        <w:t>Counterparts.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0675"/>
                <wp:effectExtent l="0" t="0" r="0" b="0"/>
                <wp:wrapNone/>
                <wp:docPr id="94" name="Frame93"/>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bookmarkStart w:id="103" w:name="ibd5aa6cc5edc4e929a80de4215ad5b0b"/>
      <w:bookmarkEnd w:id="103"/>
      <w:r>
        <w:rPr>
          <w:rFonts w:ascii="Times New Roman;serif" w:hAnsi="Times New Roman;serif"/>
          <w:b/>
          <w:color w:val="000000"/>
          <w:sz w:val="24"/>
        </w:rPr>
        <w:t>Section 13.11.</w:t>
      </w:r>
      <w:r>
        <w:rPr>
          <w:color w:val="000000"/>
        </w:rPr>
        <w:t xml:space="preserve"> </w:t>
      </w:r>
      <w:r>
        <w:rPr>
          <w:rFonts w:ascii="Times New Roman;serif" w:hAnsi="Times New Roman;serif"/>
          <w:b/>
          <w:color w:val="000000"/>
          <w:sz w:val="24"/>
        </w:rPr>
        <w:t>Separability.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lineRule="auto" w:line="288" w:before="0" w:after="240"/>
        <w:jc w:val="left"/>
        <w:rPr/>
      </w:pPr>
      <w:bookmarkStart w:id="104" w:name="i12b7bf1f696341e48c0fdc553a179d0e"/>
      <w:bookmarkEnd w:id="104"/>
      <w:r>
        <w:rPr>
          <w:rFonts w:ascii="Times New Roman;serif" w:hAnsi="Times New Roman;serif"/>
          <w:b/>
          <w:color w:val="000000"/>
          <w:sz w:val="24"/>
        </w:rPr>
        <w:t>Section 13.12.</w:t>
      </w:r>
      <w:r>
        <w:rPr>
          <w:color w:val="000000"/>
        </w:rPr>
        <w:t xml:space="preserve"> </w:t>
      </w:r>
      <w:r>
        <w:rPr>
          <w:rFonts w:ascii="Times New Roman;serif" w:hAnsi="Times New Roman;serif"/>
          <w:b/>
          <w:color w:val="000000"/>
          <w:sz w:val="24"/>
        </w:rPr>
        <w:t>Compliance Certificates.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lineRule="auto" w:line="288" w:before="0" w:after="240"/>
        <w:jc w:val="left"/>
        <w:rPr/>
      </w:pPr>
      <w:bookmarkStart w:id="105" w:name="i64e7a79ef0364c7d85624035f0ee8469"/>
      <w:bookmarkEnd w:id="105"/>
      <w:r>
        <w:rPr>
          <w:rFonts w:ascii="Times New Roman;serif" w:hAnsi="Times New Roman;serif"/>
          <w:b/>
          <w:color w:val="000000"/>
          <w:sz w:val="24"/>
        </w:rPr>
        <w:t>Section 13.13.</w:t>
      </w:r>
      <w:r>
        <w:rPr>
          <w:color w:val="000000"/>
        </w:rPr>
        <w:t xml:space="preserve"> </w:t>
      </w:r>
      <w:r>
        <w:rPr>
          <w:rFonts w:ascii="Times New Roman;serif" w:hAnsi="Times New Roman;serif"/>
          <w:b/>
          <w:color w:val="000000"/>
          <w:sz w:val="24"/>
        </w:rPr>
        <w:t xml:space="preserve">Patriot Act. </w:t>
      </w:r>
    </w:p>
    <w:p>
      <w:pPr>
        <w:pStyle w:val="TextBody"/>
        <w:bidi w:val="0"/>
        <w:spacing w:lineRule="auto" w:line="288" w:before="0" w:after="2"/>
        <w:ind w:left="0" w:right="0" w:firstLine="7"/>
        <w:jc w:val="both"/>
        <w:rPr>
          <w:color w:val="000000"/>
        </w:rPr>
      </w:pPr>
      <w:r>
        <w:rPr>
          <w:color w:val="000000"/>
        </w:rPr>
        <w:t>    </w:t>
      </w:r>
      <w:r>
        <w:rPr>
          <w:rFonts w:ascii="Times New Roman;serif" w:hAnsi="Times New Roman;serif"/>
          <w:b w:val="false"/>
          <w:color w:val="000000"/>
          <w:sz w:val="24"/>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2"/>
        <w:ind w:left="0" w:right="0" w:firstLine="7"/>
        <w:jc w:val="both"/>
        <w:rPr/>
      </w:pPr>
      <w:r>
        <w:rPr/>
      </w:r>
    </w:p>
    <w:p>
      <w:pPr>
        <w:pStyle w:val="TextBody"/>
        <w:bidi w:val="0"/>
        <w:spacing w:lineRule="auto" w:line="288" w:before="0" w:after="240"/>
        <w:jc w:val="left"/>
        <w:rPr/>
      </w:pPr>
      <w:bookmarkStart w:id="106" w:name="iaacde71d8d86452cb824ad488a5c7b77"/>
      <w:bookmarkEnd w:id="106"/>
      <w:r>
        <w:rPr>
          <w:rFonts w:ascii="Times New Roman;serif" w:hAnsi="Times New Roman;serif"/>
          <w:b/>
          <w:color w:val="000000"/>
          <w:sz w:val="24"/>
        </w:rPr>
        <w:t>Section 13.14.</w:t>
      </w:r>
      <w:r>
        <w:rPr>
          <w:color w:val="000000"/>
        </w:rPr>
        <w:t xml:space="preserve"> </w:t>
      </w:r>
      <w:r>
        <w:rPr>
          <w:rFonts w:ascii="Times New Roman;serif" w:hAnsi="Times New Roman;serif"/>
          <w:b/>
          <w:color w:val="000000"/>
          <w:sz w:val="24"/>
        </w:rPr>
        <w:t xml:space="preserve">Force Majeure.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pStyle w:val="TextBody"/>
        <w:bidi w:val="0"/>
        <w:spacing w:lineRule="auto" w:line="288" w:before="0" w:after="240"/>
        <w:jc w:val="left"/>
        <w:rPr/>
      </w:pPr>
      <w:bookmarkStart w:id="107" w:name="i62a065b921b2473db506cb7520b6675b"/>
      <w:bookmarkEnd w:id="107"/>
      <w:r>
        <w:rPr>
          <w:rFonts w:ascii="Times New Roman;serif" w:hAnsi="Times New Roman;serif"/>
          <w:b/>
          <w:color w:val="000000"/>
          <w:sz w:val="24"/>
        </w:rPr>
        <w:t>Section 13.15.</w:t>
      </w:r>
      <w:r>
        <w:rPr>
          <w:color w:val="000000"/>
        </w:rPr>
        <w:t xml:space="preserve"> </w:t>
      </w:r>
      <w:r>
        <w:rPr>
          <w:rFonts w:ascii="Times New Roman;serif" w:hAnsi="Times New Roman;serif"/>
          <w:b/>
          <w:color w:val="000000"/>
          <w:sz w:val="24"/>
        </w:rPr>
        <w:t>Table of Contents; Headings.</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0675"/>
                <wp:effectExtent l="0" t="0" r="0" b="0"/>
                <wp:wrapNone/>
                <wp:docPr id="95" name="Frame94"/>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
        <w:ind w:left="0" w:right="0" w:firstLine="7"/>
        <w:jc w:val="both"/>
        <w:rPr>
          <w:rFonts w:ascii="Times New Roman;serif" w:hAnsi="Times New Roman;serif"/>
          <w:b w:val="false"/>
          <w:color w:val="000000"/>
          <w:sz w:val="24"/>
        </w:rPr>
      </w:pPr>
      <w:r>
        <w:rPr>
          <w:rFonts w:ascii="Times New Roman;serif" w:hAnsi="Times New Roman;serif"/>
          <w:b w:val="false"/>
          <w:color w:val="000000"/>
          <w:sz w:val="24"/>
        </w:rPr>
        <w:t>The table of contents and headings of the articles and sections of this Indenture have been inserted for convenience of reference only, are not intended to be considered a part hereof, and will not modify or restrict any of the terms or provisions hereof.</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0675"/>
                <wp:effectExtent l="0" t="0" r="0" b="0"/>
                <wp:wrapNone/>
                <wp:docPr id="96" name="Frame95"/>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240"/>
        <w:ind w:left="0" w:right="0" w:firstLine="7"/>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Indenture to be duly executed all as of the day and year first above written.</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0675"/>
                <wp:effectExtent l="0" t="0" r="0" b="0"/>
                <wp:wrapNone/>
                <wp:docPr id="97" name="Frame96"/>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Fastly, Inc.</w:t>
      </w:r>
    </w:p>
    <w:p>
      <w:pPr>
        <w:pStyle w:val="TextBody"/>
        <w:bidi w:val="0"/>
        <w:spacing w:lineRule="auto" w:line="288" w:before="0" w:after="24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0" w:after="240"/>
        <w:jc w:val="left"/>
        <w:rPr/>
      </w:pPr>
      <w:r>
        <w:rPr>
          <w:rFonts w:ascii="Times New Roman;serif" w:hAnsi="Times New Roman;serif"/>
          <w:b/>
          <w:color w:val="000000"/>
          <w:sz w:val="24"/>
        </w:rPr>
        <w:t>[Trustee]</w:t>
      </w:r>
      <w:r>
        <w:rPr>
          <w:rFonts w:ascii="Times New Roman;serif" w:hAnsi="Times New Roman;serif"/>
          <w:b w:val="false"/>
          <w:color w:val="000000"/>
          <w:sz w:val="24"/>
        </w:rPr>
        <w:t xml:space="preserve">, as Trustee </w:t>
      </w:r>
    </w:p>
    <w:p>
      <w:pPr>
        <w:pStyle w:val="TextBody"/>
        <w:bidi w:val="0"/>
        <w:spacing w:lineRule="auto" w:line="288" w:before="0" w:after="24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CROSS-REFERENCE TABLE (1)</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0675"/>
                <wp:effectExtent l="0" t="0" r="0" b="0"/>
                <wp:wrapNone/>
                <wp:docPr id="98" name="Frame97"/>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txbxContent>
                </v:textbox>
                <w10:wrap type="none"/>
              </v:rect>
            </w:pict>
          </mc:Fallback>
        </mc:AlternateContent>
      </w:r>
    </w:p>
    <w:tbl>
      <w:tblPr>
        <w:tblW w:w="7634" w:type="dxa"/>
        <w:jc w:val="left"/>
        <w:tblInd w:w="0" w:type="dxa"/>
        <w:tblLayout w:type="fixed"/>
        <w:tblCellMar>
          <w:top w:w="28" w:type="dxa"/>
          <w:left w:w="28" w:type="dxa"/>
          <w:bottom w:w="28" w:type="dxa"/>
          <w:right w:w="28" w:type="dxa"/>
        </w:tblCellMar>
      </w:tblPr>
      <w:tblGrid>
        <w:gridCol w:w="1960"/>
        <w:gridCol w:w="1723"/>
        <w:gridCol w:w="1732"/>
        <w:gridCol w:w="650"/>
        <w:gridCol w:w="650"/>
        <w:gridCol w:w="919"/>
      </w:tblGrid>
      <w:tr>
        <w:trPr/>
        <w:tc>
          <w:tcPr>
            <w:tcW w:w="196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Section of Trust Indenture Act of 1939, as Amended</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Section of Indenture</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310(a)</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7.09</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310(b)</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7.08</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7.10</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310(c)</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311(a)</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7.13</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311(b)</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7.13</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311(c)</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312(a)</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5.01</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5.02(a)</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312(b)</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5.02(c)</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312(c)</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5.02(c)</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313(a)</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5.04(a)</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313(b)</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5.04(b)</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313(c)</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5.04(a)</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5.04(b)</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313(d)</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5.04(c)</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314(a)</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5.03</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13.12</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314(b)</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314(c)</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13.07(a)</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314(d)</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314(e)</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13.07(b)</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314(f)</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Inapplicable</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315(a)</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7.01(a)</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7.01(b)</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315(b)</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7.14</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315(c)</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7.01</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315(d)</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7.01(b)</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315(e)</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6.07</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316(a)</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6.06</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8.04</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316(b)</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6.04</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316(c)</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8.01</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317(a)</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6.02</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317(b)</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4.03</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318(a)</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13.09</w:t>
            </w:r>
          </w:p>
        </w:tc>
      </w:tr>
    </w:tbl>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_________________</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    This Cross-Reference Table does not constitute part of the Indenture and shall not have any bearing on the interpretation of any of its terms or provisions.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0675"/>
                <wp:effectExtent l="0" t="0" r="0" b="0"/>
                <wp:wrapNone/>
                <wp:docPr id="99" name="Frame98"/>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9"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5.1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1685925" cy="114300"/>
            <wp:effectExtent l="0" t="0" r="0" b="0"/>
            <wp:docPr id="10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 descr=""/>
                    <pic:cNvPicPr>
                      <a:picLocks noChangeAspect="1" noChangeArrowheads="1"/>
                    </pic:cNvPicPr>
                  </pic:nvPicPr>
                  <pic:blipFill>
                    <a:blip r:embed="rId17"/>
                    <a:stretch>
                      <a:fillRect/>
                    </a:stretch>
                  </pic:blipFill>
                  <pic:spPr bwMode="auto">
                    <a:xfrm>
                      <a:off x="0" y="0"/>
                      <a:ext cx="1685925" cy="114300"/>
                    </a:xfrm>
                    <a:prstGeom prst="rect">
                      <a:avLst/>
                    </a:prstGeom>
                  </pic:spPr>
                </pic:pic>
              </a:graphicData>
            </a:graphic>
          </wp:inline>
        </w:drawing>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801 Jefferson Avenue, Suite 300</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Redwood City, California 94063</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 +1.650.328.4600 Fax: +1.650.463.2600</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www.lw.com</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FIRM / AFFILIATE OFFICES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Austin     Milan</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Beijing     Munich</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Boston     New York</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Brussels     Orange County</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Chicago     Paris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Dubai     Riyadh</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Düsseldorf San Diego</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Frankfurt San Francisco</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Hamburg    Seoul</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Hong Kong    Silicon Valley</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Houston     Singapore</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London     Tel Aviv</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 Angeles    Tokyo</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Madrid     Washington, D.C.</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August 6,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Fastly,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475 Brannan Street, Suite 300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San Francisco, California 94107</w:t>
      </w:r>
    </w:p>
    <w:p>
      <w:pPr>
        <w:pStyle w:val="TextBody"/>
        <w:bidi w:val="0"/>
        <w:spacing w:lineRule="auto" w:line="288" w:before="240" w:after="283"/>
        <w:jc w:val="left"/>
        <w:rPr/>
      </w:pPr>
      <w:r>
        <w:rPr>
          <w:color w:val="000000"/>
        </w:rPr>
        <w:t>    </w:t>
      </w:r>
      <w:r>
        <w:rPr>
          <w:rFonts w:ascii="Times New Roman;serif" w:hAnsi="Times New Roman;serif"/>
          <w:b w:val="false"/>
          <w:color w:val="000000"/>
          <w:sz w:val="24"/>
        </w:rPr>
        <w:t>Re:    </w:t>
      </w:r>
      <w:r>
        <w:rPr>
          <w:rFonts w:ascii="Times New Roman;serif" w:hAnsi="Times New Roman;serif"/>
          <w:b w:val="false"/>
          <w:color w:val="000000"/>
          <w:sz w:val="24"/>
          <w:u w:val="single"/>
        </w:rPr>
        <w:t>Registration Statement on Form S-3</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To the addressee set forth above: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We have acted as special counsel to Fastly,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in connection with its filing on the date hereof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of a registration statement on Form S-3 (as amended,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including a base prospectus (the “</w:t>
      </w:r>
      <w:r>
        <w:rPr>
          <w:rFonts w:ascii="Times New Roman;serif" w:hAnsi="Times New Roman;serif"/>
          <w:b/>
          <w:i/>
          <w:color w:val="000000"/>
          <w:sz w:val="24"/>
        </w:rPr>
        <w:t>Base Prospectus</w:t>
      </w:r>
      <w:r>
        <w:rPr>
          <w:color w:val="000000"/>
        </w:rPr>
        <w:t>”</w:t>
      </w:r>
      <w:r>
        <w:rPr>
          <w:rFonts w:ascii="Times New Roman;serif" w:hAnsi="Times New Roman;serif"/>
          <w:b w:val="false"/>
          <w:color w:val="000000"/>
          <w:sz w:val="24"/>
        </w:rPr>
        <w:t>), which provides that it will be supplemented by one or more prospectus supplements (each such prospectus supplement, together with the Base Prospectus, a “</w:t>
      </w:r>
      <w:r>
        <w:rPr>
          <w:rFonts w:ascii="Times New Roman;serif" w:hAnsi="Times New Roman;serif"/>
          <w:b/>
          <w:i/>
          <w:color w:val="000000"/>
          <w:sz w:val="24"/>
        </w:rPr>
        <w:t>Prospectus</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i/>
          <w:color w:val="000000"/>
          <w:sz w:val="24"/>
        </w:rPr>
        <w:t>Act</w:t>
      </w:r>
      <w:r>
        <w:rPr>
          <w:color w:val="000000"/>
        </w:rPr>
        <w:t>”</w:t>
      </w:r>
      <w:r>
        <w:rPr>
          <w:rFonts w:ascii="Times New Roman;serif" w:hAnsi="Times New Roman;serif"/>
          <w:b w:val="false"/>
          <w:color w:val="000000"/>
          <w:sz w:val="24"/>
        </w:rPr>
        <w:t>), relating to the registration for issue and sale by the Company of (i) shares of the Company’s Class A common stock, $0.00002 par value per share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(ii) shares of one or more series of the Company’s preferred stock, $0.00002 par value per share (“</w:t>
      </w:r>
      <w:r>
        <w:rPr>
          <w:rFonts w:ascii="Times New Roman;serif" w:hAnsi="Times New Roman;serif"/>
          <w:b/>
          <w:i/>
          <w:color w:val="000000"/>
          <w:sz w:val="24"/>
        </w:rPr>
        <w:t>Preferred Stock</w:t>
      </w:r>
      <w:r>
        <w:rPr>
          <w:color w:val="000000"/>
        </w:rPr>
        <w:t>”</w:t>
      </w:r>
      <w:r>
        <w:rPr>
          <w:rFonts w:ascii="Times New Roman;serif" w:hAnsi="Times New Roman;serif"/>
          <w:b w:val="false"/>
          <w:color w:val="000000"/>
          <w:sz w:val="24"/>
        </w:rPr>
        <w:t>), (iii) one or more series of the Company’s debt securities (collectively, “</w:t>
      </w:r>
      <w:r>
        <w:rPr>
          <w:rFonts w:ascii="Times New Roman;serif" w:hAnsi="Times New Roman;serif"/>
          <w:b/>
          <w:i/>
          <w:color w:val="000000"/>
          <w:sz w:val="24"/>
        </w:rPr>
        <w:t>Debt Securities</w:t>
      </w:r>
      <w:r>
        <w:rPr>
          <w:color w:val="000000"/>
        </w:rPr>
        <w:t>”</w:t>
      </w:r>
      <w:r>
        <w:rPr>
          <w:rFonts w:ascii="Times New Roman;serif" w:hAnsi="Times New Roman;serif"/>
          <w:b w:val="false"/>
          <w:color w:val="000000"/>
          <w:sz w:val="24"/>
        </w:rPr>
        <w:t xml:space="preserve">) to be issued under an indenture to be entered into between the Company, as issuer, and a third party to be identified therein as trustee (a form of which is included as Exhibit 4.4 to the Registration Statement) and one or more board resolutions, supplements thereto, or officer’s certificates thereunder (such indenture, together with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109" w:type="dxa"/>
        <w:jc w:val="left"/>
        <w:tblInd w:w="0" w:type="dxa"/>
        <w:tblLayout w:type="fixed"/>
        <w:tblCellMar>
          <w:top w:w="28" w:type="dxa"/>
          <w:left w:w="28" w:type="dxa"/>
          <w:bottom w:w="28" w:type="dxa"/>
          <w:right w:w="28" w:type="dxa"/>
        </w:tblCellMar>
      </w:tblPr>
      <w:tblGrid>
        <w:gridCol w:w="354"/>
        <w:gridCol w:w="312"/>
        <w:gridCol w:w="443"/>
      </w:tblGrid>
      <w:tr>
        <w:trPr/>
        <w:tc>
          <w:tcPr>
            <w:tcW w:w="3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August 6, 2026</w:t>
            </w:r>
          </w:p>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Page 2</w:t>
            </w:r>
          </w:p>
        </w:tc>
      </w:tr>
    </w:tbl>
    <w:p>
      <w:pPr>
        <w:pStyle w:val="TextBody"/>
        <w:bidi w:val="0"/>
        <w:spacing w:before="0" w:after="0"/>
        <w:jc w:val="left"/>
        <w:rPr/>
      </w:pPr>
      <w:r>
        <w:rPr/>
        <w:drawing>
          <wp:inline distT="0" distB="0" distL="0" distR="0">
            <wp:extent cx="1543050" cy="95250"/>
            <wp:effectExtent l="0" t="0" r="0" b="0"/>
            <wp:docPr id="10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 descr=""/>
                    <pic:cNvPicPr>
                      <a:picLocks noChangeAspect="1" noChangeArrowheads="1"/>
                    </pic:cNvPicPr>
                  </pic:nvPicPr>
                  <pic:blipFill>
                    <a:blip r:embed="rId18"/>
                    <a:stretch>
                      <a:fillRect/>
                    </a:stretch>
                  </pic:blipFill>
                  <pic:spPr bwMode="auto">
                    <a:xfrm>
                      <a:off x="0" y="0"/>
                      <a:ext cx="1543050" cy="95250"/>
                    </a:xfrm>
                    <a:prstGeom prst="rect">
                      <a:avLst/>
                    </a:prstGeom>
                  </pic:spPr>
                </pic:pic>
              </a:graphicData>
            </a:graphic>
          </wp:inline>
        </w:drawing>
      </w:r>
    </w:p>
    <w:p>
      <w:pPr>
        <w:pStyle w:val="TextBody"/>
        <w:bidi w:val="0"/>
        <w:spacing w:lineRule="auto" w:line="288" w:before="240" w:after="283"/>
        <w:jc w:val="both"/>
        <w:rPr/>
      </w:pPr>
      <w:r>
        <w:rPr>
          <w:rFonts w:ascii="Times New Roman;serif" w:hAnsi="Times New Roman;serif"/>
          <w:b w:val="false"/>
          <w:color w:val="000000"/>
          <w:sz w:val="24"/>
        </w:rPr>
        <w:t>applicable board resolution, supplement, or officer’s certificate pertaining to the applicable series of Debt Securities, the “</w:t>
      </w:r>
      <w:r>
        <w:rPr>
          <w:rFonts w:ascii="Times New Roman;serif" w:hAnsi="Times New Roman;serif"/>
          <w:b/>
          <w:i/>
          <w:color w:val="000000"/>
          <w:sz w:val="24"/>
        </w:rPr>
        <w:t>Applicable Indenture</w:t>
      </w:r>
      <w:r>
        <w:rPr>
          <w:color w:val="000000"/>
        </w:rPr>
        <w:t>”</w:t>
      </w:r>
      <w:r>
        <w:rPr>
          <w:rFonts w:ascii="Times New Roman;serif" w:hAnsi="Times New Roman;serif"/>
          <w:b w:val="false"/>
          <w:color w:val="000000"/>
          <w:sz w:val="24"/>
        </w:rPr>
        <w:t>), and (iv) warrants (“</w:t>
      </w:r>
      <w:r>
        <w:rPr>
          <w:rFonts w:ascii="Times New Roman;serif" w:hAnsi="Times New Roman;serif"/>
          <w:b/>
          <w:i/>
          <w:color w:val="000000"/>
          <w:sz w:val="24"/>
        </w:rPr>
        <w:t>Warrants</w:t>
      </w:r>
      <w:r>
        <w:rPr>
          <w:color w:val="000000"/>
        </w:rPr>
        <w:t>”</w:t>
      </w:r>
      <w:r>
        <w:rPr>
          <w:rFonts w:ascii="Times New Roman;serif" w:hAnsi="Times New Roman;serif"/>
          <w:b w:val="false"/>
          <w:color w:val="000000"/>
          <w:sz w:val="24"/>
        </w:rPr>
        <w:t>). The Common Stock, Preferred Stock, Debt Securities, and Warrants are referred to herein collectively as the “Securities.”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with respect to the opinions set forth in paragraphs 3 through 4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foregoing and the other matters set forth herein, it is our opinion that, as of the date hereof:</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Company’s certificate of incorporation, and (b) authorized by the Company’s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When a series of Preferred Stock has been duly established in accordance with the terms of the Company’s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Company’s certificate of incorporation, and (b) authorized by the Company’s board of directors in connection with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3"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109" w:type="dxa"/>
        <w:jc w:val="left"/>
        <w:tblInd w:w="0" w:type="dxa"/>
        <w:tblLayout w:type="fixed"/>
        <w:tblCellMar>
          <w:top w:w="28" w:type="dxa"/>
          <w:left w:w="28" w:type="dxa"/>
          <w:bottom w:w="28" w:type="dxa"/>
          <w:right w:w="28" w:type="dxa"/>
        </w:tblCellMar>
      </w:tblPr>
      <w:tblGrid>
        <w:gridCol w:w="354"/>
        <w:gridCol w:w="312"/>
        <w:gridCol w:w="443"/>
      </w:tblGrid>
      <w:tr>
        <w:trPr/>
        <w:tc>
          <w:tcPr>
            <w:tcW w:w="3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August 6, 2026</w:t>
            </w:r>
          </w:p>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Page 3</w:t>
            </w:r>
          </w:p>
        </w:tc>
      </w:tr>
    </w:tbl>
    <w:p>
      <w:pPr>
        <w:pStyle w:val="TextBody"/>
        <w:bidi w:val="0"/>
        <w:spacing w:before="0" w:after="0"/>
        <w:jc w:val="left"/>
        <w:rPr/>
      </w:pPr>
      <w:r>
        <w:rPr/>
        <w:drawing>
          <wp:inline distT="0" distB="0" distL="0" distR="0">
            <wp:extent cx="1543050" cy="95250"/>
            <wp:effectExtent l="0" t="0" r="0" b="0"/>
            <wp:docPr id="10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 descr=""/>
                    <pic:cNvPicPr>
                      <a:picLocks noChangeAspect="1" noChangeArrowheads="1"/>
                    </pic:cNvPicPr>
                  </pic:nvPicPr>
                  <pic:blipFill>
                    <a:blip r:embed="rId19"/>
                    <a:stretch>
                      <a:fillRect/>
                    </a:stretch>
                  </pic:blipFill>
                  <pic:spPr bwMode="auto">
                    <a:xfrm>
                      <a:off x="0" y="0"/>
                      <a:ext cx="1543050" cy="95250"/>
                    </a:xfrm>
                    <a:prstGeom prst="rect">
                      <a:avLst/>
                    </a:prstGeom>
                  </pic:spPr>
                </pic:pic>
              </a:graphicData>
            </a:graphic>
          </wp:inline>
        </w:drawing>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109" w:type="dxa"/>
        <w:jc w:val="left"/>
        <w:tblInd w:w="0" w:type="dxa"/>
        <w:tblLayout w:type="fixed"/>
        <w:tblCellMar>
          <w:top w:w="28" w:type="dxa"/>
          <w:left w:w="28" w:type="dxa"/>
          <w:bottom w:w="28" w:type="dxa"/>
          <w:right w:w="28" w:type="dxa"/>
        </w:tblCellMar>
      </w:tblPr>
      <w:tblGrid>
        <w:gridCol w:w="354"/>
        <w:gridCol w:w="312"/>
        <w:gridCol w:w="443"/>
      </w:tblGrid>
      <w:tr>
        <w:trPr/>
        <w:tc>
          <w:tcPr>
            <w:tcW w:w="3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August 6, 2026</w:t>
            </w:r>
          </w:p>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Page 4</w:t>
            </w:r>
          </w:p>
        </w:tc>
      </w:tr>
    </w:tbl>
    <w:p>
      <w:pPr>
        <w:pStyle w:val="TextBody"/>
        <w:bidi w:val="0"/>
        <w:spacing w:before="0" w:after="0"/>
        <w:jc w:val="left"/>
        <w:rPr/>
      </w:pPr>
      <w:r>
        <w:rPr/>
        <w:drawing>
          <wp:inline distT="0" distB="0" distL="0" distR="0">
            <wp:extent cx="1543050" cy="95250"/>
            <wp:effectExtent l="0" t="0" r="0" b="0"/>
            <wp:docPr id="10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 descr=""/>
                    <pic:cNvPicPr>
                      <a:picLocks noChangeAspect="1" noChangeArrowheads="1"/>
                    </pic:cNvPicPr>
                  </pic:nvPicPr>
                  <pic:blipFill>
                    <a:blip r:embed="rId20"/>
                    <a:stretch>
                      <a:fillRect/>
                    </a:stretch>
                  </pic:blipFill>
                  <pic:spPr bwMode="auto">
                    <a:xfrm>
                      <a:off x="0" y="0"/>
                      <a:ext cx="1543050" cy="95250"/>
                    </a:xfrm>
                    <a:prstGeom prst="rect">
                      <a:avLst/>
                    </a:prstGeom>
                  </pic:spPr>
                </pic:pic>
              </a:graphicData>
            </a:graphic>
          </wp:inline>
        </w:drawing>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With your consent, we have assumed that (a) each of the Debt Securities, Warrants, and the Applicable Indenture and warrant agreements governing such Securities (collectively, the “</w:t>
      </w:r>
      <w:r>
        <w:rPr>
          <w:rFonts w:ascii="Times New Roman;serif" w:hAnsi="Times New Roman;serif"/>
          <w:b/>
          <w:i/>
          <w:color w:val="000000"/>
          <w:sz w:val="24"/>
        </w:rPr>
        <w:t>Documents</w:t>
      </w:r>
      <w:r>
        <w:rPr>
          <w:color w:val="000000"/>
        </w:rPr>
        <w:t>”</w:t>
      </w:r>
      <w:r>
        <w:rPr>
          <w:rFonts w:ascii="Times New Roman;serif" w:hAnsi="Times New Roman;serif"/>
          <w:b w:val="false"/>
          <w:color w:val="000000"/>
          <w:sz w:val="24"/>
        </w:rPr>
        <w:t>) will be governed by the internal laws of the State of New York, (b) each of the Documents has been or will be duly authorized, executed, and delivered by the parties thereto, (c) each of the Documents constitutes or will constitute legally valid and binding obligations of the parties thereto other than the Company, enforceable against each of them in accordance with their respective terms, and (d)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 Latham &amp; Watkins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23.1</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this Registration Statement on Form S-3 of our report dated February 25, 2026 relating to the financial statements of Fastly, Inc. and the effectiveness of Fastly, Inc.'s internal control over financial reporting, appearing in the Annual Report on Form 10-K of Fastly, Inc. for the year ended December 31, 2025. We also consent to the reference to us under the heading "Experts" in such Registration Statement.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ix?doc=/Archives/edgar/data/0001517413/000151741326000053/fsly-20251231.htm" TargetMode="External"/><Relationship Id="rId4" Type="http://schemas.openxmlformats.org/officeDocument/2006/relationships/hyperlink" Target="https://www.sec.gov/ix?doc=/Archives/edgar/data/0001517413/000151741326000132/fsly-20260331.htm" TargetMode="External"/><Relationship Id="rId5" Type="http://schemas.openxmlformats.org/officeDocument/2006/relationships/hyperlink" Target="https://www.sec.gov/ix?doc=/Archives/edgar/data/0001517413/000151741326000213/fsly-20260630.htm" TargetMode="External"/><Relationship Id="rId6" Type="http://schemas.openxmlformats.org/officeDocument/2006/relationships/hyperlink" Target="https://www.sec.gov/ix?doc=/Archives/edgar/data/0001517413/000151741326000213/fsly-20260630.htm" TargetMode="External"/><Relationship Id="rId7" Type="http://schemas.openxmlformats.org/officeDocument/2006/relationships/hyperlink" Target="https://www.sec.gov/ix?doc=/Archives/edgar/data/0001517413/000151741326000213/fsly-20260630.htm" TargetMode="External"/><Relationship Id="rId8" Type="http://schemas.openxmlformats.org/officeDocument/2006/relationships/hyperlink" Target="https://www.sec.gov/ix?doc=/Archives/edgar/data/0001517413/000151741326000089/fsly-20260304.htm" TargetMode="External"/><Relationship Id="rId9" Type="http://schemas.openxmlformats.org/officeDocument/2006/relationships/hyperlink" Target="https://www.sec.gov/ix?doc=/Archives/edgar/data/0001517413/000151741326000193/fsly-20260603.htm" TargetMode="External"/><Relationship Id="rId10" Type="http://schemas.openxmlformats.org/officeDocument/2006/relationships/hyperlink" Target="https://www.sec.gov/ix?doc=/Archives/edgar/data/0001517413/000114036126016095/ny20066165x1_def14a.htm" TargetMode="External"/><Relationship Id="rId11" Type="http://schemas.openxmlformats.org/officeDocument/2006/relationships/hyperlink" Target="https://www.sec.gov/Archives/edgar/data/1517413/000114036125044855/ef20060043_8a12b.htm" TargetMode="External"/><Relationship Id="rId12" Type="http://schemas.openxmlformats.org/officeDocument/2006/relationships/hyperlink" Target="https://www.sec.gov/Archives/edgar/data/1517413/000119312519152823/d752396dex31.htm" TargetMode="External"/><Relationship Id="rId13" Type="http://schemas.openxmlformats.org/officeDocument/2006/relationships/hyperlink" Target="https://www.sec.gov/Archives/edgar/data/1517413/000119312520165805/d890035dex31.htm" TargetMode="External"/><Relationship Id="rId14" Type="http://schemas.openxmlformats.org/officeDocument/2006/relationships/hyperlink" Target="https://www.sec.gov/Archives/edgar/data/1517413/000151741324000188/fastly-amendedandrestatedb.htm" TargetMode="External"/><Relationship Id="rId15" Type="http://schemas.openxmlformats.org/officeDocument/2006/relationships/hyperlink" Target="https://www.sec.gov/Archives/edgar/data/1517413/000151741321000128/fastly-certificateofretire.htm" TargetMode="External"/><Relationship Id="rId16" Type="http://schemas.openxmlformats.org/officeDocument/2006/relationships/hyperlink" Target="https://www.sec.gov/Archives/edgar/data/1517413/000119312519130754/d702138dex41.htm" TargetMode="External"/><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3.png"/><Relationship Id="rId20" Type="http://schemas.openxmlformats.org/officeDocument/2006/relationships/image" Target="media/image3.pn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102</Pages>
  <Words>47349</Words>
  <Characters>245492</Characters>
  <CharactersWithSpaces>292412</CharactersWithSpaces>
  <Paragraphs>1656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