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2000.xml.htm"/>
      <w:bookmarkStart w:id="1" w:name="kswkform4_17876920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23.64</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1,074,431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29,013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24.29</w:t>
            </w: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1,045,418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24.95</w:t>
            </w:r>
            <w:r>
              <w:rPr>
                <w:rFonts w:ascii="Times;serif" w:hAnsi="Times;serif"/>
                <w:color w:val="008000"/>
                <w:position w:val="7"/>
                <w:sz w:val="16"/>
                <w:sz w:val="20"/>
                <w:shd w:fill="FFFFFF" w:val="clear"/>
              </w:rPr>
              <w:t>(4)</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1,043,610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May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$22.94 to $23.935, inclusive. The reporting person undertakes to provide to the Issuer, any security holder of the Issuer, or the staff of the SEC,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$23.94 to $24.93,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$24.94 to $24.96,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904"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3936</Characters>
  <CharactersWithSpaces>4589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